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000000"/>
        </w:rPr>
      </w:pPr>
      <w:r>
        <w:rPr>
          <w:b/>
          <w:color w:val="000000"/>
        </w:rPr>
      </w:r>
    </w:p>
    <w:p>
      <w:pPr>
        <w:pStyle w:val="Normal"/>
        <w:rPr>
          <w:rFonts w:ascii="Arial" w:hAnsi="Arial" w:cs="Arial"/>
          <w:b/>
          <w:b/>
          <w:color w:val="000000"/>
        </w:rPr>
      </w:pPr>
      <w:r>
        <w:rPr>
          <w:rFonts w:cs="Arial" w:ascii="Arial" w:hAnsi="Arial"/>
          <w:b/>
          <w:color w:val="000000"/>
        </w:rPr>
      </w:r>
    </w:p>
    <w:p>
      <w:pPr>
        <w:pStyle w:val="Normal"/>
        <w:rPr>
          <w:rFonts w:ascii="Arial" w:hAnsi="Arial" w:cs="Arial"/>
          <w:b/>
          <w:b/>
          <w:color w:val="000000"/>
          <w:lang w:val="en-GB" w:eastAsia="en-GB"/>
        </w:rPr>
      </w:pPr>
      <w:r>
        <w:rPr>
          <w:rFonts w:cs="Arial" w:ascii="Arial" w:hAnsi="Arial"/>
          <w:b/>
          <w:color w:val="000000"/>
          <w:lang w:val="en-GB" w:eastAsia="en-GB"/>
        </w:rPr>
        <w:drawing>
          <wp:anchor behindDoc="1" distT="0" distB="0" distL="114935" distR="114935" simplePos="0" locked="0" layoutInCell="1" allowOverlap="1" relativeHeight="2">
            <wp:simplePos x="0" y="0"/>
            <wp:positionH relativeFrom="column">
              <wp:posOffset>-642620</wp:posOffset>
            </wp:positionH>
            <wp:positionV relativeFrom="page">
              <wp:posOffset>756285</wp:posOffset>
            </wp:positionV>
            <wp:extent cx="2529840" cy="683895"/>
            <wp:effectExtent l="0" t="0" r="0" b="0"/>
            <wp:wrapNone/>
            <wp:docPr id="1"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8" descr=""/>
                    <pic:cNvPicPr>
                      <a:picLocks noChangeAspect="1" noChangeArrowheads="1"/>
                    </pic:cNvPicPr>
                  </pic:nvPicPr>
                  <pic:blipFill>
                    <a:blip r:embed="rId2"/>
                    <a:stretch>
                      <a:fillRect/>
                    </a:stretch>
                  </pic:blipFill>
                  <pic:spPr bwMode="auto">
                    <a:xfrm>
                      <a:off x="0" y="0"/>
                      <a:ext cx="2529840" cy="683895"/>
                    </a:xfrm>
                    <a:prstGeom prst="rect">
                      <a:avLst/>
                    </a:prstGeom>
                  </pic:spPr>
                </pic:pic>
              </a:graphicData>
            </a:graphic>
          </wp:anchor>
        </w:drawing>
      </w:r>
    </w:p>
    <w:p>
      <w:pPr>
        <w:pStyle w:val="TITRE00"/>
        <w:spacing w:before="480" w:after="0"/>
        <w:rPr>
          <w:rFonts w:ascii="Arial" w:hAnsi="Arial" w:cs="Arial"/>
          <w:szCs w:val="28"/>
        </w:rPr>
      </w:pPr>
      <w:r>
        <w:rPr>
          <w:rFonts w:cs="Arial" w:ascii="Arial" w:hAnsi="Arial"/>
          <w:szCs w:val="28"/>
        </w:rPr>
        <w:t>PROCES VERBAL D’ACCORD</w:t>
      </w:r>
    </w:p>
    <w:p>
      <w:pPr>
        <w:pStyle w:val="TITRE0"/>
        <w:rPr>
          <w:rFonts w:ascii="Arial" w:hAnsi="Arial" w:cs="Arial"/>
          <w:sz w:val="28"/>
          <w:szCs w:val="28"/>
          <w:lang w:val="fr-CA"/>
        </w:rPr>
      </w:pPr>
      <w:r>
        <w:rPr>
          <w:rFonts w:cs="Arial" w:ascii="Arial" w:hAnsi="Arial"/>
          <w:sz w:val="28"/>
          <w:szCs w:val="28"/>
          <w:lang w:val="fr-CA"/>
        </w:rPr>
        <w:t>Négociations annuelles obligatoires 2017</w:t>
      </w:r>
    </w:p>
    <w:p>
      <w:pPr>
        <w:pStyle w:val="TITRE0"/>
        <w:rPr>
          <w:rFonts w:ascii="Arial" w:hAnsi="Arial" w:cs="Arial"/>
          <w:sz w:val="28"/>
          <w:szCs w:val="28"/>
          <w:lang w:val="fr-CA"/>
        </w:rPr>
      </w:pPr>
      <w:r>
        <w:rPr>
          <w:rFonts w:cs="Arial" w:ascii="Arial" w:hAnsi="Arial"/>
          <w:sz w:val="28"/>
          <w:szCs w:val="28"/>
          <w:lang w:val="fr-CA"/>
        </w:rPr>
        <w:t>ETABLISSEMENT DE VAUX LE PENIL</w:t>
      </w:r>
    </w:p>
    <w:p>
      <w:pPr>
        <w:pStyle w:val="Normal"/>
        <w:rPr>
          <w:rFonts w:ascii="Arial" w:hAnsi="Arial" w:cs="Arial"/>
          <w:sz w:val="28"/>
          <w:szCs w:val="28"/>
          <w:lang w:val="fr-CA" w:eastAsia="fr-FR"/>
        </w:rPr>
      </w:pPr>
      <w:r>
        <w:rPr>
          <w:rFonts w:cs="Arial" w:ascii="Arial" w:hAnsi="Arial"/>
          <w:sz w:val="28"/>
          <w:szCs w:val="28"/>
          <w:lang w:val="fr-CA" w:eastAsia="fr-FR"/>
        </w:rPr>
      </w:r>
    </w:p>
    <w:p>
      <w:pPr>
        <w:pStyle w:val="Normal"/>
        <w:spacing w:lineRule="auto" w:line="240" w:before="300" w:after="0"/>
        <w:ind w:left="340" w:firstLine="708"/>
        <w:jc w:val="left"/>
        <w:rPr>
          <w:rFonts w:ascii="Arial" w:hAnsi="Arial" w:cs="Arial"/>
          <w:b/>
          <w:b/>
          <w:sz w:val="24"/>
          <w:szCs w:val="24"/>
          <w:u w:val="single"/>
          <w:lang w:val="fr-CA"/>
        </w:rPr>
      </w:pPr>
      <w:r>
        <w:rPr>
          <w:rFonts w:cs="Arial" w:ascii="Arial" w:hAnsi="Arial"/>
          <w:b/>
          <w:sz w:val="24"/>
          <w:szCs w:val="24"/>
          <w:u w:val="single"/>
          <w:lang w:val="fr-CA"/>
        </w:rPr>
        <w:t>Préambule</w:t>
      </w:r>
    </w:p>
    <w:p>
      <w:pPr>
        <w:pStyle w:val="Normal"/>
        <w:numPr>
          <w:ilvl w:val="0"/>
          <w:numId w:val="5"/>
        </w:numPr>
        <w:spacing w:lineRule="auto" w:line="240" w:before="300" w:after="0"/>
        <w:rPr>
          <w:rFonts w:ascii="Arial" w:hAnsi="Arial" w:cs="Arial"/>
          <w:b/>
          <w:b/>
          <w:sz w:val="24"/>
          <w:szCs w:val="24"/>
          <w:u w:val="single"/>
          <w:lang w:val="fr-CA"/>
        </w:rPr>
      </w:pPr>
      <w:r>
        <w:rPr>
          <w:rFonts w:eastAsia="Times New Roman" w:cs="Arial" w:ascii="Arial" w:hAnsi="Arial"/>
          <w:sz w:val="24"/>
          <w:szCs w:val="24"/>
          <w:lang w:val="fr-CA" w:eastAsia="fr-FR"/>
        </w:rPr>
        <w:t>Les négociations annuelles obligatoires pour l’exercice 2017 ont été engagées au sein de l’établissement Transdev de Vaux le Pénil entre la Direction et les Délégués Syndicaux le 02 février 2017, dans le respect de l’article L.2242-1 du code du travail.</w:t>
      </w:r>
    </w:p>
    <w:p>
      <w:pPr>
        <w:pStyle w:val="Normal"/>
        <w:numPr>
          <w:ilvl w:val="0"/>
          <w:numId w:val="5"/>
        </w:numPr>
        <w:spacing w:lineRule="auto" w:line="240" w:before="300" w:after="0"/>
        <w:rPr>
          <w:rFonts w:ascii="Arial" w:hAnsi="Arial" w:cs="Arial"/>
          <w:b/>
          <w:b/>
          <w:sz w:val="24"/>
          <w:szCs w:val="24"/>
          <w:u w:val="single"/>
          <w:lang w:val="fr-CA"/>
        </w:rPr>
      </w:pPr>
      <w:r>
        <w:rPr>
          <w:rFonts w:eastAsia="Times New Roman" w:cs="Arial" w:ascii="Arial" w:hAnsi="Arial"/>
          <w:sz w:val="24"/>
          <w:szCs w:val="24"/>
          <w:lang w:val="fr-CA" w:eastAsia="fr-FR"/>
        </w:rPr>
        <w:t>A l’issue de plusieurs réunions entre les partenaires, réalisées respectivement le 02 mars 2017, le 08 juin 2017</w:t>
      </w:r>
      <w:r>
        <w:rPr>
          <w:rFonts w:eastAsia="Times New Roman" w:cs="Arial" w:ascii="Arial" w:hAnsi="Arial"/>
          <w:spacing w:val="-4"/>
          <w:sz w:val="24"/>
          <w:szCs w:val="24"/>
          <w:lang w:val="fr-CA" w:eastAsia="fr-FR"/>
        </w:rPr>
        <w:t xml:space="preserve"> et le 14 septembre 2017,  les parties sont</w:t>
      </w:r>
      <w:r>
        <w:rPr>
          <w:rFonts w:eastAsia="Times New Roman" w:cs="Arial" w:ascii="Arial" w:hAnsi="Arial"/>
          <w:sz w:val="24"/>
          <w:szCs w:val="24"/>
          <w:lang w:val="fr-CA" w:eastAsia="fr-FR"/>
        </w:rPr>
        <w:t xml:space="preserve"> parvenues à la signature du présent accord.</w:t>
      </w:r>
    </w:p>
    <w:p>
      <w:pPr>
        <w:pStyle w:val="Normal"/>
        <w:numPr>
          <w:ilvl w:val="0"/>
          <w:numId w:val="4"/>
        </w:numPr>
        <w:spacing w:lineRule="auto" w:line="240" w:before="300" w:after="0"/>
        <w:rPr>
          <w:rFonts w:ascii="Arial" w:hAnsi="Arial" w:cs="Arial"/>
          <w:b/>
          <w:b/>
          <w:sz w:val="24"/>
          <w:szCs w:val="24"/>
          <w:u w:val="single"/>
          <w:lang w:val="fr-CA"/>
        </w:rPr>
      </w:pPr>
      <w:r>
        <w:rPr>
          <w:rFonts w:cs="Arial" w:ascii="Arial" w:hAnsi="Arial"/>
          <w:b/>
          <w:sz w:val="24"/>
          <w:szCs w:val="24"/>
          <w:u w:val="single"/>
          <w:lang w:val="fr-CA"/>
        </w:rPr>
        <w:t>Augmentation des salaires mensuels bruts de base</w:t>
      </w:r>
    </w:p>
    <w:p>
      <w:pPr>
        <w:pStyle w:val="P1"/>
        <w:numPr>
          <w:ilvl w:val="0"/>
          <w:numId w:val="1"/>
        </w:numPr>
        <w:rPr>
          <w:rFonts w:ascii="Arial" w:hAnsi="Arial" w:cs="Arial"/>
        </w:rPr>
      </w:pPr>
      <w:r>
        <w:rPr>
          <w:rFonts w:cs="Arial" w:ascii="Arial" w:hAnsi="Arial"/>
        </w:rPr>
        <w:t xml:space="preserve">Revalorisation des salaires mensuels </w:t>
      </w:r>
      <w:r>
        <w:rPr>
          <w:rFonts w:cs="Arial" w:ascii="Arial" w:hAnsi="Arial"/>
          <w:spacing w:val="-4"/>
        </w:rPr>
        <w:t>bruts de base au 01.01.2017 de +0,6% pour l’ensemble du personnel hors cadre.</w:t>
      </w:r>
    </w:p>
    <w:p>
      <w:pPr>
        <w:pStyle w:val="Normal"/>
        <w:numPr>
          <w:ilvl w:val="0"/>
          <w:numId w:val="4"/>
        </w:numPr>
        <w:spacing w:lineRule="auto" w:line="240" w:before="300" w:after="0"/>
        <w:rPr>
          <w:rFonts w:ascii="Arial" w:hAnsi="Arial" w:cs="Arial"/>
          <w:b/>
          <w:b/>
          <w:color w:val="000000"/>
          <w:sz w:val="24"/>
          <w:szCs w:val="24"/>
          <w:u w:val="single"/>
        </w:rPr>
      </w:pPr>
      <w:r>
        <w:rPr>
          <w:rFonts w:cs="Arial" w:ascii="Arial" w:hAnsi="Arial"/>
          <w:b/>
          <w:color w:val="000000"/>
          <w:sz w:val="24"/>
          <w:szCs w:val="24"/>
          <w:u w:val="single"/>
        </w:rPr>
        <w:t>Mise en place d’une Prime Annuelle « Perfomances »</w:t>
      </w:r>
    </w:p>
    <w:p>
      <w:pPr>
        <w:pStyle w:val="Normal"/>
        <w:spacing w:lineRule="auto" w:line="240" w:before="300" w:after="0"/>
        <w:ind w:left="1211" w:hanging="0"/>
        <w:rPr>
          <w:rFonts w:ascii="Arial" w:hAnsi="Arial" w:cs="Arial"/>
          <w:b/>
          <w:b/>
          <w:color w:val="000000"/>
          <w:sz w:val="24"/>
          <w:szCs w:val="24"/>
          <w:u w:val="single"/>
        </w:rPr>
      </w:pPr>
      <w:r>
        <w:rPr>
          <w:rFonts w:cs="Arial" w:ascii="Arial" w:hAnsi="Arial"/>
          <w:b/>
          <w:color w:val="000000"/>
          <w:sz w:val="24"/>
          <w:szCs w:val="24"/>
          <w:u w:val="single"/>
        </w:rPr>
      </w:r>
    </w:p>
    <w:p>
      <w:pPr>
        <w:pStyle w:val="NormalWeb"/>
        <w:numPr>
          <w:ilvl w:val="0"/>
          <w:numId w:val="1"/>
        </w:numPr>
        <w:spacing w:before="0" w:after="0"/>
        <w:jc w:val="both"/>
        <w:textAlignment w:val="baseline"/>
        <w:rPr>
          <w:rFonts w:ascii="Arial" w:hAnsi="Arial" w:cs="Arial"/>
        </w:rPr>
      </w:pPr>
      <w:r>
        <w:rPr>
          <w:rFonts w:cs="Arial" w:ascii="Arial" w:hAnsi="Arial"/>
          <w:color w:val="000000"/>
          <w:shd w:fill="FFFFFF" w:val="clear"/>
        </w:rPr>
        <w:t xml:space="preserve">0,1 % d’augmentation supplémentaire sur les salaires mensuels bruts de base au 01.01.2017 pour l’ensemble du personnel hors cadre en raison de la </w:t>
      </w:r>
      <w:r>
        <w:rPr>
          <w:rFonts w:eastAsia="Geneva" w:cs="Arial" w:ascii="Arial" w:hAnsi="Arial"/>
          <w:color w:val="000000"/>
        </w:rPr>
        <w:t xml:space="preserve">mise en place à titre </w:t>
      </w:r>
      <w:r>
        <w:rPr>
          <w:rFonts w:eastAsia="Geneva" w:cs="Arial" w:ascii="Arial" w:hAnsi="Arial"/>
          <w:bCs/>
          <w:color w:val="000000"/>
        </w:rPr>
        <w:t xml:space="preserve">expérimental pour 2017 </w:t>
      </w:r>
      <w:r>
        <w:rPr>
          <w:rFonts w:eastAsia="Geneva" w:cs="Arial" w:ascii="Arial" w:hAnsi="Arial"/>
          <w:color w:val="000000"/>
        </w:rPr>
        <w:t>d’une prime annuelle « Performances » sur le principe gagnant/gagnant (Cf. Annexe 1).</w:t>
      </w:r>
    </w:p>
    <w:p>
      <w:pPr>
        <w:pStyle w:val="Normal"/>
        <w:numPr>
          <w:ilvl w:val="0"/>
          <w:numId w:val="4"/>
        </w:numPr>
        <w:spacing w:lineRule="auto" w:line="240" w:before="300" w:after="0"/>
        <w:rPr>
          <w:rFonts w:ascii="Arial" w:hAnsi="Arial" w:eastAsia="Times New Roman" w:cs="Arial"/>
          <w:b/>
          <w:b/>
          <w:sz w:val="24"/>
          <w:szCs w:val="24"/>
          <w:u w:val="single"/>
          <w:lang w:val="fr-CA" w:eastAsia="fr-FR"/>
        </w:rPr>
      </w:pPr>
      <w:r>
        <w:rPr>
          <w:rFonts w:cs="Arial" w:ascii="Arial" w:hAnsi="Arial"/>
          <w:b/>
          <w:color w:val="000000"/>
          <w:sz w:val="24"/>
          <w:szCs w:val="24"/>
          <w:u w:val="single"/>
        </w:rPr>
        <w:t>Modernisation</w:t>
      </w:r>
      <w:r>
        <w:rPr>
          <w:rFonts w:eastAsia="Times New Roman" w:cs="Arial" w:ascii="Arial" w:hAnsi="Arial"/>
          <w:b/>
          <w:sz w:val="24"/>
          <w:szCs w:val="24"/>
          <w:u w:val="single"/>
          <w:lang w:val="fr-CA" w:eastAsia="fr-FR"/>
        </w:rPr>
        <w:t xml:space="preserve"> </w:t>
      </w:r>
      <w:r>
        <w:rPr>
          <w:rFonts w:cs="Arial" w:ascii="Arial" w:hAnsi="Arial"/>
          <w:b/>
          <w:color w:val="000000"/>
          <w:sz w:val="24"/>
          <w:szCs w:val="24"/>
          <w:u w:val="single"/>
        </w:rPr>
        <w:t>sociale</w:t>
      </w:r>
    </w:p>
    <w:p>
      <w:pPr>
        <w:pStyle w:val="Normal"/>
        <w:spacing w:lineRule="auto" w:line="240" w:before="0" w:after="0"/>
        <w:ind w:left="720" w:hanging="0"/>
        <w:rPr>
          <w:rFonts w:ascii="Arial" w:hAnsi="Arial" w:eastAsia="Times New Roman" w:cs="Arial"/>
          <w:b/>
          <w:b/>
          <w:sz w:val="24"/>
          <w:szCs w:val="24"/>
          <w:u w:val="single"/>
          <w:lang w:val="fr-CA" w:eastAsia="fr-FR"/>
        </w:rPr>
      </w:pPr>
      <w:r>
        <w:rPr>
          <w:rFonts w:eastAsia="Times New Roman" w:cs="Arial" w:ascii="Arial" w:hAnsi="Arial"/>
          <w:b/>
          <w:sz w:val="24"/>
          <w:szCs w:val="24"/>
          <w:u w:val="single"/>
          <w:lang w:val="fr-CA" w:eastAsia="fr-FR"/>
        </w:rPr>
      </w:r>
    </w:p>
    <w:p>
      <w:pPr>
        <w:pStyle w:val="Normal"/>
        <w:spacing w:lineRule="auto" w:line="240" w:before="0" w:after="0"/>
        <w:ind w:left="708" w:firstLine="708"/>
        <w:rPr>
          <w:rFonts w:ascii="Arial" w:hAnsi="Arial" w:eastAsia="Times New Roman" w:cs="Arial"/>
          <w:sz w:val="24"/>
          <w:szCs w:val="24"/>
          <w:u w:val="single"/>
        </w:rPr>
      </w:pPr>
      <w:r>
        <w:rPr>
          <w:rFonts w:eastAsia="Times New Roman" w:cs="Arial" w:ascii="Arial" w:hAnsi="Arial"/>
          <w:sz w:val="24"/>
          <w:szCs w:val="24"/>
          <w:u w:val="single"/>
        </w:rPr>
        <w:t>3.1 - Durée effective du travail et organisation du temps de travail</w:t>
      </w:r>
    </w:p>
    <w:p>
      <w:pPr>
        <w:pStyle w:val="Normal"/>
        <w:spacing w:lineRule="auto" w:line="240" w:before="300" w:after="0"/>
        <w:ind w:left="708" w:hanging="0"/>
        <w:rPr/>
      </w:pPr>
      <w:r>
        <w:rPr>
          <w:rFonts w:eastAsia="Times New Roman" w:cs="Arial" w:ascii="Arial" w:hAnsi="Arial"/>
          <w:sz w:val="24"/>
          <w:szCs w:val="24"/>
        </w:rPr>
        <w:t>L’établissement Transdev de Vaux le Pénil emploie des CDI, et selon les besoins liés notamment à l’absentéisme du personnel sous contrat à durée déterminée. La Direction réaffirme une nouvelle fois sa volonté de limiter autant que possible le recours au travail précaire. Elle rappelle par ailleurs que le nombre de CDD conclus répond aux strictes contraintes de l’activité.</w:t>
      </w:r>
    </w:p>
    <w:p>
      <w:pPr>
        <w:pStyle w:val="Normal"/>
        <w:spacing w:lineRule="auto" w:line="240" w:before="0" w:after="0"/>
        <w:rPr>
          <w:rFonts w:ascii="Arial" w:hAnsi="Arial" w:eastAsia="Times New Roman" w:cs="Arial"/>
          <w:sz w:val="24"/>
          <w:szCs w:val="24"/>
          <w:u w:val="single"/>
        </w:rPr>
      </w:pPr>
      <w:r>
        <w:rPr>
          <w:rFonts w:eastAsia="Times New Roman" w:cs="Arial" w:ascii="Arial" w:hAnsi="Arial"/>
          <w:sz w:val="24"/>
          <w:szCs w:val="24"/>
          <w:u w:val="single"/>
        </w:rPr>
      </w:r>
    </w:p>
    <w:p>
      <w:pPr>
        <w:pStyle w:val="Normal"/>
        <w:spacing w:lineRule="auto" w:line="240" w:before="0" w:after="0"/>
        <w:ind w:left="708" w:firstLine="708"/>
        <w:rPr/>
      </w:pPr>
      <w:r>
        <w:rPr>
          <w:rFonts w:cs="Arial" w:ascii="Arial" w:hAnsi="Arial"/>
          <w:sz w:val="24"/>
          <w:szCs w:val="24"/>
          <w:u w:val="single"/>
        </w:rPr>
        <w:t xml:space="preserve">3.2 - </w:t>
      </w:r>
      <w:r>
        <w:rPr>
          <w:rFonts w:eastAsia="Times New Roman" w:cs="Arial" w:ascii="Arial" w:hAnsi="Arial"/>
          <w:sz w:val="24"/>
          <w:szCs w:val="24"/>
          <w:u w:val="single"/>
        </w:rPr>
        <w:t>Dispositif d’épargne salariale</w:t>
      </w:r>
    </w:p>
    <w:p>
      <w:pPr>
        <w:pStyle w:val="Normal"/>
        <w:spacing w:lineRule="auto" w:line="240" w:before="300" w:after="0"/>
        <w:ind w:left="708" w:hanging="0"/>
        <w:rPr>
          <w:rFonts w:ascii="Arial" w:hAnsi="Arial" w:eastAsia="Times New Roman" w:cs="Arial"/>
          <w:sz w:val="24"/>
          <w:szCs w:val="24"/>
        </w:rPr>
      </w:pPr>
      <w:r>
        <w:rPr>
          <w:rFonts w:eastAsia="Times New Roman" w:cs="Arial" w:ascii="Arial" w:hAnsi="Arial"/>
          <w:sz w:val="24"/>
          <w:szCs w:val="24"/>
        </w:rPr>
        <w:t>L’établissement Transdev de Vaux le Pénil dispose d’un accord de participation et d’un accord d’intéressement Groupe.</w:t>
      </w:r>
    </w:p>
    <w:p>
      <w:pPr>
        <w:pStyle w:val="Normal"/>
        <w:spacing w:lineRule="auto" w:line="240" w:before="300" w:after="0"/>
        <w:ind w:left="708" w:hanging="0"/>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left="708" w:firstLine="708"/>
        <w:rPr>
          <w:rFonts w:ascii="Arial" w:hAnsi="Arial" w:eastAsia="Times New Roman" w:cs="Arial"/>
          <w:sz w:val="24"/>
          <w:szCs w:val="24"/>
          <w:u w:val="single"/>
        </w:rPr>
      </w:pPr>
      <w:r>
        <w:rPr>
          <w:rFonts w:eastAsia="Times New Roman" w:cs="Arial" w:ascii="Arial" w:hAnsi="Arial"/>
          <w:sz w:val="24"/>
          <w:szCs w:val="24"/>
          <w:u w:val="single"/>
        </w:rPr>
        <w:t>3.3 - Régime de frais de santé</w:t>
      </w:r>
    </w:p>
    <w:p>
      <w:pPr>
        <w:pStyle w:val="Normal"/>
        <w:spacing w:lineRule="auto" w:line="240" w:before="300" w:after="0"/>
        <w:ind w:left="708" w:hanging="0"/>
        <w:rPr>
          <w:rFonts w:ascii="Arial" w:hAnsi="Arial" w:eastAsia="Times New Roman" w:cs="Arial"/>
          <w:sz w:val="24"/>
          <w:szCs w:val="24"/>
        </w:rPr>
      </w:pPr>
      <w:r>
        <w:rPr>
          <w:rFonts w:eastAsia="Times New Roman" w:cs="Arial" w:ascii="Arial" w:hAnsi="Arial"/>
          <w:sz w:val="24"/>
          <w:szCs w:val="24"/>
        </w:rPr>
        <w:t>L’établissement de Vaux le Pénil adhère à la CPMS pour le personnel ouvrier, employé et agent de maîtrise et à l’IPSEC pour le personnel haute maîtrise et cadre.</w:t>
      </w:r>
    </w:p>
    <w:p>
      <w:pPr>
        <w:pStyle w:val="Normal"/>
        <w:spacing w:lineRule="auto" w:line="240" w:before="300" w:after="0"/>
        <w:ind w:left="708" w:hanging="0"/>
        <w:rPr>
          <w:rFonts w:ascii="Arial" w:hAnsi="Arial" w:eastAsia="Times New Roman" w:cs="Arial"/>
          <w:sz w:val="24"/>
          <w:szCs w:val="24"/>
        </w:rPr>
      </w:pPr>
      <w:r>
        <w:rPr>
          <w:rFonts w:eastAsia="Times New Roman" w:cs="Arial" w:ascii="Arial" w:hAnsi="Arial"/>
          <w:sz w:val="24"/>
          <w:szCs w:val="24"/>
        </w:rPr>
        <w:t>Au niveau central, la Direction de Transdev IDF acte la mise en place d’une complémentaire santé à la charge des salariés pour le régime frais de santé des collaborateurs relevant de l’article 4 et 4 bis.</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left="708" w:firstLine="708"/>
        <w:rPr>
          <w:rFonts w:ascii="Arial" w:hAnsi="Arial" w:eastAsia="Times New Roman" w:cs="Arial"/>
          <w:sz w:val="24"/>
          <w:szCs w:val="24"/>
          <w:u w:val="single"/>
        </w:rPr>
      </w:pPr>
      <w:r>
        <w:rPr>
          <w:rFonts w:eastAsia="Times New Roman" w:cs="Arial" w:ascii="Arial" w:hAnsi="Arial"/>
          <w:sz w:val="24"/>
          <w:szCs w:val="24"/>
          <w:u w:val="single"/>
        </w:rPr>
        <w:t>3.4 - Egalité homme/femme</w:t>
      </w:r>
    </w:p>
    <w:p>
      <w:pPr>
        <w:pStyle w:val="Normal"/>
        <w:spacing w:lineRule="auto" w:line="240" w:before="300" w:after="0"/>
        <w:ind w:left="708" w:hanging="0"/>
        <w:rPr>
          <w:rFonts w:ascii="Arial" w:hAnsi="Arial" w:eastAsia="Times New Roman" w:cs="Arial"/>
          <w:iCs/>
          <w:color w:val="000000"/>
          <w:sz w:val="24"/>
          <w:szCs w:val="24"/>
          <w:shd w:fill="FFFFFF" w:val="clear"/>
        </w:rPr>
      </w:pPr>
      <w:r>
        <w:rPr>
          <w:rFonts w:eastAsia="Times New Roman" w:cs="Arial" w:ascii="Arial" w:hAnsi="Arial"/>
          <w:iCs/>
          <w:color w:val="000000"/>
          <w:sz w:val="24"/>
          <w:szCs w:val="24"/>
          <w:shd w:fill="FFFFFF" w:val="clear"/>
        </w:rPr>
        <w:t>Lors des réunions de négociation, l’objectif d’égalité professionnelle entre les femmes et les hommes a été abordé ainsi que les mesures permettant de les atteindre. Ce thème n’a appelé aucune observation de la part des Délégués Syndicaux.</w:t>
      </w:r>
    </w:p>
    <w:p>
      <w:pPr>
        <w:pStyle w:val="Normal"/>
        <w:spacing w:lineRule="auto" w:line="240" w:before="300" w:after="0"/>
        <w:ind w:left="720" w:hanging="0"/>
        <w:rPr>
          <w:rFonts w:ascii="Arial" w:hAnsi="Arial" w:cs="Arial"/>
          <w:iCs/>
          <w:color w:val="000000"/>
          <w:sz w:val="24"/>
          <w:szCs w:val="24"/>
          <w:shd w:fill="FFFFFF" w:val="clear"/>
        </w:rPr>
      </w:pPr>
      <w:r>
        <w:rPr>
          <w:rFonts w:cs="Arial" w:ascii="Arial" w:hAnsi="Arial"/>
          <w:iCs/>
          <w:color w:val="000000"/>
          <w:sz w:val="24"/>
          <w:szCs w:val="24"/>
          <w:shd w:fill="FFFFFF" w:val="clear"/>
        </w:rPr>
        <w:t>La Direction indique que l’application de la grille de salaires de l’entreprise assure la stricte égalité entre les femmes et les hommes exerçant le même emploi. Une vigilance particulière sera portée par la Direction, à une répartition équilibrée entre les femmes et les hommes, des augmentations individuelles lors de l’élaboration de la politique salariale.</w:t>
      </w:r>
    </w:p>
    <w:p>
      <w:pPr>
        <w:pStyle w:val="Normal"/>
        <w:spacing w:lineRule="auto" w:line="240" w:before="300" w:after="0"/>
        <w:ind w:left="720" w:hanging="0"/>
        <w:rPr>
          <w:rFonts w:ascii="Arial" w:hAnsi="Arial" w:cs="Arial"/>
          <w:iCs/>
          <w:color w:val="000000"/>
          <w:sz w:val="24"/>
          <w:szCs w:val="24"/>
          <w:shd w:fill="FFFFFF" w:val="clear"/>
        </w:rPr>
      </w:pPr>
      <w:r>
        <w:rPr>
          <w:rFonts w:cs="Arial" w:ascii="Arial" w:hAnsi="Arial"/>
          <w:iCs/>
          <w:color w:val="000000"/>
          <w:sz w:val="24"/>
          <w:szCs w:val="24"/>
          <w:shd w:fill="FFFFFF" w:val="clear"/>
        </w:rPr>
        <w:t>Par ailleurs, la société entend favoriser, à compétence égale, l’embauche des femmes au poste de conducteurs.</w:t>
      </w:r>
    </w:p>
    <w:p>
      <w:pPr>
        <w:pStyle w:val="Normal"/>
        <w:spacing w:lineRule="auto" w:line="240" w:before="0" w:after="0"/>
        <w:rPr>
          <w:rFonts w:ascii="Arial" w:hAnsi="Arial" w:cs="Arial"/>
          <w:iCs/>
          <w:color w:val="000000"/>
          <w:sz w:val="24"/>
          <w:szCs w:val="24"/>
          <w:shd w:fill="FFFFFF" w:val="clear"/>
        </w:rPr>
      </w:pPr>
      <w:r>
        <w:rPr>
          <w:rFonts w:cs="Arial" w:ascii="Arial" w:hAnsi="Arial"/>
          <w:iCs/>
          <w:color w:val="000000"/>
          <w:sz w:val="24"/>
          <w:szCs w:val="24"/>
          <w:shd w:fill="FFFFFF" w:val="clear"/>
        </w:rPr>
      </w:r>
    </w:p>
    <w:p>
      <w:pPr>
        <w:pStyle w:val="Normal"/>
        <w:spacing w:lineRule="auto" w:line="240" w:before="0" w:after="0"/>
        <w:ind w:left="708" w:firstLine="708"/>
        <w:rPr/>
      </w:pPr>
      <w:r>
        <w:rPr>
          <w:rFonts w:eastAsia="Times New Roman" w:cs="Arial" w:ascii="Arial" w:hAnsi="Arial"/>
          <w:sz w:val="24"/>
          <w:szCs w:val="24"/>
          <w:u w:val="single"/>
        </w:rPr>
        <w:t xml:space="preserve">3.5 - Insertion professionnelle et maintien dans l’emploi des travailleurs   handicapés </w:t>
      </w:r>
    </w:p>
    <w:p>
      <w:pPr>
        <w:pStyle w:val="Normal"/>
        <w:numPr>
          <w:ilvl w:val="0"/>
          <w:numId w:val="0"/>
        </w:numPr>
        <w:spacing w:lineRule="auto" w:line="240" w:before="300" w:after="0"/>
        <w:ind w:left="708" w:hanging="0"/>
        <w:outlineLvl w:val="0"/>
        <w:rPr>
          <w:rFonts w:ascii="Arial" w:hAnsi="Arial" w:eastAsia="Times New Roman" w:cs="Arial"/>
          <w:bCs/>
          <w:sz w:val="24"/>
          <w:szCs w:val="24"/>
        </w:rPr>
      </w:pPr>
      <w:r>
        <w:rPr>
          <w:rFonts w:eastAsia="Times New Roman" w:cs="Arial" w:ascii="Arial" w:hAnsi="Arial"/>
          <w:bCs/>
          <w:sz w:val="24"/>
          <w:szCs w:val="24"/>
        </w:rPr>
        <w:t>En termes de recrutement, l’entreprise entend favoriser l’embauche de travailleurs handicapés afin de tendre vers son assujettissement à l’obligation d’emploi, y compris pour le métier de conducteur.</w:t>
      </w:r>
    </w:p>
    <w:p>
      <w:pPr>
        <w:pStyle w:val="Normal"/>
        <w:numPr>
          <w:ilvl w:val="0"/>
          <w:numId w:val="0"/>
        </w:numPr>
        <w:spacing w:lineRule="auto" w:line="240" w:before="300" w:after="0"/>
        <w:ind w:left="708" w:hanging="0"/>
        <w:outlineLvl w:val="0"/>
        <w:rPr>
          <w:rFonts w:ascii="Arial" w:hAnsi="Arial" w:eastAsia="Times New Roman" w:cs="Arial"/>
          <w:bCs/>
          <w:sz w:val="24"/>
          <w:szCs w:val="24"/>
        </w:rPr>
      </w:pPr>
      <w:r>
        <w:rPr>
          <w:rFonts w:eastAsia="Times New Roman" w:cs="Arial" w:ascii="Arial" w:hAnsi="Arial"/>
          <w:bCs/>
          <w:sz w:val="24"/>
          <w:szCs w:val="24"/>
        </w:rPr>
        <w:t>En termes de prestations externes, l’entreprise favorise le recours à des entreprises d’insertion de travailleurs handicapés.</w:t>
      </w:r>
    </w:p>
    <w:p>
      <w:pPr>
        <w:pStyle w:val="Normal"/>
        <w:spacing w:lineRule="auto" w:line="240" w:before="300" w:after="0"/>
        <w:rPr>
          <w:rFonts w:ascii="Arial" w:hAnsi="Arial" w:eastAsia="Times New Roman" w:cs="Arial"/>
          <w:bCs/>
          <w:color w:val="000000"/>
          <w:sz w:val="24"/>
          <w:szCs w:val="24"/>
        </w:rPr>
      </w:pPr>
      <w:r>
        <w:rPr>
          <w:rFonts w:eastAsia="Times New Roman" w:cs="Arial" w:ascii="Arial" w:hAnsi="Arial"/>
          <w:bCs/>
          <w:color w:val="000000"/>
          <w:sz w:val="24"/>
          <w:szCs w:val="24"/>
        </w:rPr>
      </w:r>
    </w:p>
    <w:p>
      <w:pPr>
        <w:pStyle w:val="Normal"/>
        <w:spacing w:lineRule="auto" w:line="240" w:before="300" w:after="0"/>
        <w:rPr>
          <w:rFonts w:ascii="Arial" w:hAnsi="Arial" w:cs="Arial"/>
          <w:color w:val="000000"/>
          <w:sz w:val="24"/>
          <w:szCs w:val="24"/>
        </w:rPr>
      </w:pPr>
      <w:r>
        <w:rPr>
          <w:rFonts w:cs="Arial" w:ascii="Arial" w:hAnsi="Arial"/>
          <w:color w:val="000000"/>
          <w:sz w:val="24"/>
          <w:szCs w:val="24"/>
        </w:rPr>
      </w:r>
    </w:p>
    <w:p>
      <w:pPr>
        <w:pStyle w:val="Normal"/>
        <w:spacing w:lineRule="auto" w:line="240" w:before="300" w:after="0"/>
        <w:rPr>
          <w:rFonts w:ascii="Arial" w:hAnsi="Arial" w:cs="Arial"/>
          <w:color w:val="000000"/>
          <w:sz w:val="24"/>
          <w:szCs w:val="24"/>
        </w:rPr>
      </w:pPr>
      <w:r>
        <w:rPr>
          <w:rFonts w:cs="Arial" w:ascii="Arial" w:hAnsi="Arial"/>
          <w:color w:val="000000"/>
          <w:sz w:val="24"/>
          <w:szCs w:val="24"/>
        </w:rPr>
      </w:r>
    </w:p>
    <w:p>
      <w:pPr>
        <w:pStyle w:val="Normal"/>
        <w:spacing w:lineRule="auto" w:line="240" w:before="300" w:after="0"/>
        <w:rPr>
          <w:rFonts w:ascii="Arial" w:hAnsi="Arial" w:cs="Arial"/>
          <w:color w:val="000000"/>
          <w:sz w:val="24"/>
          <w:szCs w:val="24"/>
        </w:rPr>
      </w:pPr>
      <w:r>
        <w:rPr>
          <w:rFonts w:cs="Arial" w:ascii="Arial" w:hAnsi="Arial"/>
          <w:color w:val="000000"/>
          <w:sz w:val="24"/>
          <w:szCs w:val="24"/>
        </w:rPr>
      </w:r>
    </w:p>
    <w:p>
      <w:pPr>
        <w:pStyle w:val="P8"/>
        <w:numPr>
          <w:ilvl w:val="0"/>
          <w:numId w:val="0"/>
        </w:numPr>
        <w:pBdr>
          <w:bottom w:val="single" w:sz="4" w:space="1" w:color="000000"/>
        </w:pBdr>
        <w:tabs>
          <w:tab w:val="left" w:pos="708" w:leader="none"/>
          <w:tab w:val="left" w:pos="4710" w:leader="none"/>
        </w:tabs>
        <w:ind w:left="0" w:hanging="0"/>
        <w:rPr>
          <w:rFonts w:ascii="Arial" w:hAnsi="Arial" w:cs="Arial"/>
          <w:sz w:val="24"/>
          <w:lang w:val="fr-CA"/>
        </w:rPr>
      </w:pPr>
      <w:r>
        <w:rPr>
          <w:rFonts w:cs="Arial" w:ascii="Arial" w:hAnsi="Arial"/>
          <w:sz w:val="24"/>
          <w:lang w:val="fr-CA"/>
        </w:rPr>
        <w:tab/>
      </w:r>
    </w:p>
    <w:p>
      <w:pPr>
        <w:pStyle w:val="Normal"/>
        <w:rPr>
          <w:rFonts w:ascii="Arial" w:hAnsi="Arial" w:cs="Arial"/>
          <w:sz w:val="24"/>
          <w:szCs w:val="24"/>
          <w:lang w:val="fr-CA"/>
        </w:rPr>
      </w:pPr>
      <w:r>
        <w:rPr>
          <w:rFonts w:cs="Arial" w:ascii="Arial" w:hAnsi="Arial"/>
          <w:sz w:val="24"/>
          <w:szCs w:val="24"/>
          <w:lang w:val="fr-CA"/>
        </w:rPr>
      </w:r>
    </w:p>
    <w:p>
      <w:pPr>
        <w:pStyle w:val="Normal"/>
        <w:suppressAutoHyphens w:val="true"/>
        <w:spacing w:lineRule="auto" w:line="240" w:before="0" w:after="0"/>
        <w:ind w:left="363" w:hanging="0"/>
        <w:rPr>
          <w:rFonts w:ascii="Arial" w:hAnsi="Arial" w:eastAsia="Times New Roman" w:cs="Arial"/>
          <w:color w:val="000000"/>
          <w:sz w:val="24"/>
          <w:szCs w:val="24"/>
          <w:lang w:eastAsia="zxx"/>
        </w:rPr>
      </w:pPr>
      <w:r>
        <w:rPr>
          <w:rFonts w:eastAsia="Times New Roman" w:cs="Arial" w:ascii="Arial" w:hAnsi="Arial"/>
          <w:color w:val="000000"/>
          <w:sz w:val="24"/>
          <w:szCs w:val="24"/>
          <w:lang w:eastAsia="zxx"/>
        </w:rPr>
        <w:t>Le présent accord est conclu pour une durée indéterminée.</w:t>
      </w:r>
    </w:p>
    <w:p>
      <w:pPr>
        <w:pStyle w:val="Normal"/>
        <w:suppressAutoHyphens w:val="true"/>
        <w:spacing w:lineRule="auto" w:line="240" w:before="0" w:after="0"/>
        <w:ind w:left="363" w:hanging="0"/>
        <w:rPr>
          <w:rFonts w:ascii="Arial" w:hAnsi="Arial" w:eastAsia="Times New Roman" w:cs="Arial"/>
          <w:color w:val="000000"/>
          <w:sz w:val="24"/>
          <w:szCs w:val="24"/>
          <w:lang w:eastAsia="zxx"/>
        </w:rPr>
      </w:pPr>
      <w:r>
        <w:rPr>
          <w:rFonts w:eastAsia="Times New Roman" w:cs="Arial" w:ascii="Arial" w:hAnsi="Arial"/>
          <w:color w:val="000000"/>
          <w:sz w:val="24"/>
          <w:szCs w:val="24"/>
          <w:lang w:eastAsia="zxx"/>
        </w:rPr>
      </w:r>
    </w:p>
    <w:p>
      <w:pPr>
        <w:pStyle w:val="Normal"/>
        <w:suppressAutoHyphens w:val="true"/>
        <w:spacing w:lineRule="auto" w:line="240" w:before="0" w:after="0"/>
        <w:ind w:left="363" w:hanging="0"/>
        <w:rPr>
          <w:rFonts w:ascii="Arial" w:hAnsi="Arial" w:eastAsia="Times New Roman" w:cs="Arial"/>
          <w:color w:val="000000"/>
          <w:sz w:val="24"/>
          <w:szCs w:val="24"/>
          <w:lang w:eastAsia="zxx"/>
        </w:rPr>
      </w:pPr>
      <w:r>
        <w:rPr>
          <w:rFonts w:eastAsia="Times New Roman" w:cs="Arial" w:ascii="Arial" w:hAnsi="Arial"/>
          <w:color w:val="000000"/>
          <w:sz w:val="24"/>
          <w:szCs w:val="24"/>
          <w:lang w:eastAsia="zxx"/>
        </w:rPr>
        <w:t>Il est établi en un nombre suffisant d’exemplaires pour remise à chacune des parties signataires et dépôt dans les conditions prévues à l’article D.2231-2 du Code du Travail (deux à la DIRECCTE, dont une version sur papier et une version sur support électronique, et un au conseil des Prud’hommes).</w:t>
      </w:r>
    </w:p>
    <w:p>
      <w:pPr>
        <w:pStyle w:val="Normal"/>
        <w:suppressAutoHyphens w:val="true"/>
        <w:spacing w:lineRule="auto" w:line="240" w:before="0" w:after="0"/>
        <w:ind w:left="363" w:hanging="0"/>
        <w:rPr>
          <w:rFonts w:ascii="Arial" w:hAnsi="Arial" w:eastAsia="Times New Roman" w:cs="Arial"/>
          <w:color w:val="000000"/>
          <w:sz w:val="24"/>
          <w:szCs w:val="24"/>
          <w:lang w:eastAsia="zxx"/>
        </w:rPr>
      </w:pPr>
      <w:r>
        <w:rPr>
          <w:rFonts w:eastAsia="Times New Roman" w:cs="Arial" w:ascii="Arial" w:hAnsi="Arial"/>
          <w:color w:val="000000"/>
          <w:sz w:val="24"/>
          <w:szCs w:val="24"/>
          <w:lang w:eastAsia="zxx"/>
        </w:rPr>
      </w:r>
    </w:p>
    <w:p>
      <w:pPr>
        <w:pStyle w:val="Normal"/>
        <w:suppressAutoHyphens w:val="true"/>
        <w:spacing w:lineRule="auto" w:line="240" w:before="0" w:after="0"/>
        <w:ind w:left="363" w:hanging="0"/>
        <w:rPr>
          <w:rFonts w:ascii="Arial" w:hAnsi="Arial" w:eastAsia="Times New Roman" w:cs="Arial"/>
          <w:color w:val="000000"/>
          <w:sz w:val="24"/>
          <w:szCs w:val="24"/>
          <w:lang w:eastAsia="zxx"/>
        </w:rPr>
      </w:pPr>
      <w:r>
        <w:rPr>
          <w:rFonts w:eastAsia="Times New Roman" w:cs="Arial" w:ascii="Arial" w:hAnsi="Arial"/>
          <w:color w:val="000000"/>
          <w:sz w:val="24"/>
          <w:szCs w:val="24"/>
          <w:lang w:eastAsia="zxx"/>
        </w:rPr>
        <w:t>Il est notifié à l’ensemble des organisations syndicales représentatives (dans l’entreprise et au niveau national) dans le champ d’application de l’accord. Les formalités de dépôt seront effectuées au plus tôt 8 jours après cette notification.</w:t>
      </w:r>
    </w:p>
    <w:p>
      <w:pPr>
        <w:pStyle w:val="Normal"/>
        <w:suppressAutoHyphens w:val="true"/>
        <w:spacing w:lineRule="auto" w:line="240" w:before="0" w:after="0"/>
        <w:jc w:val="left"/>
        <w:rPr>
          <w:rFonts w:ascii="Arial" w:hAnsi="Arial" w:eastAsia="Times New Roman" w:cs="Arial"/>
          <w:color w:val="000000"/>
          <w:sz w:val="24"/>
          <w:szCs w:val="24"/>
          <w:lang w:eastAsia="zxx"/>
        </w:rPr>
      </w:pPr>
      <w:r>
        <w:rPr>
          <w:rFonts w:eastAsia="Times New Roman" w:cs="Arial" w:ascii="Arial" w:hAnsi="Arial"/>
          <w:color w:val="000000"/>
          <w:sz w:val="24"/>
          <w:szCs w:val="24"/>
          <w:lang w:eastAsia="zxx"/>
        </w:rPr>
      </w:r>
    </w:p>
    <w:p>
      <w:pPr>
        <w:pStyle w:val="Normal"/>
        <w:suppressAutoHyphens w:val="true"/>
        <w:spacing w:lineRule="auto" w:line="240" w:before="0" w:after="0"/>
        <w:ind w:left="363" w:hanging="0"/>
        <w:jc w:val="left"/>
        <w:rPr>
          <w:rFonts w:ascii="Arial" w:hAnsi="Arial" w:eastAsia="Times New Roman" w:cs="Arial"/>
          <w:sz w:val="24"/>
          <w:szCs w:val="24"/>
          <w:lang w:eastAsia="zxx"/>
        </w:rPr>
      </w:pPr>
      <w:r>
        <w:rPr>
          <w:rFonts w:eastAsia="Times New Roman" w:cs="Arial" w:ascii="Arial" w:hAnsi="Arial"/>
          <w:sz w:val="24"/>
          <w:szCs w:val="24"/>
          <w:lang w:eastAsia="zxx"/>
        </w:rPr>
      </w:r>
    </w:p>
    <w:p>
      <w:pPr>
        <w:pStyle w:val="Normal"/>
        <w:suppressAutoHyphens w:val="true"/>
        <w:spacing w:lineRule="auto" w:line="240" w:before="0" w:after="0"/>
        <w:ind w:left="363" w:hanging="0"/>
        <w:jc w:val="left"/>
        <w:rPr>
          <w:rFonts w:ascii="Arial" w:hAnsi="Arial" w:eastAsia="Times New Roman" w:cs="Arial"/>
          <w:sz w:val="24"/>
          <w:szCs w:val="24"/>
          <w:lang w:eastAsia="zxx"/>
        </w:rPr>
      </w:pPr>
      <w:r>
        <w:rPr>
          <w:rFonts w:eastAsia="Times New Roman" w:cs="Arial" w:ascii="Arial" w:hAnsi="Arial"/>
          <w:sz w:val="24"/>
          <w:szCs w:val="24"/>
          <w:lang w:eastAsia="zxx"/>
        </w:rPr>
        <w:t>Le dépôt à l’Administration du Travail s’accompagnera de la copie de la notification de l’accord aux organisations syndicales, de la copie des résultats (ou du PV de carence) des dernières élections professionnelles, et d’un bordereau de dépôt.</w:t>
      </w:r>
    </w:p>
    <w:p>
      <w:pPr>
        <w:pStyle w:val="Normal"/>
        <w:spacing w:lineRule="auto" w:line="240" w:before="240" w:after="0"/>
        <w:ind w:left="142" w:hanging="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240" w:after="0"/>
        <w:ind w:left="142" w:hanging="0"/>
        <w:rPr>
          <w:rFonts w:ascii="Arial" w:hAnsi="Arial" w:eastAsia="Times New Roman" w:cs="Arial"/>
          <w:sz w:val="24"/>
          <w:szCs w:val="24"/>
          <w:lang w:eastAsia="fr-FR"/>
        </w:rPr>
      </w:pPr>
      <w:r>
        <w:rPr>
          <w:rFonts w:eastAsia="Times New Roman" w:cs="Arial" w:ascii="Arial" w:hAnsi="Arial"/>
          <w:sz w:val="24"/>
          <w:szCs w:val="24"/>
          <w:lang w:eastAsia="fr-FR"/>
        </w:rPr>
      </w:r>
    </w:p>
    <w:tbl>
      <w:tblPr>
        <w:tblW w:w="11265" w:type="dxa"/>
        <w:jc w:val="center"/>
        <w:tblInd w:w="0" w:type="dxa"/>
        <w:tblBorders>
          <w:top w:val="single" w:sz="4" w:space="0" w:color="000000"/>
          <w:left w:val="single" w:sz="4" w:space="0" w:color="000000"/>
        </w:tblBorders>
        <w:tblCellMar>
          <w:top w:w="0" w:type="dxa"/>
          <w:left w:w="23" w:type="dxa"/>
          <w:bottom w:w="0" w:type="dxa"/>
          <w:right w:w="28" w:type="dxa"/>
        </w:tblCellMar>
      </w:tblPr>
      <w:tblGrid>
        <w:gridCol w:w="1764"/>
        <w:gridCol w:w="1627"/>
        <w:gridCol w:w="1627"/>
        <w:gridCol w:w="1491"/>
        <w:gridCol w:w="1492"/>
        <w:gridCol w:w="1627"/>
        <w:gridCol w:w="1637"/>
      </w:tblGrid>
      <w:tr>
        <w:trPr>
          <w:trHeight w:val="835" w:hRule="exact"/>
        </w:trPr>
        <w:tc>
          <w:tcPr>
            <w:tcW w:w="1764" w:type="dxa"/>
            <w:tcBorders>
              <w:top w:val="single" w:sz="4" w:space="0" w:color="000000"/>
              <w:left w:val="single" w:sz="4" w:space="0" w:color="000000"/>
            </w:tcBorders>
            <w:shd w:fill="auto" w:val="clear"/>
            <w:tcMar>
              <w:left w:w="23" w:type="dxa"/>
            </w:tcMar>
            <w:vAlign w:val="center"/>
          </w:tcPr>
          <w:p>
            <w:pPr>
              <w:pStyle w:val="Normal"/>
              <w:spacing w:lineRule="auto" w:line="240" w:before="0" w:after="0"/>
              <w:jc w:val="left"/>
              <w:rPr>
                <w:rFonts w:ascii="Arial" w:hAnsi="Arial" w:cs="Arial"/>
                <w:b/>
                <w:b/>
                <w:sz w:val="24"/>
                <w:szCs w:val="24"/>
              </w:rPr>
            </w:pPr>
            <w:r>
              <w:rPr>
                <w:rFonts w:cs="Arial" w:ascii="Arial" w:hAnsi="Arial"/>
                <w:sz w:val="24"/>
                <w:szCs w:val="24"/>
              </w:rPr>
              <w:t>Fait à Vaux le Pénil</w:t>
            </w:r>
          </w:p>
        </w:tc>
        <w:tc>
          <w:tcPr>
            <w:tcW w:w="162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auto" w:line="240" w:before="0" w:after="0"/>
              <w:jc w:val="left"/>
              <w:rPr>
                <w:rFonts w:ascii="Arial" w:hAnsi="Arial" w:cs="Arial"/>
                <w:b/>
                <w:b/>
                <w:sz w:val="24"/>
                <w:szCs w:val="24"/>
              </w:rPr>
            </w:pPr>
            <w:r>
              <w:rPr>
                <w:rFonts w:cs="Arial" w:ascii="Arial" w:hAnsi="Arial"/>
                <w:b/>
                <w:sz w:val="24"/>
                <w:szCs w:val="24"/>
              </w:rPr>
              <w:t>Le Syndicat</w:t>
            </w:r>
          </w:p>
          <w:p>
            <w:pPr>
              <w:pStyle w:val="Normal"/>
              <w:spacing w:lineRule="auto" w:line="240" w:before="0" w:after="0"/>
              <w:jc w:val="left"/>
              <w:rPr>
                <w:rFonts w:ascii="Arial" w:hAnsi="Arial" w:cs="Arial"/>
                <w:b/>
                <w:b/>
                <w:sz w:val="24"/>
                <w:szCs w:val="24"/>
              </w:rPr>
            </w:pPr>
            <w:r>
              <w:rPr>
                <w:rFonts w:cs="Arial" w:ascii="Arial" w:hAnsi="Arial"/>
                <w:b/>
                <w:sz w:val="24"/>
                <w:szCs w:val="24"/>
              </w:rPr>
              <w:t>UST</w:t>
            </w:r>
          </w:p>
        </w:tc>
        <w:tc>
          <w:tcPr>
            <w:tcW w:w="162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auto" w:line="240" w:before="0" w:after="0"/>
              <w:jc w:val="left"/>
              <w:rPr>
                <w:rFonts w:ascii="Arial" w:hAnsi="Arial" w:cs="Arial"/>
                <w:b/>
                <w:b/>
                <w:sz w:val="24"/>
                <w:szCs w:val="24"/>
              </w:rPr>
            </w:pPr>
            <w:r>
              <w:rPr>
                <w:rFonts w:cs="Arial" w:ascii="Arial" w:hAnsi="Arial"/>
                <w:b/>
                <w:sz w:val="24"/>
                <w:szCs w:val="24"/>
              </w:rPr>
              <w:t>Le Syndicat</w:t>
            </w:r>
          </w:p>
          <w:p>
            <w:pPr>
              <w:pStyle w:val="Normal"/>
              <w:spacing w:lineRule="auto" w:line="240" w:before="0" w:after="0"/>
              <w:jc w:val="left"/>
              <w:rPr>
                <w:rFonts w:ascii="Arial" w:hAnsi="Arial" w:cs="Arial"/>
                <w:b/>
                <w:b/>
                <w:sz w:val="24"/>
                <w:szCs w:val="24"/>
              </w:rPr>
            </w:pPr>
            <w:r>
              <w:rPr>
                <w:rFonts w:cs="Arial" w:ascii="Arial" w:hAnsi="Arial"/>
                <w:b/>
                <w:sz w:val="24"/>
                <w:szCs w:val="24"/>
              </w:rPr>
              <w:t>CFDT</w:t>
            </w:r>
          </w:p>
        </w:tc>
        <w:tc>
          <w:tcPr>
            <w:tcW w:w="149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auto" w:line="240" w:before="0" w:after="0"/>
              <w:jc w:val="left"/>
              <w:rPr>
                <w:rFonts w:ascii="Arial" w:hAnsi="Arial" w:cs="Arial"/>
                <w:b/>
                <w:b/>
                <w:sz w:val="24"/>
                <w:szCs w:val="24"/>
              </w:rPr>
            </w:pPr>
            <w:r>
              <w:rPr>
                <w:rFonts w:cs="Arial" w:ascii="Arial" w:hAnsi="Arial"/>
                <w:b/>
                <w:sz w:val="24"/>
                <w:szCs w:val="24"/>
              </w:rPr>
              <w:t>Le Syndicat</w:t>
            </w:r>
          </w:p>
          <w:p>
            <w:pPr>
              <w:pStyle w:val="Normal"/>
              <w:spacing w:lineRule="auto" w:line="240" w:before="0" w:after="0"/>
              <w:jc w:val="left"/>
              <w:rPr>
                <w:rFonts w:ascii="Arial" w:hAnsi="Arial" w:cs="Arial"/>
                <w:b/>
                <w:b/>
                <w:sz w:val="24"/>
                <w:szCs w:val="24"/>
              </w:rPr>
            </w:pPr>
            <w:r>
              <w:rPr>
                <w:rFonts w:cs="Arial" w:ascii="Arial" w:hAnsi="Arial"/>
                <w:b/>
                <w:sz w:val="24"/>
                <w:szCs w:val="24"/>
              </w:rPr>
              <w:t>CFTC</w:t>
            </w:r>
          </w:p>
        </w:tc>
        <w:tc>
          <w:tcPr>
            <w:tcW w:w="14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auto" w:line="240" w:before="0" w:after="0"/>
              <w:jc w:val="left"/>
              <w:rPr>
                <w:rFonts w:ascii="Arial" w:hAnsi="Arial" w:cs="Arial"/>
                <w:b/>
                <w:b/>
                <w:sz w:val="24"/>
                <w:szCs w:val="24"/>
              </w:rPr>
            </w:pPr>
            <w:r>
              <w:rPr>
                <w:rFonts w:cs="Arial" w:ascii="Arial" w:hAnsi="Arial"/>
                <w:b/>
                <w:sz w:val="24"/>
                <w:szCs w:val="24"/>
              </w:rPr>
              <w:t>Le Syndicat</w:t>
            </w:r>
          </w:p>
          <w:p>
            <w:pPr>
              <w:pStyle w:val="Normal"/>
              <w:spacing w:lineRule="auto" w:line="240" w:before="0" w:after="0"/>
              <w:jc w:val="left"/>
              <w:rPr>
                <w:rFonts w:ascii="Arial" w:hAnsi="Arial" w:cs="Arial"/>
                <w:b/>
                <w:b/>
                <w:sz w:val="24"/>
                <w:szCs w:val="24"/>
              </w:rPr>
            </w:pPr>
            <w:r>
              <w:rPr>
                <w:rFonts w:cs="Arial" w:ascii="Arial" w:hAnsi="Arial"/>
                <w:b/>
                <w:sz w:val="24"/>
                <w:szCs w:val="24"/>
              </w:rPr>
              <w:t>CGT</w:t>
            </w:r>
          </w:p>
        </w:tc>
        <w:tc>
          <w:tcPr>
            <w:tcW w:w="1627"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pacing w:lineRule="auto" w:line="240" w:before="0" w:after="0"/>
              <w:jc w:val="center"/>
              <w:rPr>
                <w:rFonts w:ascii="Arial" w:hAnsi="Arial" w:cs="Arial"/>
                <w:b/>
                <w:b/>
                <w:sz w:val="24"/>
                <w:szCs w:val="24"/>
              </w:rPr>
            </w:pPr>
            <w:r>
              <w:rPr>
                <w:rFonts w:cs="Arial" w:ascii="Arial" w:hAnsi="Arial"/>
                <w:b/>
                <w:sz w:val="24"/>
                <w:szCs w:val="24"/>
              </w:rPr>
              <w:t>Le Syndicat CFE CGC</w:t>
            </w:r>
          </w:p>
        </w:tc>
        <w:tc>
          <w:tcPr>
            <w:tcW w:w="1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auto" w:line="240" w:before="0" w:after="0"/>
              <w:jc w:val="left"/>
              <w:rPr>
                <w:rFonts w:ascii="Arial" w:hAnsi="Arial" w:cs="Arial"/>
                <w:b/>
                <w:b/>
                <w:sz w:val="24"/>
                <w:szCs w:val="24"/>
              </w:rPr>
            </w:pPr>
            <w:r>
              <w:rPr>
                <w:rFonts w:cs="Arial" w:ascii="Arial" w:hAnsi="Arial"/>
                <w:b/>
                <w:sz w:val="24"/>
                <w:szCs w:val="24"/>
              </w:rPr>
              <w:t>La Direction</w:t>
            </w:r>
          </w:p>
        </w:tc>
      </w:tr>
      <w:tr>
        <w:trPr>
          <w:trHeight w:val="1305" w:hRule="exact"/>
        </w:trPr>
        <w:tc>
          <w:tcPr>
            <w:tcW w:w="1764" w:type="dxa"/>
            <w:tcBorders>
              <w:left w:val="single" w:sz="4" w:space="0" w:color="000000"/>
              <w:bottom w:val="single" w:sz="4" w:space="0" w:color="000000"/>
              <w:insideH w:val="single" w:sz="4" w:space="0" w:color="000000"/>
            </w:tcBorders>
            <w:shd w:fill="auto" w:val="clear"/>
            <w:tcMar>
              <w:left w:w="23" w:type="dxa"/>
            </w:tcMar>
            <w:vAlign w:val="center"/>
          </w:tcPr>
          <w:p>
            <w:pPr>
              <w:pStyle w:val="Normal"/>
              <w:spacing w:lineRule="auto" w:line="240" w:before="0" w:after="0"/>
              <w:jc w:val="left"/>
              <w:rPr>
                <w:rFonts w:ascii="Arial" w:hAnsi="Arial" w:cs="Arial"/>
                <w:spacing w:val="-8"/>
                <w:sz w:val="24"/>
                <w:szCs w:val="24"/>
              </w:rPr>
            </w:pPr>
            <w:r>
              <w:rPr>
                <w:rFonts w:cs="Arial" w:ascii="Arial" w:hAnsi="Arial"/>
                <w:spacing w:val="-8"/>
                <w:sz w:val="24"/>
                <w:szCs w:val="24"/>
              </w:rPr>
              <w:t>Le 14 / 09 / 2017</w:t>
            </w:r>
          </w:p>
          <w:p>
            <w:pPr>
              <w:pStyle w:val="Normal"/>
              <w:spacing w:lineRule="auto" w:line="240" w:before="0" w:after="0"/>
              <w:jc w:val="left"/>
              <w:rPr>
                <w:rFonts w:ascii="Arial" w:hAnsi="Arial" w:cs="Arial"/>
                <w:b/>
                <w:b/>
                <w:sz w:val="24"/>
                <w:szCs w:val="24"/>
              </w:rPr>
            </w:pPr>
            <w:r>
              <w:rPr>
                <w:rFonts w:cs="Arial" w:ascii="Arial" w:hAnsi="Arial"/>
                <w:spacing w:val="-8"/>
                <w:sz w:val="24"/>
                <w:szCs w:val="24"/>
              </w:rPr>
              <w:t>En 10 exemplaires originaux</w:t>
            </w:r>
          </w:p>
        </w:tc>
        <w:tc>
          <w:tcPr>
            <w:tcW w:w="162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line="240" w:before="0" w:after="0"/>
              <w:ind w:left="1134" w:hanging="0"/>
              <w:jc w:val="center"/>
              <w:rPr>
                <w:rFonts w:ascii="Arial" w:hAnsi="Arial" w:cs="Arial"/>
                <w:b/>
                <w:b/>
                <w:sz w:val="24"/>
                <w:szCs w:val="24"/>
              </w:rPr>
            </w:pPr>
            <w:r>
              <w:rPr>
                <w:rFonts w:cs="Arial" w:ascii="Arial" w:hAnsi="Arial"/>
                <w:b/>
                <w:sz w:val="24"/>
                <w:szCs w:val="24"/>
              </w:rPr>
            </w:r>
          </w:p>
        </w:tc>
        <w:tc>
          <w:tcPr>
            <w:tcW w:w="162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line="240" w:before="0" w:after="0"/>
              <w:ind w:left="1134" w:hanging="0"/>
              <w:jc w:val="center"/>
              <w:rPr>
                <w:rFonts w:ascii="Arial" w:hAnsi="Arial" w:cs="Arial"/>
                <w:b/>
                <w:b/>
                <w:sz w:val="24"/>
                <w:szCs w:val="24"/>
              </w:rPr>
            </w:pPr>
            <w:r>
              <w:rPr>
                <w:rFonts w:cs="Arial" w:ascii="Arial" w:hAnsi="Arial"/>
                <w:b/>
                <w:sz w:val="24"/>
                <w:szCs w:val="24"/>
              </w:rPr>
            </w:r>
          </w:p>
        </w:tc>
        <w:tc>
          <w:tcPr>
            <w:tcW w:w="149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line="240" w:before="0" w:after="0"/>
              <w:ind w:left="1134" w:hanging="0"/>
              <w:jc w:val="center"/>
              <w:rPr>
                <w:rFonts w:ascii="Arial" w:hAnsi="Arial" w:cs="Arial"/>
                <w:b/>
                <w:b/>
                <w:sz w:val="24"/>
                <w:szCs w:val="24"/>
              </w:rPr>
            </w:pPr>
            <w:r>
              <w:rPr>
                <w:rFonts w:cs="Arial" w:ascii="Arial" w:hAnsi="Arial"/>
                <w:b/>
                <w:sz w:val="24"/>
                <w:szCs w:val="24"/>
              </w:rPr>
            </w:r>
          </w:p>
        </w:tc>
        <w:tc>
          <w:tcPr>
            <w:tcW w:w="14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line="240" w:before="0" w:after="0"/>
              <w:ind w:left="1134" w:hanging="0"/>
              <w:jc w:val="center"/>
              <w:rPr>
                <w:rFonts w:ascii="Arial" w:hAnsi="Arial" w:cs="Arial"/>
                <w:b/>
                <w:b/>
                <w:sz w:val="24"/>
                <w:szCs w:val="24"/>
              </w:rPr>
            </w:pPr>
            <w:r>
              <w:rPr>
                <w:rFonts w:cs="Arial" w:ascii="Arial" w:hAnsi="Arial"/>
                <w:b/>
                <w:sz w:val="24"/>
                <w:szCs w:val="24"/>
              </w:rPr>
            </w:r>
          </w:p>
        </w:tc>
        <w:tc>
          <w:tcPr>
            <w:tcW w:w="1627"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auto" w:line="240" w:before="0" w:after="0"/>
              <w:ind w:left="1134" w:hanging="0"/>
              <w:jc w:val="center"/>
              <w:rPr>
                <w:rFonts w:ascii="Arial" w:hAnsi="Arial" w:cs="Arial"/>
                <w:b/>
                <w:b/>
                <w:spacing w:val="-8"/>
                <w:sz w:val="24"/>
                <w:szCs w:val="24"/>
              </w:rPr>
            </w:pPr>
            <w:r>
              <w:rPr>
                <w:rFonts w:cs="Arial" w:ascii="Arial" w:hAnsi="Arial"/>
                <w:b/>
                <w:spacing w:val="-8"/>
                <w:sz w:val="24"/>
                <w:szCs w:val="24"/>
              </w:rPr>
            </w:r>
          </w:p>
        </w:tc>
        <w:tc>
          <w:tcPr>
            <w:tcW w:w="1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auto" w:line="240" w:before="0" w:after="0"/>
              <w:ind w:left="1134" w:hanging="0"/>
              <w:jc w:val="center"/>
              <w:rPr>
                <w:rFonts w:ascii="Arial" w:hAnsi="Arial" w:cs="Arial"/>
                <w:b/>
                <w:b/>
                <w:spacing w:val="-8"/>
                <w:sz w:val="24"/>
                <w:szCs w:val="24"/>
              </w:rPr>
            </w:pPr>
            <w:r>
              <w:rPr>
                <w:rFonts w:cs="Arial" w:ascii="Arial" w:hAnsi="Arial"/>
                <w:b/>
                <w:spacing w:val="-8"/>
                <w:sz w:val="24"/>
                <w:szCs w:val="24"/>
              </w:rPr>
            </w:r>
          </w:p>
        </w:tc>
      </w:tr>
    </w:tbl>
    <w:p>
      <w:pPr>
        <w:pStyle w:val="Normal"/>
        <w:spacing w:lineRule="auto" w:line="240" w:before="0" w:after="0"/>
        <w:ind w:left="1416" w:hanging="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before="0" w:after="0"/>
        <w:rPr>
          <w:rFonts w:ascii="Arial" w:hAnsi="Arial" w:eastAsia="Times New Roman" w:cs="Arial"/>
          <w:color w:val="000000"/>
          <w:sz w:val="24"/>
          <w:szCs w:val="24"/>
          <w:lang w:eastAsia="fr-FR"/>
        </w:rPr>
      </w:pPr>
      <w:r>
        <w:rPr>
          <w:rFonts w:eastAsia="Times New Roman" w:cs="Arial" w:ascii="Arial" w:hAnsi="Arial"/>
          <w:color w:val="000000"/>
          <w:sz w:val="24"/>
          <w:szCs w:val="24"/>
          <w:lang w:eastAsia="fr-FR"/>
        </w:rPr>
      </w:r>
    </w:p>
    <w:p>
      <w:pPr>
        <w:pStyle w:val="Normal"/>
        <w:spacing w:before="0" w:after="0"/>
        <w:rPr>
          <w:rFonts w:ascii="Verdana" w:hAnsi="Verdana" w:cs="Verdana"/>
          <w:color w:val="000000"/>
          <w:sz w:val="24"/>
          <w:szCs w:val="24"/>
        </w:rPr>
      </w:pPr>
      <w:r>
        <w:rPr>
          <w:rFonts w:cs="Verdana" w:ascii="Verdana" w:hAnsi="Verdana"/>
          <w:color w:val="000000"/>
          <w:sz w:val="24"/>
          <w:szCs w:val="24"/>
        </w:rPr>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Tahoma">
    <w:charset w:val="00"/>
    <w:family w:val="swiss"/>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lang w:val="en-GB" w:eastAsia="en-GB"/>
      </w:rPr>
    </w:pPr>
    <w:r>
      <w:rPr/>
      <w:fldChar w:fldCharType="begin"/>
    </w:r>
    <w:r>
      <w:instrText> PAGE </w:instrText>
    </w:r>
    <w:r>
      <w:fldChar w:fldCharType="separate"/>
    </w:r>
    <w:r>
      <w:t>3</w:t>
    </w:r>
    <w: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3">
    <w:lvl w:ilvl="0">
      <w:start w:val="1"/>
      <w:numFmt w:val="bullet"/>
      <w:lvlText w:val=""/>
      <w:lvlJc w:val="left"/>
      <w:pPr>
        <w:tabs>
          <w:tab w:val="num" w:pos="142"/>
        </w:tabs>
        <w:ind w:left="142" w:hanging="142"/>
      </w:pPr>
      <w:rPr>
        <w:rFonts w:ascii="Symbol" w:hAnsi="Symbol" w:cs="Symbol" w:hint="default"/>
        <w:sz w:val="16"/>
        <w:rFonts w:cs="Symbol"/>
        <w:lang w:val="fr-CA"/>
      </w:rPr>
    </w:lvl>
  </w:abstractNum>
  <w:abstractNum w:abstractNumId="4">
    <w:lvl w:ilvl="0">
      <w:start w:val="1"/>
      <w:numFmt w:val="decimal"/>
      <w:lvlText w:val="%1."/>
      <w:lvlJc w:val="left"/>
      <w:pPr>
        <w:ind w:left="1211" w:hanging="360"/>
      </w:pPr>
      <w:rPr>
        <w:sz w:val="22"/>
        <w:b/>
        <w:szCs w:val="22"/>
        <w:lang w:val="fr-CA"/>
      </w:rPr>
    </w:lvl>
  </w:abstractNum>
  <w:abstractNum w:abstractNumId="5">
    <w:lvl w:ilvl="0">
      <w:start w:val="1"/>
      <w:numFmt w:val="bullet"/>
      <w:lvlText w:val=""/>
      <w:lvlJc w:val="right"/>
      <w:pPr>
        <w:ind w:left="720" w:hanging="360"/>
      </w:pPr>
      <w:rPr>
        <w:rFonts w:ascii="Symbol" w:hAnsi="Symbol" w:cs="Symbol" w:hint="default"/>
        <w:sz w:val="24"/>
        <w:szCs w:val="24"/>
        <w:rFonts w:cs="Symbol"/>
        <w:lang w:val="fr-CA"/>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jc w:val="both"/>
    </w:pPr>
    <w:rPr>
      <w:rFonts w:ascii="Calibri" w:hAnsi="Calibri" w:eastAsia="Calibri" w:cs="Times New Roman"/>
      <w:color w:val="auto"/>
      <w:sz w:val="22"/>
      <w:szCs w:val="22"/>
      <w:lang w:val="fr-FR"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Symbol" w:hAnsi="Symbol" w:cs="Symbol"/>
      <w:sz w:val="16"/>
      <w:lang w:val="fr-CA"/>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Symbol" w:hAnsi="Symbol" w:cs="Symbol"/>
      <w:color w:val="000000"/>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Verdana" w:hAnsi="Verdana" w:eastAsia="Calibri"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b/>
      <w:sz w:val="22"/>
      <w:szCs w:val="22"/>
      <w:lang w:val="fr-CA"/>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sz w:val="24"/>
      <w:szCs w:val="24"/>
      <w:lang w:val="fr-CA"/>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b w:val="false"/>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Verdana" w:hAnsi="Verdana" w:eastAsia="Calibri"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Verdana" w:hAnsi="Verdana" w:eastAsia="Calibri" w:cs="Times New Roman"/>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b w:val="false"/>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Verdana" w:hAnsi="Verdana" w:eastAsia="Times New Roman"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color w:val="000000"/>
      <w:sz w:val="16"/>
      <w:lang w:val="fr-CA"/>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Verdana" w:hAnsi="Verdana" w:eastAsia="Calibri"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Policepardfaut">
    <w:name w:val="Police par défaut"/>
    <w:qFormat/>
    <w:rPr/>
  </w:style>
  <w:style w:type="character" w:styleId="EntteCar">
    <w:name w:val="En-tête Car"/>
    <w:qFormat/>
    <w:rPr>
      <w:rFonts w:cs="Times New Roman"/>
    </w:rPr>
  </w:style>
  <w:style w:type="character" w:styleId="PieddepageCar">
    <w:name w:val="Pied de page Car"/>
    <w:qFormat/>
    <w:rPr>
      <w:rFonts w:cs="Times New Roman"/>
    </w:rPr>
  </w:style>
  <w:style w:type="character" w:styleId="TextedebullesCar">
    <w:name w:val="Texte de bulles Car"/>
    <w:qFormat/>
    <w:rPr>
      <w:rFonts w:ascii="Tahoma" w:hAnsi="Tahoma" w:cs="Tahoma"/>
      <w:sz w:val="16"/>
      <w:szCs w:val="16"/>
    </w:rPr>
  </w:style>
  <w:style w:type="character" w:styleId="Marquedecommentaire">
    <w:name w:val="Marque de commentaire"/>
    <w:qFormat/>
    <w:rPr>
      <w:sz w:val="16"/>
      <w:szCs w:val="16"/>
    </w:rPr>
  </w:style>
  <w:style w:type="character" w:styleId="CommentaireCar">
    <w:name w:val="Commentaire Car"/>
    <w:qFormat/>
    <w:rPr/>
  </w:style>
  <w:style w:type="character" w:styleId="ObjetducommentaireCar">
    <w:name w:val="Objet du commentaire Car"/>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Paragraphedeliste">
    <w:name w:val="Paragraphe de liste"/>
    <w:basedOn w:val="Normal"/>
    <w:qFormat/>
    <w:pPr>
      <w:spacing w:before="0" w:after="200"/>
      <w:ind w:left="720" w:hanging="0"/>
      <w:contextualSpacing/>
    </w:pPr>
    <w:rPr/>
  </w:style>
  <w:style w:type="paragraph" w:styleId="Textedebulles">
    <w:name w:val="Texte de bulles"/>
    <w:basedOn w:val="Normal"/>
    <w:qFormat/>
    <w:pPr>
      <w:spacing w:lineRule="auto" w:line="240" w:before="0" w:after="0"/>
    </w:pPr>
    <w:rPr>
      <w:rFonts w:ascii="Tahoma" w:hAnsi="Tahoma" w:cs="Tahoma"/>
      <w:sz w:val="16"/>
      <w:szCs w:val="16"/>
    </w:rPr>
  </w:style>
  <w:style w:type="paragraph" w:styleId="P9">
    <w:name w:val="P.9"/>
    <w:basedOn w:val="Normal"/>
    <w:next w:val="Normal"/>
    <w:qFormat/>
    <w:pPr>
      <w:spacing w:lineRule="auto" w:line="240" w:before="120" w:after="0"/>
      <w:ind w:left="2268" w:hanging="142"/>
    </w:pPr>
    <w:rPr>
      <w:rFonts w:ascii="Times New Roman" w:hAnsi="Times New Roman" w:eastAsia="Times New Roman" w:cs="Times New Roman"/>
      <w:sz w:val="20"/>
      <w:szCs w:val="24"/>
    </w:rPr>
  </w:style>
  <w:style w:type="paragraph" w:styleId="TITRE0">
    <w:name w:val="TITRE 0"/>
    <w:basedOn w:val="Normal"/>
    <w:next w:val="Normal"/>
    <w:qFormat/>
    <w:pPr>
      <w:pBdr>
        <w:bottom w:val="single" w:sz="4" w:space="18" w:color="000000"/>
      </w:pBdr>
      <w:spacing w:lineRule="auto" w:line="240" w:before="240" w:after="0"/>
      <w:jc w:val="center"/>
    </w:pPr>
    <w:rPr>
      <w:rFonts w:ascii="Times New Roman" w:hAnsi="Times New Roman" w:eastAsia="Times New Roman" w:cs="Times New Roman"/>
      <w:b/>
      <w:bCs/>
      <w:sz w:val="24"/>
      <w:szCs w:val="24"/>
      <w:u w:val="single"/>
    </w:rPr>
  </w:style>
  <w:style w:type="paragraph" w:styleId="TITRE00">
    <w:name w:val="TITRE 00"/>
    <w:basedOn w:val="TITRE0"/>
    <w:next w:val="TITRE0"/>
    <w:qFormat/>
    <w:pPr>
      <w:pBdr>
        <w:top w:val="single" w:sz="4" w:space="3" w:color="000000"/>
        <w:left w:val="single" w:sz="4" w:space="0" w:color="000000"/>
        <w:bottom w:val="single" w:sz="4" w:space="3" w:color="000000"/>
        <w:right w:val="single" w:sz="4" w:space="0" w:color="000000"/>
      </w:pBdr>
      <w:shd w:fill="EAEAEA" w:val="clear"/>
      <w:spacing w:before="0" w:after="0"/>
      <w:ind w:left="2268" w:right="2268" w:hanging="0"/>
    </w:pPr>
    <w:rPr>
      <w:sz w:val="28"/>
      <w:u w:val="none"/>
      <w:lang w:val="fr-CA"/>
    </w:rPr>
  </w:style>
  <w:style w:type="paragraph" w:styleId="P1">
    <w:name w:val="P.1"/>
    <w:basedOn w:val="Normal"/>
    <w:qFormat/>
    <w:pPr>
      <w:numPr>
        <w:ilvl w:val="0"/>
        <w:numId w:val="3"/>
      </w:numPr>
      <w:spacing w:lineRule="auto" w:line="240" w:before="240" w:after="0"/>
    </w:pPr>
    <w:rPr>
      <w:rFonts w:ascii="Times New Roman" w:hAnsi="Times New Roman" w:eastAsia="Times New Roman" w:cs="Times New Roman"/>
      <w:sz w:val="24"/>
      <w:szCs w:val="24"/>
    </w:rPr>
  </w:style>
  <w:style w:type="paragraph" w:styleId="Xmsonormal">
    <w:name w:val="x_msonormal"/>
    <w:basedOn w:val="Normal"/>
    <w:qFormat/>
    <w:pPr>
      <w:spacing w:lineRule="auto" w:line="240" w:before="280" w:after="280"/>
      <w:jc w:val="left"/>
    </w:pPr>
    <w:rPr>
      <w:rFonts w:ascii="Times New Roman" w:hAnsi="Times New Roman" w:eastAsia="Times New Roman" w:cs="Times New Roman"/>
      <w:sz w:val="24"/>
      <w:szCs w:val="24"/>
    </w:rPr>
  </w:style>
  <w:style w:type="paragraph" w:styleId="P8">
    <w:name w:val="P.8"/>
    <w:basedOn w:val="P1"/>
    <w:qFormat/>
    <w:pPr>
      <w:numPr>
        <w:ilvl w:val="0"/>
        <w:numId w:val="2"/>
      </w:numPr>
    </w:pPr>
    <w:rPr>
      <w:sz w:val="20"/>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NormalWeb">
    <w:name w:val="Normal (Web)"/>
    <w:basedOn w:val="Normal"/>
    <w:qFormat/>
    <w:pPr>
      <w:spacing w:lineRule="auto" w:line="240" w:before="280" w:after="280"/>
      <w:jc w:val="left"/>
    </w:pPr>
    <w:rPr>
      <w:rFonts w:ascii="Times New Roman" w:hAnsi="Times New Roman" w:eastAsia="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2016-10-19T13:16:00Z</cp:lastPrinted>
  <dcterms:created xsi:type="dcterms:W3CDTF">2017-10-11T06:28:00Z</dcterms:created>
  <dcterms:modified xsi:type="dcterms:W3CDTF">2017-10-11T06:28:00Z</dcterms:modified>
</cp:coreProperties>
</file>