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6237" w:leader="none"/>
        </w:tabs>
        <w:spacing w:lineRule="atLeast" w:line="28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spacing w:lineRule="atLeast" w:line="280"/>
        <w:ind w:right="421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80" w:leader="none"/>
        </w:tabs>
        <w:spacing w:lineRule="atLeast" w:line="280"/>
        <w:ind w:right="-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80" w:leader="none"/>
        </w:tabs>
        <w:spacing w:lineRule="atLeast" w:line="240"/>
        <w:ind w:right="-2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AVENANT DE PROROGATION A L’ACCORD RELATIF </w:t>
      </w:r>
      <w:r>
        <w:rPr>
          <w:rFonts w:cs="Arial" w:ascii="Arial" w:hAnsi="Arial"/>
          <w:b/>
          <w:sz w:val="22"/>
          <w:szCs w:val="20"/>
        </w:rPr>
        <w:t>A L’EMPLOI ET A LA GESTION PREVISIONNELLE DES EMPLOIS ET DES COMPETENCES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80" w:leader="none"/>
        </w:tabs>
        <w:spacing w:lineRule="atLeast" w:line="280"/>
        <w:ind w:right="-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tLeast" w:line="280"/>
        <w:ind w:right="421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ENTRE LES SOUSSIGNEES</w:t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La Compagnie Européenne de Garanties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et Cautions (CEGC), </w:t>
      </w:r>
      <w:r>
        <w:rPr>
          <w:rFonts w:cs="Arial" w:ascii="Arial" w:hAnsi="Arial"/>
          <w:sz w:val="22"/>
          <w:szCs w:val="22"/>
        </w:rPr>
        <w:t>immatriculée sous le numéro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382 506 079 RCS Nanterre, dont le siège social est situé Tour Kupka B – 16 rue Hoche – 92919 LA DEFENSE Cedex, </w:t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80"/>
        <w:ind w:left="5985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tLeast" w:line="280"/>
        <w:ind w:left="6694" w:firstLine="396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D’UNE PART</w:t>
      </w:r>
    </w:p>
    <w:p>
      <w:pPr>
        <w:pStyle w:val="Normal"/>
        <w:spacing w:lineRule="atLeast" w:line="28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ET</w:t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L’organisation syndicale </w:t>
      </w:r>
      <w:r>
        <w:rPr>
          <w:rFonts w:cs="Arial" w:ascii="Arial" w:hAnsi="Arial"/>
          <w:b/>
          <w:sz w:val="22"/>
          <w:szCs w:val="22"/>
        </w:rPr>
        <w:t>SNB CFE-CGC</w:t>
      </w:r>
      <w:r>
        <w:rPr>
          <w:rFonts w:cs="Arial" w:ascii="Arial" w:hAnsi="Arial"/>
          <w:sz w:val="22"/>
          <w:szCs w:val="22"/>
        </w:rPr>
        <w:t xml:space="preserve">, </w:t>
      </w:r>
    </w:p>
    <w:p>
      <w:pPr>
        <w:pStyle w:val="Normal"/>
        <w:spacing w:lineRule="atLeast" w:line="280"/>
        <w:ind w:left="5985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tLeast" w:line="280"/>
        <w:ind w:left="6694" w:firstLine="396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D’AUTRE PART</w:t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eastAsia="Courier New" w:cs="Arial"/>
          <w:b/>
          <w:b/>
          <w:color w:val="000000"/>
          <w:sz w:val="22"/>
          <w:szCs w:val="22"/>
          <w:u w:val="single" w:color="000000"/>
        </w:rPr>
      </w:pPr>
      <w:r>
        <w:rPr>
          <w:rFonts w:eastAsia="Courier New" w:cs="Arial" w:ascii="Arial" w:hAnsi="Arial"/>
          <w:b/>
          <w:color w:val="000000"/>
          <w:sz w:val="22"/>
          <w:szCs w:val="22"/>
          <w:u w:val="single" w:color="000000"/>
        </w:rPr>
      </w:r>
    </w:p>
    <w:p>
      <w:pPr>
        <w:pStyle w:val="Normal"/>
        <w:spacing w:lineRule="atLeast" w:line="280"/>
        <w:jc w:val="both"/>
        <w:rPr>
          <w:rFonts w:ascii="Arial" w:hAnsi="Arial" w:eastAsia="Courier New" w:cs="Arial"/>
          <w:color w:val="000000"/>
          <w:sz w:val="22"/>
          <w:szCs w:val="22"/>
          <w:u w:val="single" w:color="000000"/>
        </w:rPr>
      </w:pPr>
      <w:r>
        <w:rPr>
          <w:rFonts w:eastAsia="Courier New" w:cs="Arial" w:ascii="Arial" w:hAnsi="Arial"/>
          <w:color w:val="000000"/>
          <w:sz w:val="22"/>
          <w:szCs w:val="22"/>
          <w:u w:val="single" w:color="000000"/>
        </w:rPr>
      </w:r>
    </w:p>
    <w:p>
      <w:pPr>
        <w:pStyle w:val="Normal"/>
        <w:spacing w:lineRule="atLeast" w:line="280"/>
        <w:jc w:val="both"/>
        <w:rPr>
          <w:rFonts w:ascii="Arial" w:hAnsi="Arial" w:eastAsia="Courier New" w:cs="Arial"/>
          <w:bCs/>
          <w:color w:val="000000"/>
          <w:sz w:val="22"/>
          <w:szCs w:val="22"/>
          <w:u w:val="single" w:color="000000"/>
        </w:rPr>
      </w:pPr>
      <w:r>
        <w:rPr>
          <w:rFonts w:eastAsia="Courier New" w:cs="Arial" w:ascii="Arial" w:hAnsi="Arial"/>
          <w:bCs/>
          <w:color w:val="000000"/>
          <w:sz w:val="22"/>
          <w:szCs w:val="22"/>
          <w:u w:val="single" w:color="000000"/>
        </w:rPr>
      </w:r>
      <w:r>
        <w:br w:type="page"/>
      </w:r>
    </w:p>
    <w:p>
      <w:pPr>
        <w:pStyle w:val="Normal"/>
        <w:spacing w:lineRule="atLeast" w:line="28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eastAsia="Courier New" w:cs="Arial"/>
          <w:bCs/>
          <w:color w:val="000000"/>
          <w:sz w:val="22"/>
          <w:szCs w:val="22"/>
          <w:u w:val="single" w:color="000000"/>
        </w:rPr>
      </w:pPr>
      <w:r>
        <w:rPr>
          <w:rFonts w:eastAsia="Courier New" w:cs="Arial" w:ascii="Arial" w:hAnsi="Arial"/>
          <w:bCs/>
          <w:color w:val="000000"/>
          <w:sz w:val="22"/>
          <w:szCs w:val="22"/>
          <w:u w:val="single" w:color="000000"/>
        </w:rPr>
      </w:r>
    </w:p>
    <w:p>
      <w:pPr>
        <w:pStyle w:val="Normal"/>
        <w:spacing w:lineRule="atLeast" w:line="280"/>
        <w:ind w:right="-2" w:hanging="0"/>
        <w:jc w:val="both"/>
        <w:rPr>
          <w:rFonts w:ascii="Arial" w:hAnsi="Arial" w:eastAsia="Courier New" w:cs="Arial"/>
          <w:b/>
          <w:b/>
          <w:color w:val="000000"/>
          <w:sz w:val="22"/>
          <w:szCs w:val="22"/>
          <w:u w:val="single" w:color="000000"/>
        </w:rPr>
      </w:pPr>
      <w:r>
        <w:rPr>
          <w:rFonts w:eastAsia="Courier New" w:cs="Arial" w:ascii="Arial" w:hAnsi="Arial"/>
          <w:b/>
          <w:color w:val="000000"/>
          <w:sz w:val="22"/>
          <w:szCs w:val="22"/>
          <w:u w:val="single" w:color="000000"/>
        </w:rPr>
      </w:r>
    </w:p>
    <w:p>
      <w:pPr>
        <w:pStyle w:val="Normal"/>
        <w:spacing w:lineRule="atLeast" w:line="280"/>
        <w:jc w:val="both"/>
        <w:rPr>
          <w:rFonts w:ascii="Arial" w:hAnsi="Arial" w:eastAsia="Courier New" w:cs="Arial"/>
          <w:b/>
          <w:b/>
          <w:color w:val="000000"/>
          <w:sz w:val="22"/>
          <w:szCs w:val="22"/>
        </w:rPr>
      </w:pPr>
      <w:r>
        <w:rPr>
          <w:rFonts w:eastAsia="Courier New"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right" w:pos="9062" w:leader="hyphen"/>
        </w:tabs>
        <w:spacing w:lineRule="atLeast" w:line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right" w:pos="9062" w:leader="hyphen"/>
        </w:tabs>
        <w:spacing w:lineRule="atLeast" w:line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right" w:pos="9062" w:leader="hyphen"/>
        </w:tabs>
        <w:spacing w:lineRule="atLeast" w:line="28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Préambule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parties ont signé le 29 avril 2019 un accord relatif à l’emploi et à la gestion prévisionnelle des emplois et des compétences.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Cet accord, conclu pour une durée déterminée, arrive à échéance le 30 juin 2020.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Direction entend proroger par le présent avenant, le terme de cet accord, et continuer à appliquer ses dispositions en l’état, afin de se laisser le temps d’examiner les suites que les parties envisagent de donner à cet accord.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Dans ce contexte, il est conclu le présent avenant ayant pour objet de proroger la durée de   l’accord relatif à l’emploi et à la gestion prévisionnelle des emplois et des compétences.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Article 1 – Prorogation de l’accord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L’accord relatif à l’emploi et à la gestion prévisionnelle des emplois et des compétences du 29 avril 2019 est prorogé dans toutes ses dispositions jusqu’au 31 décembre 2022.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Article 2 – Durée du présent avenant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Le présent avenant est conclu pour une durée déterminée. Il entrera en vigueur                             le </w:t>
      </w:r>
      <w:r>
        <w:rPr>
          <w:rFonts w:cs="Arial" w:ascii="Arial" w:hAnsi="Arial"/>
          <w:b/>
          <w:bCs/>
          <w:sz w:val="22"/>
          <w:szCs w:val="22"/>
        </w:rPr>
        <w:t>1</w:t>
      </w:r>
      <w:r>
        <w:rPr>
          <w:rFonts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cs="Arial" w:ascii="Arial" w:hAnsi="Arial"/>
          <w:b/>
          <w:bCs/>
          <w:sz w:val="22"/>
          <w:szCs w:val="22"/>
        </w:rPr>
        <w:t xml:space="preserve"> juillet 2020 et prendra fin au 31 décembre 2022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parties au présent avenant conviennent que ce dernier prendra fin de manière anticipée en cas de conclusion d’un accord collectif applicable à CEGC sur ces mêmes thématiques.</w:t>
      </w:r>
    </w:p>
    <w:p>
      <w:pPr>
        <w:pStyle w:val="Normal"/>
        <w:rPr>
          <w:rFonts w:ascii="Arial" w:hAnsi="Arial" w:cs="Calibri"/>
          <w:sz w:val="22"/>
          <w:szCs w:val="20"/>
        </w:rPr>
      </w:pPr>
      <w:r>
        <w:rPr>
          <w:rFonts w:cs="Calibri" w:ascii="Arial" w:hAnsi="Arial"/>
          <w:sz w:val="22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Article 3 – Notification et dépôt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Conformément aux dispositions de l’article D.2231-4 du Code du travail, le présent avenant sera déposé sur la plateforme de téléprocédure prévue à cet effet. Il sera également remis au secrétariat greffe du Conseil de Prud’hommes de Nanterre.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overflowPunct w:val="false"/>
        <w:autoSpaceDE w:val="false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sera notifié à l’ensemble des Organisations syndicales représentatives, et porté à la connaissance de l’ensemble des salariés concomitamment à la procédure de dépôt.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Fait à La Défense, le 18 juin 2020, en 2 exemplaires originaux.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Pour la Compagnie Européenne de Garanties et Cautions,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Pour l’organisation syndicale SNB CFE-CGC,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134" w:footer="284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Calibri Light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MinionPro-Regular">
    <w:altName w:val="Calibri"/>
    <w:charset w:val="00"/>
    <w:family w:val="auto"/>
    <w:pitch w:val="default"/>
  </w:font>
  <w:font w:name="Helvetica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HelveticaNeueLT-Medium">
    <w:altName w:val="Times New Roman"/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autoSpaceDE w:val="false"/>
      <w:ind w:left="-851" w:right="-1134" w:hanging="0"/>
      <w:textAlignment w:val="center"/>
      <w:rPr>
        <w:rFonts w:ascii="Verdana" w:hAnsi="Verdana" w:cs="UniversLTStd-Light;Cambria"/>
        <w:color w:val="000000"/>
        <w:sz w:val="13"/>
        <w:szCs w:val="13"/>
      </w:rPr>
    </w:pPr>
    <w:r>
      <w:rPr>
        <w:rFonts w:cs="UniversLTStd-Bold" w:ascii="Verdana" w:hAnsi="Verdana"/>
        <w:b/>
        <w:bCs/>
        <w:color w:val="000000"/>
        <w:sz w:val="13"/>
        <w:szCs w:val="13"/>
      </w:rPr>
      <w:t>C</w:t>
    </w:r>
    <w:r>
      <w:rPr>
        <w:rFonts w:cs="UniversLTStd-Bold" w:ascii="Verdana" w:hAnsi="Verdana"/>
        <w:b/>
        <w:bCs/>
        <w:color w:val="000000"/>
        <w:sz w:val="13"/>
        <w:szCs w:val="13"/>
      </w:rPr>
      <w:t>ompagnie Européenne de Garanties et Cautions</w:t>
    </w:r>
    <w:r>
      <w:rPr>
        <w:rFonts w:cs="UniversLTStd-Light;Cambria" w:ascii="Verdana" w:hAnsi="Verdana"/>
        <w:color w:val="000000"/>
        <w:sz w:val="13"/>
        <w:szCs w:val="13"/>
      </w:rPr>
      <w:t xml:space="preserve"> - 16, rue Hoche - Tour Kupka B - TSA 39999 - 92919 La Défense Cedex - Téléphone : +33 1 58 19 85 85 </w:t>
      <w:br/>
      <w:t>Société anonyme au capital de 160 995 996 euros - Entreprise régie par le Code des Assurances - 382 506 079 RCS Nanterre - APE 6512 Z - TVA : FR 04 382 506 079</w: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cs="Calibri" w:ascii="Calibri" w:hAnsi="Calibri"/>
                              <w:color w:val="FFFFFF"/>
                              <w:sz w:val="2"/>
                            </w:rPr>
                            <w:t>C2 -</w:t>
                          </w:r>
                          <w:r>
                            <w:rPr>
                              <w:rFonts w:cs="Calibri" w:ascii="Calibri" w:hAnsi="Calibri"/>
                              <w:color w:val="FFFFFF"/>
                              <w:sz w:val="2"/>
                            </w:rPr>
                            <w:t xml:space="preserve"> Internal Natixis</w:t>
                          </w:r>
                        </w:p>
                      </w:txbxContent>
                    </wps:txbx>
                    <wps:bodyPr anchor="t" lIns="254635" tIns="635" rIns="9207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95.3pt;height:21pt;mso-wrap-distance-left:9.05pt;mso-wrap-distance-right:9.05pt;margin-top:805.9pt;mso-position-vertical-relative:page;margin-left:0pt;mso-position-horizontal-relative:page">
              <v:fill opacity="0f"/>
              <v:textbox inset="0.278472222222222in,0.000694444444444444in,0.10069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cs="Calibri" w:ascii="Calibri" w:hAnsi="Calibri"/>
                        <w:color w:val="FFFFFF"/>
                        <w:sz w:val="2"/>
                      </w:rPr>
                      <w:t>C2 -</w:t>
                    </w:r>
                    <w:r>
                      <w:rPr>
                        <w:rFonts w:cs="Calibri" w:ascii="Calibri" w:hAnsi="Calibri"/>
                        <w:color w:val="FFFFFF"/>
                        <w:sz w:val="2"/>
                      </w:rPr>
                      <w:t xml:space="preserve"> Internal Natixis</w:t>
                    </w:r>
                  </w:p>
                </w:txbxContent>
              </v:textbox>
            </v:rect>
          </w:pict>
        </mc:Fallback>
      </mc:AlternateContent>
    </w:r>
  </w:p>
  <w:p>
    <w:pPr>
      <w:pStyle w:val="Paragraphestandard"/>
      <w:ind w:left="-284" w:right="-573" w:hanging="0"/>
      <w:rPr>
        <w:rFonts w:ascii="HelveticaNeueLT-Medium;Times New Roman" w:hAnsi="HelveticaNeueLT-Medium;Times New Roman" w:cs="HelveticaNeueLT-Medium;Times New Roman"/>
        <w:b/>
        <w:b/>
        <w:color w:val="808080"/>
        <w:sz w:val="14"/>
        <w:szCs w:val="14"/>
        <w:lang w:val="en-GB" w:eastAsia="en-GB"/>
      </w:rPr>
    </w:pPr>
    <w:r>
      <w:rPr>
        <w:rFonts w:cs="HelveticaNeueLT-Medium;Times New Roman" w:ascii="HelveticaNeueLT-Medium;Times New Roman" w:hAnsi="HelveticaNeueLT-Medium;Times New Roman"/>
        <w:b/>
        <w:color w:val="808080"/>
        <w:sz w:val="14"/>
        <w:szCs w:val="14"/>
        <w:lang w:val="en-GB" w:eastAsia="en-GB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-580390</wp:posOffset>
          </wp:positionH>
          <wp:positionV relativeFrom="paragraph">
            <wp:posOffset>46990</wp:posOffset>
          </wp:positionV>
          <wp:extent cx="1080135" cy="184785"/>
          <wp:effectExtent l="0" t="0" r="0" b="0"/>
          <wp:wrapNone/>
          <wp:docPr id="3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280" r="-44" b="-28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8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8369" w:right="-1136" w:firstLine="987"/>
      <w:rPr>
        <w:rFonts w:ascii="Calibri" w:hAnsi="Calibri" w:cs="Calibri"/>
        <w:color w:val="7F7F7F"/>
        <w:sz w:val="16"/>
        <w:szCs w:val="16"/>
      </w:rPr>
    </w:pPr>
    <w:r>
      <w:rPr>
        <w:rFonts w:cs="Calibri" w:ascii="Calibri" w:hAnsi="Calibri"/>
        <w:color w:val="7F7F7F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 w:ascii="Calibri" w:hAnsi="Calibri"/>
        <w:color w:val="7F7F7F"/>
        <w:sz w:val="16"/>
        <w:szCs w:val="16"/>
      </w:rPr>
      <w:t xml:space="preserve"> </w:t>
    </w:r>
    <w:r>
      <w:rPr>
        <w:rFonts w:cs="Calibri" w:ascii="Calibri" w:hAnsi="Calibri"/>
        <w:color w:val="7F7F7F"/>
        <w:sz w:val="16"/>
        <w:szCs w:val="16"/>
      </w:rPr>
      <w:t xml:space="preserve">/ </w:t>
    </w:r>
    <w:r>
      <w:rPr>
        <w:rFonts w:cs="Calibri" w:ascii="Calibri" w:hAnsi="Calibri"/>
        <w:color w:val="7F7F7F"/>
        <w:sz w:val="16"/>
        <w:szCs w:val="16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GB" w:eastAsia="en-GB"/>
      </w:rPr>
    </w:pPr>
    <w:r>
      <w:rPr>
        <w:lang w:val="en-GB" w:eastAsia="en-GB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-111760</wp:posOffset>
          </wp:positionH>
          <wp:positionV relativeFrom="paragraph">
            <wp:posOffset>-31115</wp:posOffset>
          </wp:positionV>
          <wp:extent cx="1019175" cy="1495425"/>
          <wp:effectExtent l="0" t="0" r="0" b="0"/>
          <wp:wrapTight wrapText="bothSides">
            <wp:wrapPolygon edited="0">
              <wp:start x="-201" y="0"/>
              <wp:lineTo x="-201" y="21460"/>
              <wp:lineTo x="21599" y="21460"/>
              <wp:lineTo x="21599" y="0"/>
              <wp:lineTo x="-201" y="0"/>
            </wp:wrapPolygon>
          </wp:wrapTight>
          <wp:docPr id="1" name="Image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24" r="-3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Heading1">
    <w:name w:val="Heading 1"/>
    <w:next w:val="Normal"/>
    <w:qFormat/>
    <w:pPr>
      <w:keepNext w:val="true"/>
      <w:keepLines/>
      <w:widowControl/>
      <w:numPr>
        <w:ilvl w:val="0"/>
        <w:numId w:val="1"/>
      </w:numPr>
      <w:spacing w:lineRule="auto" w:line="256"/>
      <w:ind w:left="103" w:hanging="10"/>
      <w:outlineLvl w:val="0"/>
    </w:pPr>
    <w:rPr>
      <w:rFonts w:ascii="Courier New" w:hAnsi="Courier New" w:eastAsia="Courier New" w:cs="Courier New"/>
      <w:color w:val="000000"/>
      <w:sz w:val="28"/>
      <w:szCs w:val="22"/>
      <w:u w:val="single" w:color="000000"/>
      <w:lang w:val="fr-FR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MS Gothic;ＭＳ ゴシック" w:cs="Times New Roman"/>
      <w:b/>
      <w:bCs/>
      <w:color w:val="4F81BD"/>
      <w:lang w:eastAsia="ja-JP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alibri" w:hAnsi="Calibri" w:eastAsia="Calibri" w:cs="Calibri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Calibri" w:hAnsi="Calibri" w:eastAsia="Calibri" w:cs="Calibri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ahoma" w:hAnsi="Tahoma" w:eastAsia="Times New Roman" w:cs="Tahoma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Calibri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Calibri" w:hAnsi="Calibri" w:eastAsia="Calibri" w:cs="Calibri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eastAsia="Calibri" w:cs="Aria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Calibri" w:hAnsi="Calibri" w:eastAsia="Calibri" w:cs="Calibri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Arial" w:hAnsi="Arial" w:cs="Arial"/>
    </w:rPr>
  </w:style>
  <w:style w:type="character" w:styleId="WW8Num22z0">
    <w:name w:val="WW8Num22z0"/>
    <w:qFormat/>
    <w:rPr>
      <w:rFonts w:ascii="Calibri" w:hAnsi="Calibri" w:eastAsia="Times New Roman" w:cs="Calibri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Calibri" w:hAnsi="Calibri" w:eastAsia="Calibri" w:cs="Calibri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Tahoma" w:hAnsi="Tahoma" w:eastAsia="Times New Roman" w:cs="Tahoma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Calibri" w:hAnsi="Calibri" w:eastAsia="Calibri" w:cs="Calibri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4">
    <w:name w:val="WW8Num30z4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Calibri" w:hAnsi="Calibri" w:eastAsia="Times New Roman" w:cs="Calibri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Titre1Car">
    <w:name w:val="Titre 1 Car"/>
    <w:qFormat/>
    <w:rPr>
      <w:rFonts w:ascii="Courier New" w:hAnsi="Courier New" w:eastAsia="Courier New" w:cs="Courier New"/>
      <w:color w:val="000000"/>
      <w:sz w:val="28"/>
      <w:szCs w:val="22"/>
      <w:u w:val="single" w:color="000000"/>
    </w:rPr>
  </w:style>
  <w:style w:type="character" w:styleId="Titre2Car">
    <w:name w:val="Titre 2 C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itre3Car">
    <w:name w:val="Titre 3 Car"/>
    <w:qFormat/>
    <w:rPr>
      <w:rFonts w:ascii="Cambria" w:hAnsi="Cambria" w:eastAsia="MS Gothic;ＭＳ ゴシック" w:cs="Cambria"/>
      <w:b/>
      <w:bCs/>
      <w:color w:val="4F81BD"/>
      <w:sz w:val="24"/>
      <w:szCs w:val="24"/>
      <w:lang w:eastAsia="ja-JP"/>
    </w:rPr>
  </w:style>
  <w:style w:type="character" w:styleId="EntteCar">
    <w:name w:val="En-tête Car"/>
    <w:qFormat/>
    <w:rPr>
      <w:sz w:val="24"/>
      <w:szCs w:val="24"/>
    </w:rPr>
  </w:style>
  <w:style w:type="character" w:styleId="PieddepageCar">
    <w:name w:val="Pied de page Car"/>
    <w:qFormat/>
    <w:rPr>
      <w:sz w:val="24"/>
      <w:szCs w:val="24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CorpsdetexteCar">
    <w:name w:val="Corps de texte Car"/>
    <w:qFormat/>
    <w:rPr>
      <w:rFonts w:ascii="Arial" w:hAnsi="Arial" w:cs="Arial"/>
      <w:b/>
      <w:bCs/>
      <w:sz w:val="22"/>
      <w:szCs w:val="22"/>
    </w:rPr>
  </w:style>
  <w:style w:type="character" w:styleId="PageNumber">
    <w:name w:val="Page Number"/>
    <w:rPr/>
  </w:style>
  <w:style w:type="character" w:styleId="Corpsdetexte2Car">
    <w:name w:val="Corps de texte 2 Car"/>
    <w:qFormat/>
    <w:rPr>
      <w:rFonts w:ascii="Calibri" w:hAnsi="Calibri" w:eastAsia="Calibri" w:cs="Calibri"/>
      <w:sz w:val="22"/>
      <w:szCs w:val="22"/>
      <w:lang w:val="en-US"/>
    </w:rPr>
  </w:style>
  <w:style w:type="character" w:styleId="InternetLink">
    <w:name w:val="Internet Link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TextebrutCar">
    <w:name w:val="Texte brut Car"/>
    <w:qFormat/>
    <w:rPr>
      <w:rFonts w:ascii="Calibri" w:hAnsi="Calibri" w:eastAsia="Calibri" w:cs="Calibri"/>
      <w:sz w:val="22"/>
      <w:szCs w:val="21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">
    <w:name w:val="Commentaire Car"/>
    <w:qFormat/>
    <w:rPr>
      <w:rFonts w:eastAsia="Calibri"/>
      <w:lang w:eastAsia="ja-JP"/>
    </w:rPr>
  </w:style>
  <w:style w:type="character" w:styleId="ObjetducommentaireCar">
    <w:name w:val="Objet du commentaire Car"/>
    <w:qFormat/>
    <w:rPr>
      <w:rFonts w:eastAsia="Calibri"/>
      <w:b/>
      <w:bCs/>
      <w:lang w:eastAsia="ja-JP"/>
    </w:rPr>
  </w:style>
  <w:style w:type="character" w:styleId="NotedefinCar">
    <w:name w:val="Note de fin Car"/>
    <w:basedOn w:val="Policepardfaut"/>
    <w:qFormat/>
    <w:rPr/>
  </w:style>
  <w:style w:type="character" w:styleId="EndnoteCharacters">
    <w:name w:val="End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left" w:pos="6237" w:leader="none"/>
      </w:tabs>
      <w:spacing w:lineRule="exact" w:line="240" w:before="120" w:after="0"/>
      <w:jc w:val="both"/>
    </w:pPr>
    <w:rPr>
      <w:rFonts w:ascii="Arial" w:hAnsi="Arial" w:cs="Arial"/>
      <w:b/>
      <w:bCs/>
      <w:sz w:val="22"/>
      <w:szCs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Paragraphestandard">
    <w:name w:val="[Paragraphe standard]"/>
    <w:basedOn w:val="Normal"/>
    <w:qFormat/>
    <w:pPr>
      <w:widowControl w:val="false"/>
      <w:autoSpaceDE w:val="false"/>
      <w:spacing w:lineRule="auto" w:line="288"/>
      <w:textAlignment w:val="center"/>
    </w:pPr>
    <w:rPr>
      <w:rFonts w:ascii="MinionPro-Regular;Calibri" w:hAnsi="MinionPro-Regular;Calibri" w:eastAsia="MS Mincho;ＭＳ 明朝" w:cs="MinionPro-Regular;Calibri"/>
      <w:color w:val="000000"/>
    </w:rPr>
  </w:style>
  <w:style w:type="paragraph" w:styleId="CorpsTexte">
    <w:name w:val="Corps Texte"/>
    <w:basedOn w:val="Normal"/>
    <w:qFormat/>
    <w:pPr>
      <w:spacing w:lineRule="atLeast" w:line="260"/>
      <w:jc w:val="both"/>
    </w:pPr>
    <w:rPr>
      <w:rFonts w:ascii="Arial" w:hAnsi="Arial" w:cs="Arial"/>
      <w:sz w:val="20"/>
      <w:szCs w:val="20"/>
    </w:rPr>
  </w:style>
  <w:style w:type="paragraph" w:styleId="Paragraphedeliste">
    <w:name w:val="Paragraphe de liste"/>
    <w:basedOn w:val="Normal"/>
    <w:qFormat/>
    <w:pPr>
      <w:spacing w:before="0" w:after="0"/>
      <w:ind w:left="720" w:hanging="0"/>
      <w:contextualSpacing/>
      <w:jc w:val="both"/>
    </w:pPr>
    <w:rPr>
      <w:sz w:val="22"/>
      <w:szCs w:val="22"/>
    </w:rPr>
  </w:style>
  <w:style w:type="paragraph" w:styleId="Texte">
    <w:name w:val="Texte"/>
    <w:qFormat/>
    <w:pPr>
      <w:widowControl/>
      <w:ind w:left="567" w:hanging="0"/>
      <w:jc w:val="both"/>
    </w:pPr>
    <w:rPr>
      <w:rFonts w:ascii="Helvetica" w:hAnsi="Helvetica" w:eastAsia="Times New Roman" w:cs="Helvetica"/>
      <w:color w:val="000000"/>
      <w:sz w:val="22"/>
      <w:szCs w:val="20"/>
      <w:lang w:val="fr-FR" w:bidi="ar-SA" w:eastAsia="zh-CN"/>
    </w:rPr>
  </w:style>
  <w:style w:type="paragraph" w:styleId="Normalps">
    <w:name w:val="Normal.ps"/>
    <w:qFormat/>
    <w:pPr>
      <w:keepLines/>
      <w:widowControl/>
      <w:overflowPunct w:val="false"/>
      <w:autoSpaceDE w:val="false"/>
      <w:spacing w:before="240" w:after="0"/>
      <w:ind w:left="851" w:hanging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fr-FR" w:bidi="ar-SA" w:eastAsia="zh-CN"/>
    </w:rPr>
  </w:style>
  <w:style w:type="paragraph" w:styleId="Corpsdetexte2">
    <w:name w:val="Corps de texte 2"/>
    <w:basedOn w:val="Normal"/>
    <w:qFormat/>
    <w:pPr>
      <w:spacing w:lineRule="auto" w:line="480" w:before="0" w:after="120"/>
    </w:pPr>
    <w:rPr>
      <w:rFonts w:ascii="Calibri" w:hAnsi="Calibri" w:eastAsia="Calibri" w:cs="Times New Roman"/>
      <w:sz w:val="22"/>
      <w:szCs w:val="22"/>
      <w:lang w:val="en-US"/>
    </w:rPr>
  </w:style>
  <w:style w:type="paragraph" w:styleId="Enttedetabledesmatires">
    <w:name w:val="En-tête de table des matières"/>
    <w:basedOn w:val="Heading1"/>
    <w:next w:val="Normal"/>
    <w:qFormat/>
    <w:pPr>
      <w:numPr>
        <w:ilvl w:val="0"/>
        <w:numId w:val="0"/>
      </w:numPr>
      <w:spacing w:before="240" w:after="0"/>
      <w:ind w:left="0" w:hanging="0"/>
    </w:pPr>
    <w:rPr>
      <w:rFonts w:ascii="Calibri Light" w:hAnsi="Calibri Light" w:eastAsia="Times New Roman" w:cs="Times New Roman"/>
      <w:color w:val="2F5496"/>
      <w:sz w:val="32"/>
      <w:szCs w:val="32"/>
      <w:u w:val="none"/>
    </w:rPr>
  </w:style>
  <w:style w:type="paragraph" w:styleId="Contents1">
    <w:name w:val="TOC 1"/>
    <w:basedOn w:val="Normal"/>
    <w:next w:val="Normal"/>
    <w:pPr/>
    <w:rPr/>
  </w:style>
  <w:style w:type="paragraph" w:styleId="Contents2">
    <w:name w:val="TOC 2"/>
    <w:basedOn w:val="Normal"/>
    <w:next w:val="Normal"/>
    <w:pPr>
      <w:ind w:left="240" w:hanging="0"/>
    </w:pPr>
    <w:rPr/>
  </w:style>
  <w:style w:type="paragraph" w:styleId="Default">
    <w:name w:val="Default"/>
    <w:qFormat/>
    <w:pPr>
      <w:widowControl/>
      <w:autoSpaceDE w:val="false"/>
    </w:pPr>
    <w:rPr>
      <w:rFonts w:ascii="Arial" w:hAnsi="Arial" w:eastAsia="Calibri" w:cs="Arial"/>
      <w:color w:val="000000"/>
      <w:sz w:val="24"/>
      <w:szCs w:val="24"/>
      <w:lang w:val="fr-FR" w:bidi="ar-SA" w:eastAsia="zh-CN"/>
    </w:rPr>
  </w:style>
  <w:style w:type="paragraph" w:styleId="Sansinterligne">
    <w:name w:val="Sans interligne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fr-FR" w:bidi="ar-SA"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nts3">
    <w:name w:val="TOC 3"/>
    <w:basedOn w:val="Normal"/>
    <w:next w:val="Normal"/>
    <w:pPr>
      <w:tabs>
        <w:tab w:val="right" w:pos="9062" w:leader="hyphen"/>
      </w:tabs>
      <w:spacing w:before="0" w:after="100"/>
      <w:ind w:left="851" w:hanging="0"/>
    </w:pPr>
    <w:rPr>
      <w:rFonts w:ascii="Verdana" w:hAnsi="Verdana" w:eastAsia="Calibri" w:cs="Calibri"/>
      <w:sz w:val="20"/>
      <w:szCs w:val="22"/>
      <w:lang w:val="en-GB" w:eastAsia="en-GB"/>
    </w:rPr>
  </w:style>
  <w:style w:type="paragraph" w:styleId="Textebrut">
    <w:name w:val="Texte brut"/>
    <w:basedOn w:val="Normal"/>
    <w:qFormat/>
    <w:pPr/>
    <w:rPr>
      <w:rFonts w:ascii="Calibri" w:hAnsi="Calibri" w:eastAsia="Calibri" w:cs="Times New Roman"/>
      <w:sz w:val="22"/>
      <w:szCs w:val="21"/>
    </w:rPr>
  </w:style>
  <w:style w:type="paragraph" w:styleId="Style11">
    <w:name w:val="Style1"/>
    <w:basedOn w:val="Heading3"/>
    <w:qFormat/>
    <w:pPr>
      <w:numPr>
        <w:ilvl w:val="0"/>
        <w:numId w:val="0"/>
      </w:numPr>
      <w:tabs>
        <w:tab w:val="left" w:pos="0" w:leader="none"/>
      </w:tabs>
      <w:autoSpaceDE w:val="false"/>
      <w:spacing w:lineRule="auto" w:line="276"/>
      <w:jc w:val="both"/>
    </w:pPr>
    <w:rPr>
      <w:rFonts w:ascii="Verdana" w:hAnsi="Verdana" w:eastAsia="Calibri" w:cs="Calibri"/>
      <w:b w:val="false"/>
      <w:color w:val="000000"/>
      <w:sz w:val="20"/>
      <w:szCs w:val="20"/>
    </w:rPr>
  </w:style>
  <w:style w:type="paragraph" w:styleId="Commentaire">
    <w:name w:val="Commentaire"/>
    <w:basedOn w:val="Normal"/>
    <w:qFormat/>
    <w:pPr/>
    <w:rPr>
      <w:rFonts w:eastAsia="Calibri"/>
      <w:sz w:val="20"/>
      <w:szCs w:val="20"/>
      <w:lang w:eastAsia="ja-JP"/>
    </w:rPr>
  </w:style>
  <w:style w:type="paragraph" w:styleId="Objetducommentaire">
    <w:name w:val="Objet du commentaire"/>
    <w:basedOn w:val="Commentaire"/>
    <w:next w:val="Commentaire"/>
    <w:qFormat/>
    <w:pPr/>
    <w:rPr>
      <w:rFonts w:eastAsia="Calibri"/>
      <w:b/>
      <w:bCs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2019-02-15T15:01:00Z</dcterms:created>
  <dc:creator/>
  <dc:description/>
  <dc:language>en-GB</dc:language>
  <cp:lastModifiedBy/>
  <cp:lastPrinted>2020-06-16T16:22:00Z</cp:lastPrinted>
  <dcterms:modified xsi:type="dcterms:W3CDTF">2020-06-30T12:16:00Z</dcterms:modified>
  <cp:revision>17</cp:revision>
  <dc:subject/>
  <dc:title>ACCORD D’ENTREPRISE SUR LA DUREE DES MANDATS DES DP ET DES MEMBRES DU 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4e2365-ec30-4280-a000-c2951b18504b_Application">
    <vt:lpwstr>Microsoft Azure Information Protection</vt:lpwstr>
  </property>
  <property fmtid="{D5CDD505-2E9C-101B-9397-08002B2CF9AE}" pid="3" name="MSIP_Label_204e2365-ec30-4280-a000-c2951b18504b_Enabled">
    <vt:lpwstr>True</vt:lpwstr>
  </property>
  <property fmtid="{D5CDD505-2E9C-101B-9397-08002B2CF9AE}" pid="4" name="MSIP_Label_204e2365-ec30-4280-a000-c2951b18504b_Extended_MSFT_Method">
    <vt:lpwstr>Automatic</vt:lpwstr>
  </property>
  <property fmtid="{D5CDD505-2E9C-101B-9397-08002B2CF9AE}" pid="5" name="MSIP_Label_204e2365-ec30-4280-a000-c2951b18504b_Name">
    <vt:lpwstr>General</vt:lpwstr>
  </property>
  <property fmtid="{D5CDD505-2E9C-101B-9397-08002B2CF9AE}" pid="6" name="MSIP_Label_204e2365-ec30-4280-a000-c2951b18504b_Owner">
    <vt:lpwstr>Alexandra.DAVID@c-garanties.com</vt:lpwstr>
  </property>
  <property fmtid="{D5CDD505-2E9C-101B-9397-08002B2CF9AE}" pid="7" name="MSIP_Label_204e2365-ec30-4280-a000-c2951b18504b_Parent">
    <vt:lpwstr>797e4f81-4b1c-4a3a-b237-8636707719dc</vt:lpwstr>
  </property>
  <property fmtid="{D5CDD505-2E9C-101B-9397-08002B2CF9AE}" pid="8" name="MSIP_Label_204e2365-ec30-4280-a000-c2951b18504b_SetDate">
    <vt:lpwstr>2018-11-16T16:33:32.4487405Z</vt:lpwstr>
  </property>
  <property fmtid="{D5CDD505-2E9C-101B-9397-08002B2CF9AE}" pid="9" name="MSIP_Label_204e2365-ec30-4280-a000-c2951b18504b_SiteId">
    <vt:lpwstr>d5bb6d35-8a82-4329-b49a-5030bd6497ab</vt:lpwstr>
  </property>
  <property fmtid="{D5CDD505-2E9C-101B-9397-08002B2CF9AE}" pid="10" name="MSIP_Label_797e4f81-4b1c-4a3a-b237-8636707719dc_Application">
    <vt:lpwstr>Microsoft Azure Information Protection</vt:lpwstr>
  </property>
  <property fmtid="{D5CDD505-2E9C-101B-9397-08002B2CF9AE}" pid="11" name="MSIP_Label_797e4f81-4b1c-4a3a-b237-8636707719dc_Enabled">
    <vt:lpwstr>True</vt:lpwstr>
  </property>
  <property fmtid="{D5CDD505-2E9C-101B-9397-08002B2CF9AE}" pid="12" name="MSIP_Label_797e4f81-4b1c-4a3a-b237-8636707719dc_Extended_MSFT_Method">
    <vt:lpwstr>Automatic</vt:lpwstr>
  </property>
  <property fmtid="{D5CDD505-2E9C-101B-9397-08002B2CF9AE}" pid="13" name="MSIP_Label_797e4f81-4b1c-4a3a-b237-8636707719dc_Name">
    <vt:lpwstr>C2 - Internal Natixis</vt:lpwstr>
  </property>
  <property fmtid="{D5CDD505-2E9C-101B-9397-08002B2CF9AE}" pid="14" name="MSIP_Label_797e4f81-4b1c-4a3a-b237-8636707719dc_Owner">
    <vt:lpwstr>Alexandra.DAVID@c-garanties.com</vt:lpwstr>
  </property>
  <property fmtid="{D5CDD505-2E9C-101B-9397-08002B2CF9AE}" pid="15" name="MSIP_Label_797e4f81-4b1c-4a3a-b237-8636707719dc_SetDate">
    <vt:lpwstr>2018-11-16T16:33:32.4487405Z</vt:lpwstr>
  </property>
  <property fmtid="{D5CDD505-2E9C-101B-9397-08002B2CF9AE}" pid="16" name="MSIP_Label_797e4f81-4b1c-4a3a-b237-8636707719dc_SiteId">
    <vt:lpwstr>d5bb6d35-8a82-4329-b49a-5030bd6497ab</vt:lpwstr>
  </property>
  <property fmtid="{D5CDD505-2E9C-101B-9397-08002B2CF9AE}" pid="17" name="Sensitivity">
    <vt:lpwstr>C2 - Internal Natixis General</vt:lpwstr>
  </property>
  <property fmtid="{D5CDD505-2E9C-101B-9397-08002B2CF9AE}" pid="18" name="_AdHocReviewCycleID">
    <vt:i4>-1965378805</vt:i4>
  </property>
  <property fmtid="{D5CDD505-2E9C-101B-9397-08002B2CF9AE}" pid="19" name="_AuthorEmail">
    <vt:lpwstr>Deborah.ROQUES@c-garanties.com</vt:lpwstr>
  </property>
  <property fmtid="{D5CDD505-2E9C-101B-9397-08002B2CF9AE}" pid="20" name="_AuthorEmailDisplayName">
    <vt:lpwstr>ROQUES, Deborah</vt:lpwstr>
  </property>
  <property fmtid="{D5CDD505-2E9C-101B-9397-08002B2CF9AE}" pid="21" name="_EmailSubject">
    <vt:lpwstr>accord relatif à la journée de solidarité</vt:lpwstr>
  </property>
  <property fmtid="{D5CDD505-2E9C-101B-9397-08002B2CF9AE}" pid="22" name="_NewReviewCycle">
    <vt:lpwstr/>
  </property>
  <property fmtid="{D5CDD505-2E9C-101B-9397-08002B2CF9AE}" pid="23" name="_ReviewingToolsShownOnce">
    <vt:lpwstr/>
  </property>
</Properties>
</file>