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double" w:sz="4" w:space="1" w:color="000000"/>
          <w:left w:val="double" w:sz="4" w:space="4" w:color="000000"/>
          <w:bottom w:val="double" w:sz="4" w:space="1" w:color="000000"/>
          <w:right w:val="double" w:sz="4" w:space="4" w:color="000000"/>
        </w:pBdr>
        <w:jc w:val="center"/>
        <w:rPr>
          <w:rFonts w:ascii="Century Gothic" w:hAnsi="Century Gothic" w:cs="Century Gothic"/>
          <w:b/>
          <w:b/>
          <w:sz w:val="32"/>
          <w:szCs w:val="32"/>
        </w:rPr>
      </w:pPr>
      <w:r>
        <w:rPr>
          <w:rFonts w:cs="Century Gothic" w:ascii="Century Gothic" w:hAnsi="Century Gothic"/>
          <w:b/>
          <w:sz w:val="32"/>
          <w:szCs w:val="32"/>
        </w:rPr>
        <w:t>ACCORD D’ENTREPRISE SUR</w:t>
      </w:r>
    </w:p>
    <w:p>
      <w:pPr>
        <w:pStyle w:val="Normal"/>
        <w:pBdr>
          <w:top w:val="double" w:sz="4" w:space="1" w:color="000000"/>
          <w:left w:val="double" w:sz="4" w:space="4" w:color="000000"/>
          <w:bottom w:val="double" w:sz="4" w:space="1" w:color="000000"/>
          <w:right w:val="double" w:sz="4" w:space="4" w:color="000000"/>
        </w:pBdr>
        <w:jc w:val="center"/>
        <w:rPr>
          <w:rFonts w:ascii="Century Gothic" w:hAnsi="Century Gothic" w:cs="Century Gothic"/>
          <w:b/>
          <w:b/>
          <w:sz w:val="32"/>
          <w:szCs w:val="32"/>
        </w:rPr>
      </w:pPr>
      <w:r>
        <w:rPr>
          <w:rFonts w:cs="Century Gothic" w:ascii="Century Gothic" w:hAnsi="Century Gothic"/>
          <w:b/>
          <w:sz w:val="32"/>
          <w:szCs w:val="32"/>
        </w:rPr>
        <w:t>L’EGALITE PROFESSIONNELLE FEMMES / HOMMES</w:t>
      </w:r>
    </w:p>
    <w:p>
      <w:pPr>
        <w:pStyle w:val="Normal"/>
        <w:pBdr>
          <w:top w:val="double" w:sz="4" w:space="1" w:color="000000"/>
          <w:left w:val="double" w:sz="4" w:space="4" w:color="000000"/>
          <w:bottom w:val="double" w:sz="4" w:space="1" w:color="000000"/>
          <w:right w:val="double" w:sz="4" w:space="4" w:color="000000"/>
        </w:pBdr>
        <w:jc w:val="center"/>
        <w:rPr>
          <w:rFonts w:ascii="Century Gothic" w:hAnsi="Century Gothic" w:cs="Century Gothic"/>
          <w:b/>
          <w:b/>
          <w:sz w:val="32"/>
          <w:szCs w:val="32"/>
        </w:rPr>
      </w:pPr>
      <w:r>
        <w:rPr>
          <w:rFonts w:cs="Century Gothic" w:ascii="Century Gothic" w:hAnsi="Century Gothic"/>
          <w:b/>
          <w:sz w:val="32"/>
          <w:szCs w:val="32"/>
        </w:rPr>
        <w:t>DU 22 JUIN 2020</w:t>
      </w:r>
    </w:p>
    <w:p>
      <w:pPr>
        <w:pStyle w:val="Normal"/>
        <w:jc w:val="center"/>
        <w:rPr>
          <w:rFonts w:ascii="Century Gothic" w:hAnsi="Century Gothic" w:cs="Century Gothic"/>
          <w:b/>
          <w:b/>
          <w:sz w:val="32"/>
          <w:szCs w:val="32"/>
        </w:rPr>
      </w:pPr>
      <w:r>
        <w:rPr>
          <w:rFonts w:cs="Century Gothic" w:ascii="Century Gothic" w:hAnsi="Century Gothic"/>
          <w:b/>
          <w:sz w:val="32"/>
          <w:szCs w:val="32"/>
        </w:rPr>
      </w:r>
    </w:p>
    <w:p>
      <w:pPr>
        <w:pStyle w:val="Normal"/>
        <w:jc w:val="center"/>
        <w:rPr>
          <w:rFonts w:ascii="Century Gothic" w:hAnsi="Century Gothic" w:cs="Century Gothic"/>
          <w:sz w:val="32"/>
          <w:szCs w:val="32"/>
        </w:rPr>
      </w:pPr>
      <w:r>
        <w:rPr>
          <w:rFonts w:cs="Century Gothic" w:ascii="Century Gothic" w:hAnsi="Century Gothic"/>
          <w:sz w:val="32"/>
          <w:szCs w:val="32"/>
        </w:rPr>
      </w:r>
    </w:p>
    <w:p>
      <w:pPr>
        <w:pStyle w:val="Normal"/>
        <w:jc w:val="both"/>
        <w:rPr>
          <w:rFonts w:ascii="Century Gothic" w:hAnsi="Century Gothic" w:cs="Century Gothic"/>
          <w:sz w:val="28"/>
          <w:szCs w:val="28"/>
        </w:rPr>
      </w:pPr>
      <w:r>
        <w:rPr>
          <w:rFonts w:cs="Century Gothic" w:ascii="Century Gothic" w:hAnsi="Century Gothic"/>
          <w:sz w:val="28"/>
          <w:szCs w:val="28"/>
        </w:rPr>
        <w:t>Entre les soussignés</w:t>
      </w:r>
    </w:p>
    <w:p>
      <w:pPr>
        <w:pStyle w:val="Normal"/>
        <w:jc w:val="both"/>
        <w:rPr>
          <w:rFonts w:ascii="Century Gothic" w:hAnsi="Century Gothic" w:cs="Century Gothic"/>
          <w:sz w:val="28"/>
          <w:szCs w:val="28"/>
        </w:rPr>
      </w:pPr>
      <w:r>
        <w:rPr>
          <w:rFonts w:cs="Century Gothic" w:ascii="Century Gothic" w:hAnsi="Century Gothic"/>
          <w:sz w:val="28"/>
          <w:szCs w:val="28"/>
        </w:rPr>
      </w:r>
    </w:p>
    <w:p>
      <w:pPr>
        <w:pStyle w:val="Normal"/>
        <w:jc w:val="both"/>
        <w:rPr>
          <w:rFonts w:ascii="Century Gothic" w:hAnsi="Century Gothic" w:cs="Century Gothic"/>
          <w:b/>
          <w:b/>
        </w:rPr>
      </w:pPr>
      <w:r>
        <w:rPr>
          <w:rFonts w:cs="Century Gothic" w:ascii="Century Gothic" w:hAnsi="Century Gothic"/>
        </w:rPr>
        <w:t xml:space="preserve">L’Entreprise </w:t>
      </w:r>
      <w:r>
        <w:rPr>
          <w:rFonts w:cs="Century Gothic" w:ascii="Century Gothic" w:hAnsi="Century Gothic"/>
          <w:b/>
        </w:rPr>
        <w:t xml:space="preserve">SERVICE ASSISTANCE MAINTENANCE ET LOCATION « SAML » </w:t>
      </w:r>
      <w:r>
        <w:rPr>
          <w:rFonts w:cs="Century Gothic" w:ascii="Century Gothic" w:hAnsi="Century Gothic"/>
        </w:rPr>
        <w:t>Société anonyme au capital de 1 200 000 euros, ayant son siège social à GRIGNY (91350) – 9/11 rue Gustave Eiffel, inscrite au R.C.S d’Evry sous le N°B 398 907 345</w:t>
      </w:r>
    </w:p>
    <w:p>
      <w:pPr>
        <w:pStyle w:val="Normal"/>
        <w:tabs>
          <w:tab w:val="left" w:pos="5998" w:leader="none"/>
        </w:tabs>
        <w:jc w:val="both"/>
        <w:rPr>
          <w:rFonts w:ascii="Century Gothic" w:hAnsi="Century Gothic" w:cs="Century Gothic"/>
        </w:rPr>
      </w:pPr>
      <w:r>
        <w:rPr>
          <w:rFonts w:cs="Century Gothic" w:ascii="Century Gothic" w:hAnsi="Century Gothic"/>
        </w:rPr>
        <w:tab/>
      </w:r>
    </w:p>
    <w:p>
      <w:pPr>
        <w:pStyle w:val="Normal"/>
        <w:jc w:val="both"/>
        <w:rPr>
          <w:rFonts w:ascii="Century Gothic" w:hAnsi="Century Gothic" w:cs="Century Gothic"/>
          <w:b/>
          <w:b/>
        </w:rPr>
      </w:pPr>
      <w:r>
        <w:rPr>
          <w:rFonts w:cs="Century Gothic" w:ascii="Century Gothic" w:hAnsi="Century Gothic"/>
        </w:rPr>
        <w:t xml:space="preserve">Représentée par son Directeur Général, Monsieur </w:t>
      </w:r>
      <w:r>
        <w:rPr>
          <w:rFonts w:cs="Century Gothic" w:ascii="Century Gothic" w:hAnsi="Century Gothic"/>
          <w:b/>
        </w:rPr>
        <w:t>************</w:t>
      </w:r>
    </w:p>
    <w:p>
      <w:pPr>
        <w:pStyle w:val="Normal"/>
        <w:jc w:val="both"/>
        <w:rPr>
          <w:rFonts w:ascii="Century Gothic" w:hAnsi="Century Gothic" w:cs="Century Gothic"/>
          <w:b/>
          <w:b/>
        </w:rPr>
      </w:pPr>
      <w:r>
        <w:rPr>
          <w:rFonts w:cs="Century Gothic" w:ascii="Century Gothic" w:hAnsi="Century Gothic"/>
          <w:b/>
        </w:rPr>
        <w:tab/>
        <w:tab/>
        <w:tab/>
        <w:tab/>
        <w:tab/>
      </w:r>
    </w:p>
    <w:p>
      <w:pPr>
        <w:pStyle w:val="Normal"/>
        <w:jc w:val="both"/>
        <w:rPr>
          <w:rFonts w:ascii="Century Gothic" w:hAnsi="Century Gothic" w:cs="Century Gothic"/>
        </w:rPr>
      </w:pPr>
      <w:r>
        <w:rPr>
          <w:rFonts w:cs="Century Gothic" w:ascii="Century Gothic" w:hAnsi="Century Gothic"/>
          <w:b/>
        </w:rPr>
        <w:tab/>
        <w:tab/>
        <w:tab/>
        <w:tab/>
        <w:tab/>
        <w:tab/>
        <w:tab/>
        <w:tab/>
        <w:tab/>
      </w:r>
      <w:r>
        <w:rPr>
          <w:rFonts w:cs="Century Gothic" w:ascii="Century Gothic" w:hAnsi="Century Gothic"/>
        </w:rPr>
        <w:t>D’une part</w:t>
      </w:r>
    </w:p>
    <w:p>
      <w:pPr>
        <w:pStyle w:val="Normal"/>
        <w:jc w:val="both"/>
        <w:rPr>
          <w:rFonts w:ascii="Century Gothic" w:hAnsi="Century Gothic" w:cs="Century Gothic"/>
        </w:rPr>
      </w:pPr>
      <w:r>
        <w:rPr>
          <w:rFonts w:cs="Century Gothic" w:ascii="Century Gothic" w:hAnsi="Century Gothic"/>
        </w:rPr>
        <w:t>Et les organisations syndicales représentées par :</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ab/>
        <w:t>- CGT</w:t>
        <w:tab/>
        <w:tab/>
        <w:t>Monsieur ********* (Délégué Syndical)</w:t>
      </w:r>
    </w:p>
    <w:p>
      <w:pPr>
        <w:pStyle w:val="Normal"/>
        <w:jc w:val="both"/>
        <w:rPr/>
      </w:pPr>
      <w:r>
        <w:rPr>
          <w:rFonts w:cs="Century Gothic" w:ascii="Century Gothic" w:hAnsi="Century Gothic"/>
        </w:rPr>
        <w:tab/>
        <w:t>- FO</w:t>
        <w:tab/>
        <w:tab/>
        <w:t>Madame ********* (Déléguée Syndicale)</w:t>
      </w:r>
    </w:p>
    <w:p>
      <w:pPr>
        <w:pStyle w:val="Normal"/>
        <w:jc w:val="both"/>
        <w:rPr>
          <w:rFonts w:ascii="Century Gothic" w:hAnsi="Century Gothic" w:cs="Century Gothic"/>
          <w:b/>
          <w:b/>
        </w:rPr>
      </w:pPr>
      <w:r>
        <w:rPr>
          <w:rFonts w:cs="Century Gothic" w:ascii="Century Gothic" w:hAnsi="Century Gothic"/>
          <w:b/>
        </w:rPr>
      </w:r>
    </w:p>
    <w:p>
      <w:pPr>
        <w:pStyle w:val="Normal"/>
        <w:jc w:val="both"/>
        <w:rPr/>
      </w:pPr>
      <w:r>
        <w:rPr>
          <w:rFonts w:cs="Century Gothic" w:ascii="Century Gothic" w:hAnsi="Century Gothic"/>
          <w:b/>
        </w:rPr>
        <w:tab/>
        <w:tab/>
        <w:tab/>
        <w:tab/>
        <w:tab/>
        <w:tab/>
        <w:tab/>
        <w:tab/>
        <w:tab/>
      </w:r>
      <w:r>
        <w:rPr>
          <w:rFonts w:cs="Century Gothic" w:ascii="Century Gothic" w:hAnsi="Century Gothic"/>
        </w:rPr>
        <w:t>D’autre part.</w:t>
      </w:r>
    </w:p>
    <w:p>
      <w:pPr>
        <w:pStyle w:val="Normal"/>
        <w:jc w:val="both"/>
        <w:rPr>
          <w:rFonts w:ascii="Century Gothic" w:hAnsi="Century Gothic" w:cs="Century Gothic"/>
          <w:b/>
          <w:b/>
        </w:rPr>
      </w:pPr>
      <w:r>
        <w:rPr>
          <w:rFonts w:cs="Century Gothic" w:ascii="Century Gothic" w:hAnsi="Century Gothic"/>
          <w:b/>
        </w:rPr>
        <w:t>Préambule</w:t>
      </w:r>
      <w:r>
        <w:rPr>
          <w:rFonts w:cs="Century Gothic" w:ascii="Century Gothic" w:hAnsi="Century Gothic"/>
        </w:rPr>
        <w:t> :</w:t>
      </w:r>
    </w:p>
    <w:p>
      <w:pPr>
        <w:pStyle w:val="Normal"/>
        <w:jc w:val="both"/>
        <w:rPr>
          <w:rFonts w:ascii="Century Gothic" w:hAnsi="Century Gothic" w:cs="Century Gothic"/>
          <w:b/>
          <w:b/>
        </w:rPr>
      </w:pPr>
      <w:r>
        <w:rPr>
          <w:rFonts w:cs="Century Gothic" w:ascii="Century Gothic" w:hAnsi="Century Gothic"/>
          <w:b/>
        </w:rPr>
      </w:r>
    </w:p>
    <w:p>
      <w:pPr>
        <w:pStyle w:val="Normal"/>
        <w:jc w:val="both"/>
        <w:rPr>
          <w:rFonts w:ascii="Century Gothic" w:hAnsi="Century Gothic" w:cs="Century Gothic"/>
        </w:rPr>
      </w:pPr>
      <w:r>
        <w:rPr>
          <w:rFonts w:cs="Century Gothic" w:ascii="Century Gothic" w:hAnsi="Century Gothic"/>
        </w:rPr>
        <w:t>Le présent accord est conclu dans le cadre des articles L.2242-5 et L.2242-5-1 du code du travail, concernant l’égalité professionnelle entre les femmes et les hommes.</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Le présent accord a pour objet de se fixer des objectifs de progressions et des actions à atteindre dans ce domaine, d’arrêter quelques mesures tendant à améliorer la parité dans l’entreprise.</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Il est reconnu par les parties signataires :</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Que la politique de la société SAML est de longue date une politique égalitaire dans les conditions d’embauche et d’emploi de ses collaborateurs hommes et femmes, de ce fait, sa situation en terme d’Egalité professionnelle est nettement meilleure que celle constatée sur le plan européen ou national.</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Les parties signataires ont retenu trois domaines d’actions prioritaires vis-à-vis des axes de progressions sur l’égalité professionnelle dans l’entreprise. Ces décisions se sont basées sur l’analyse du rapport annuel sur la situation comparée des hommes et des femmes dans l’entreprise et du bilan du précédent accord sur l’égalité professionnel.</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A titre d’information, au 30 septembre 2019, SAML compte 10 femmes en CDI et 137 hommes en CDI. (Hors contrats en alternance).</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Les trois axes d’améliorations retenues par les parties en présences sont :</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b/>
          <w:b/>
          <w:u w:val="single"/>
        </w:rPr>
      </w:pPr>
      <w:r>
        <w:rPr>
          <w:rFonts w:cs="Century Gothic" w:ascii="Century Gothic" w:hAnsi="Century Gothic"/>
          <w:b/>
          <w:u w:val="single"/>
        </w:rPr>
        <w:t>1</w:t>
      </w:r>
      <w:r>
        <w:rPr>
          <w:rFonts w:cs="Century Gothic" w:ascii="Century Gothic" w:hAnsi="Century Gothic"/>
          <w:b/>
          <w:u w:val="single"/>
          <w:vertAlign w:val="superscript"/>
        </w:rPr>
        <w:t>er</w:t>
      </w:r>
      <w:r>
        <w:rPr>
          <w:rFonts w:cs="Century Gothic" w:ascii="Century Gothic" w:hAnsi="Century Gothic"/>
          <w:b/>
          <w:u w:val="single"/>
        </w:rPr>
        <w:t xml:space="preserve"> AXE : La formation Professionnelle</w:t>
      </w:r>
    </w:p>
    <w:p>
      <w:pPr>
        <w:pStyle w:val="Normal"/>
        <w:jc w:val="both"/>
        <w:rPr>
          <w:rFonts w:ascii="Century Gothic" w:hAnsi="Century Gothic" w:cs="Century Gothic"/>
          <w:b/>
          <w:b/>
          <w:u w:val="single"/>
        </w:rPr>
      </w:pPr>
      <w:r>
        <w:rPr>
          <w:rFonts w:cs="Century Gothic" w:ascii="Century Gothic" w:hAnsi="Century Gothic"/>
          <w:b/>
          <w:u w:val="single"/>
        </w:rPr>
      </w:r>
    </w:p>
    <w:p>
      <w:pPr>
        <w:pStyle w:val="Normal"/>
        <w:jc w:val="both"/>
        <w:rPr>
          <w:rFonts w:ascii="Century Gothic" w:hAnsi="Century Gothic" w:cs="Century Gothic"/>
        </w:rPr>
      </w:pPr>
      <w:r>
        <w:rPr>
          <w:rFonts w:cs="Century Gothic" w:ascii="Century Gothic" w:hAnsi="Century Gothic"/>
        </w:rPr>
        <w:t xml:space="preserve">Etant donné qu’au cours des trois dernières années, peu de femmes ont eu accès à la formation professionnelle, la Direction et les partenaires sociaux, souhaitent améliorer la fréquence de formation du personnel féminin qui est nettement inférieure à celle des hommes. Néanmoins, cette différence s’explique par la différence des postes tenus. </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 xml:space="preserve">La Direction s’engage à former </w:t>
      </w:r>
      <w:r>
        <w:rPr>
          <w:rFonts w:cs="Century Gothic" w:ascii="Century Gothic" w:hAnsi="Century Gothic"/>
          <w:b/>
          <w:i/>
        </w:rPr>
        <w:t xml:space="preserve">au minimum 40% du personnel féminin </w:t>
      </w:r>
      <w:r>
        <w:rPr>
          <w:rFonts w:cs="Century Gothic" w:ascii="Century Gothic" w:hAnsi="Century Gothic"/>
        </w:rPr>
        <w:t>au cours des 12 prochain moins.</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A titre de comparaison, sur l’année 2019, 18% du personnel masculin a suivi une formation qui n’est pas en lien avec la sécurité.</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L’entreprise double donc son investissement dans la formation du personnel féminin, par rapport au personnel masculin, afin de développer leurs compétences et de maintenir leur employabilité.</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L’indicateur sera le nombre de femmes ayant participé à au moins une formation au cours des 12 prochains mois.</w:t>
      </w:r>
    </w:p>
    <w:p>
      <w:pPr>
        <w:pStyle w:val="Normal"/>
        <w:jc w:val="both"/>
        <w:rPr>
          <w:rFonts w:ascii="Century Gothic" w:hAnsi="Century Gothic" w:cs="Century Gothic"/>
          <w:b/>
          <w:b/>
          <w:u w:val="single"/>
        </w:rPr>
      </w:pPr>
      <w:r>
        <w:rPr>
          <w:rFonts w:cs="Century Gothic" w:ascii="Century Gothic" w:hAnsi="Century Gothic"/>
          <w:b/>
          <w:u w:val="single"/>
        </w:rPr>
      </w:r>
    </w:p>
    <w:p>
      <w:pPr>
        <w:pStyle w:val="Normal"/>
        <w:jc w:val="both"/>
        <w:rPr>
          <w:rFonts w:ascii="Century Gothic" w:hAnsi="Century Gothic" w:cs="Century Gothic"/>
          <w:b/>
          <w:b/>
          <w:u w:val="single"/>
        </w:rPr>
      </w:pPr>
      <w:r>
        <w:rPr>
          <w:rFonts w:cs="Century Gothic" w:ascii="Century Gothic" w:hAnsi="Century Gothic"/>
          <w:b/>
          <w:u w:val="single"/>
        </w:rPr>
        <w:t>2</w:t>
      </w:r>
      <w:r>
        <w:rPr>
          <w:rFonts w:cs="Century Gothic" w:ascii="Century Gothic" w:hAnsi="Century Gothic"/>
          <w:b/>
          <w:u w:val="single"/>
          <w:vertAlign w:val="superscript"/>
        </w:rPr>
        <w:t>ème</w:t>
      </w:r>
      <w:r>
        <w:rPr>
          <w:rFonts w:cs="Century Gothic" w:ascii="Century Gothic" w:hAnsi="Century Gothic"/>
          <w:b/>
          <w:u w:val="single"/>
        </w:rPr>
        <w:t xml:space="preserve"> AXE : Articulation entre l’activité professionnelle et l’exercice de la responsabilité familiale</w:t>
      </w:r>
    </w:p>
    <w:p>
      <w:pPr>
        <w:pStyle w:val="Normal"/>
        <w:jc w:val="both"/>
        <w:rPr>
          <w:rFonts w:ascii="Century Gothic" w:hAnsi="Century Gothic" w:cs="Century Gothic"/>
          <w:b/>
          <w:b/>
          <w:u w:val="single"/>
        </w:rPr>
      </w:pPr>
      <w:r>
        <w:rPr>
          <w:rFonts w:cs="Century Gothic" w:ascii="Century Gothic" w:hAnsi="Century Gothic"/>
          <w:b/>
          <w:u w:val="single"/>
        </w:rPr>
      </w:r>
    </w:p>
    <w:p>
      <w:pPr>
        <w:pStyle w:val="Normal"/>
        <w:jc w:val="both"/>
        <w:rPr>
          <w:rFonts w:ascii="Century Gothic" w:hAnsi="Century Gothic" w:cs="Century Gothic"/>
        </w:rPr>
      </w:pPr>
      <w:r>
        <w:rPr>
          <w:rFonts w:cs="Century Gothic" w:ascii="Century Gothic" w:hAnsi="Century Gothic"/>
        </w:rPr>
        <w:t>La Direction et les partenaires sociaux ont souhaités renouveler cette action, en augmentant le montant maximum de ceux-ci.</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 xml:space="preserve">L’objectif est de dégager du temps aux salariés ayant des responsabilités familiales particulières, comme l’éducation des enfants. </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 xml:space="preserve">Pour ce faire, les parties en présences se sont misent d’accord, sur le renouvellement des </w:t>
      </w:r>
      <w:r>
        <w:rPr>
          <w:rFonts w:cs="Century Gothic" w:ascii="Century Gothic" w:hAnsi="Century Gothic"/>
          <w:b/>
          <w:i/>
        </w:rPr>
        <w:t>Chèques Emploi Services Universel (CESU)</w:t>
      </w:r>
      <w:r>
        <w:rPr>
          <w:rFonts w:cs="Century Gothic" w:ascii="Century Gothic" w:hAnsi="Century Gothic"/>
        </w:rPr>
        <w:t xml:space="preserve"> destinés au personnel ayant un ou plusieurs enfants à charge de moins de 21 ans, ainsi que pour le personnel féminin sans condition d’enfant à charge.</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Le personnel souhaitant des CESU, dont leur enfant est majeur devra justifier du rattachement à charge, par un certificat de scolarité ou une carte étudiante.</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Le CESU est un mode de paiement pour des services liés à la personne. Ils peuvent servir en autre, pour la garde d’enfant, aux cours à domicile, au ménage, au repassage, à l’entretien de la maison et au jardinage.</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Cette mesure concerne 12 femmes (tout le personnel féminin) et 76 hommes.</w:t>
      </w:r>
    </w:p>
    <w:p>
      <w:pPr>
        <w:pStyle w:val="Normal"/>
        <w:jc w:val="both"/>
        <w:rPr>
          <w:rFonts w:ascii="Century Gothic" w:hAnsi="Century Gothic" w:cs="Century Gothic"/>
        </w:rPr>
      </w:pPr>
      <w:r>
        <w:rPr>
          <w:rFonts w:cs="Century Gothic" w:ascii="Century Gothic" w:hAnsi="Century Gothic"/>
        </w:rPr>
        <w:t>Au mois de février 2021, la Direction proposera au personnel éligible, de bénéficier des CESU.</w:t>
      </w:r>
    </w:p>
    <w:p>
      <w:pPr>
        <w:pStyle w:val="Normal"/>
        <w:jc w:val="both"/>
        <w:rPr>
          <w:rFonts w:ascii="Century Gothic" w:hAnsi="Century Gothic" w:cs="Century Gothic"/>
        </w:rPr>
      </w:pPr>
      <w:r>
        <w:rPr>
          <w:rFonts w:cs="Century Gothic" w:ascii="Century Gothic" w:hAnsi="Century Gothic"/>
        </w:rPr>
        <w:t xml:space="preserve">Afin d’encourager le personnel à utiliser les CESU, ceux-ci pourront être commandés en deux fois : la première moitié sur le mois de mars et l’autre sur le mois de juin. </w:t>
      </w:r>
    </w:p>
    <w:p>
      <w:pPr>
        <w:pStyle w:val="Normal"/>
        <w:jc w:val="both"/>
        <w:rPr>
          <w:rFonts w:ascii="Century Gothic" w:hAnsi="Century Gothic" w:cs="Century Gothic"/>
        </w:rPr>
      </w:pPr>
      <w:r>
        <w:rPr>
          <w:rFonts w:cs="Century Gothic" w:ascii="Century Gothic" w:hAnsi="Century Gothic"/>
        </w:rPr>
        <w:t>Le montant maximum annuel des CESU sera de 800 € pour le personnel ayant au moins un enfant à charge, avec une prise en charge de 55 % par l’entreprise, pour le personnel masculin et de 70% pour le personnel féminin.</w:t>
      </w:r>
    </w:p>
    <w:p>
      <w:pPr>
        <w:pStyle w:val="Normal"/>
        <w:jc w:val="both"/>
        <w:rPr>
          <w:rFonts w:ascii="Century Gothic" w:hAnsi="Century Gothic" w:cs="Century Gothic"/>
        </w:rPr>
      </w:pPr>
      <w:r>
        <w:rPr>
          <w:rFonts w:cs="Century Gothic" w:ascii="Century Gothic" w:hAnsi="Century Gothic"/>
        </w:rPr>
        <w:t>Pour le personnel féminin sans enfant à charge, le montant maxi sera de 500 € annuel, avec une prise en charge de 70% par l’employeur.</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 xml:space="preserve">Ce dispositif représente un coût global maximum de </w:t>
      </w:r>
      <w:r>
        <w:rPr>
          <w:rFonts w:cs="Century Gothic" w:ascii="Century Gothic" w:hAnsi="Century Gothic"/>
          <w:b/>
        </w:rPr>
        <w:t>38 690</w:t>
      </w:r>
      <w:r>
        <w:rPr>
          <w:rFonts w:cs="Century Gothic" w:ascii="Century Gothic" w:hAnsi="Century Gothic"/>
        </w:rPr>
        <w:t xml:space="preserve"> € par an (en prenant en compte les salariés bénéficiaires présent au 22 juin 2020), si tous les salariés concernés utilisent ce dispositif.</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L’indicateur sera le nombre de personnes ayant profité de cette disposition en distinguant le personnel féminin et masculin.</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Ce dispositif est mis en place pour la durée de l’accord soit pour une année.</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b/>
          <w:u w:val="single"/>
        </w:rPr>
        <w:t>3</w:t>
      </w:r>
      <w:r>
        <w:rPr>
          <w:rFonts w:cs="Century Gothic" w:ascii="Century Gothic" w:hAnsi="Century Gothic"/>
          <w:b/>
          <w:u w:val="single"/>
          <w:vertAlign w:val="superscript"/>
        </w:rPr>
        <w:t>ème</w:t>
      </w:r>
      <w:r>
        <w:rPr>
          <w:rFonts w:cs="Century Gothic" w:ascii="Century Gothic" w:hAnsi="Century Gothic"/>
          <w:b/>
          <w:u w:val="single"/>
        </w:rPr>
        <w:t xml:space="preserve"> AXE : La rémunération Effective</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Après études des éventuels écarts de rémunérations femmes/hommes, la Direction et les partenaires sociaux constatent la même chose que l’année précédente, à savoir qu’il n’y a pas d’écart significatif de salaire, pour les salariés issus de la même classification (qualification de la convention collective nationale des ETAM et des cadres).</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La Direction s’engage à respecter cette égalité, en étant vigilant, que ce soit lors de l’embauche ou lors des augmentations individuelles.</w:t>
      </w:r>
    </w:p>
    <w:p>
      <w:pPr>
        <w:pStyle w:val="Normal"/>
        <w:jc w:val="both"/>
        <w:rPr>
          <w:rFonts w:ascii="Century Gothic" w:hAnsi="Century Gothic" w:cs="Century Gothic"/>
          <w:highlight w:val="yellow"/>
        </w:rPr>
      </w:pPr>
      <w:r>
        <w:rPr>
          <w:rFonts w:cs="Century Gothic" w:ascii="Century Gothic" w:hAnsi="Century Gothic"/>
          <w:highlight w:val="yellow"/>
        </w:rPr>
      </w:r>
    </w:p>
    <w:p>
      <w:pPr>
        <w:pStyle w:val="Normal"/>
        <w:jc w:val="both"/>
        <w:rPr>
          <w:rFonts w:ascii="Century Gothic" w:hAnsi="Century Gothic" w:cs="Century Gothic"/>
        </w:rPr>
      </w:pPr>
      <w:r>
        <w:rPr>
          <w:rFonts w:cs="Century Gothic" w:ascii="Century Gothic" w:hAnsi="Century Gothic"/>
        </w:rPr>
        <w:t>L’indicateur chiffré sera la moyenne des rémunérations base 100, du personnel femme/homme de chaque classification.</w:t>
      </w:r>
    </w:p>
    <w:p>
      <w:pPr>
        <w:pStyle w:val="Normal"/>
        <w:jc w:val="both"/>
        <w:rPr>
          <w:rFonts w:ascii="Century Gothic" w:hAnsi="Century Gothic" w:cs="Century Gothic"/>
        </w:rPr>
      </w:pPr>
      <w:r>
        <w:rPr>
          <w:rFonts w:cs="Century Gothic" w:ascii="Century Gothic" w:hAnsi="Century Gothic"/>
        </w:rPr>
        <w:t>La différence maxi de rémunération devant être inférieure à 5%.</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Cependant, afin de favoriser la progression de carrière du personnel féminin, il est décidé de promouvoir, au moins une femme sur les 10 présentes par un changement de qualification au 1</w:t>
      </w:r>
      <w:r>
        <w:rPr>
          <w:rFonts w:cs="Century Gothic" w:ascii="Century Gothic" w:hAnsi="Century Gothic"/>
          <w:vertAlign w:val="superscript"/>
        </w:rPr>
        <w:t>er</w:t>
      </w:r>
      <w:r>
        <w:rPr>
          <w:rFonts w:cs="Century Gothic" w:ascii="Century Gothic" w:hAnsi="Century Gothic"/>
        </w:rPr>
        <w:t xml:space="preserve"> janvier 2021.</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color w:val="FF0000"/>
        </w:rPr>
      </w:pPr>
      <w:r>
        <w:rPr>
          <w:rFonts w:eastAsia="Century Gothic" w:cs="Century Gothic" w:ascii="Century Gothic" w:hAnsi="Century Gothic"/>
          <w:b/>
          <w:u w:val="single"/>
        </w:rPr>
        <w:t xml:space="preserve"> </w:t>
      </w:r>
      <w:r>
        <w:rPr>
          <w:rFonts w:cs="Century Gothic" w:ascii="Century Gothic" w:hAnsi="Century Gothic"/>
          <w:b/>
          <w:u w:val="single"/>
        </w:rPr>
        <w:t>INFORMATION DES SALARIES</w:t>
      </w:r>
    </w:p>
    <w:p>
      <w:pPr>
        <w:pStyle w:val="Normal"/>
        <w:jc w:val="both"/>
        <w:rPr>
          <w:rFonts w:ascii="Century Gothic" w:hAnsi="Century Gothic" w:cs="Century Gothic"/>
          <w:b/>
          <w:b/>
          <w:color w:val="FF0000"/>
          <w:u w:val="single"/>
        </w:rPr>
      </w:pPr>
      <w:r>
        <w:rPr>
          <w:rFonts w:cs="Century Gothic" w:ascii="Century Gothic" w:hAnsi="Century Gothic"/>
          <w:b/>
          <w:color w:val="FF0000"/>
          <w:u w:val="single"/>
        </w:rPr>
      </w:r>
    </w:p>
    <w:p>
      <w:pPr>
        <w:pStyle w:val="Normal"/>
        <w:jc w:val="both"/>
        <w:rPr>
          <w:rFonts w:ascii="Century Gothic" w:hAnsi="Century Gothic" w:cs="Century Gothic"/>
          <w:b/>
          <w:b/>
          <w:i/>
          <w:i/>
        </w:rPr>
      </w:pPr>
      <w:r>
        <w:rPr>
          <w:rFonts w:cs="Century Gothic" w:ascii="Century Gothic" w:hAnsi="Century Gothic"/>
          <w:b/>
          <w:i/>
        </w:rPr>
        <w:t>Information collective</w:t>
      </w:r>
    </w:p>
    <w:p>
      <w:pPr>
        <w:pStyle w:val="Normal"/>
        <w:jc w:val="both"/>
        <w:rPr>
          <w:rFonts w:ascii="Century Gothic" w:hAnsi="Century Gothic" w:cs="Century Gothic"/>
        </w:rPr>
      </w:pPr>
      <w:r>
        <w:rPr>
          <w:rFonts w:cs="Century Gothic" w:ascii="Century Gothic" w:hAnsi="Century Gothic"/>
        </w:rPr>
        <w:t xml:space="preserve">Le personnel sera informé de la signature du présent accord par voie d’affichage. </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b/>
          <w:b/>
          <w:u w:val="single"/>
        </w:rPr>
      </w:pPr>
      <w:r>
        <w:rPr>
          <w:rFonts w:cs="Century Gothic" w:ascii="Century Gothic" w:hAnsi="Century Gothic"/>
          <w:b/>
          <w:u w:val="single"/>
        </w:rPr>
        <w:t>SUIVI DE L’ACCORD</w:t>
      </w:r>
    </w:p>
    <w:p>
      <w:pPr>
        <w:pStyle w:val="Normal"/>
        <w:jc w:val="both"/>
        <w:rPr>
          <w:rFonts w:ascii="Century Gothic" w:hAnsi="Century Gothic" w:cs="Century Gothic"/>
          <w:b/>
          <w:b/>
          <w:u w:val="single"/>
        </w:rPr>
      </w:pPr>
      <w:r>
        <w:rPr>
          <w:rFonts w:cs="Century Gothic" w:ascii="Century Gothic" w:hAnsi="Century Gothic"/>
          <w:b/>
          <w:u w:val="single"/>
        </w:rPr>
      </w:r>
    </w:p>
    <w:p>
      <w:pPr>
        <w:pStyle w:val="Normal"/>
        <w:jc w:val="both"/>
        <w:rPr/>
      </w:pPr>
      <w:r>
        <w:rPr>
          <w:rFonts w:cs="Century Gothic" w:ascii="Century Gothic" w:hAnsi="Century Gothic"/>
        </w:rPr>
        <w:t>Le suivi du présent accord sera réalisé à travers l’étude du rapport annuel sur la situation comparée des hommes et des femmes, à l’aide les indicateurs définis pour chaque axe de progression.</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b/>
          <w:b/>
          <w:u w:val="single"/>
        </w:rPr>
      </w:pPr>
      <w:r>
        <w:rPr>
          <w:rFonts w:cs="Century Gothic" w:ascii="Century Gothic" w:hAnsi="Century Gothic"/>
          <w:b/>
          <w:u w:val="single"/>
        </w:rPr>
        <w:t>DUREE DE L’ACCORD</w:t>
      </w:r>
    </w:p>
    <w:p>
      <w:pPr>
        <w:pStyle w:val="Normal"/>
        <w:jc w:val="both"/>
        <w:rPr>
          <w:rFonts w:ascii="Century Gothic" w:hAnsi="Century Gothic" w:cs="Century Gothic"/>
          <w:b/>
          <w:b/>
          <w:u w:val="single"/>
        </w:rPr>
      </w:pPr>
      <w:r>
        <w:rPr>
          <w:rFonts w:cs="Century Gothic" w:ascii="Century Gothic" w:hAnsi="Century Gothic"/>
          <w:b/>
          <w:u w:val="single"/>
        </w:rPr>
      </w:r>
    </w:p>
    <w:p>
      <w:pPr>
        <w:pStyle w:val="Normal"/>
        <w:jc w:val="both"/>
        <w:rPr>
          <w:rFonts w:ascii="Century Gothic" w:hAnsi="Century Gothic" w:cs="Century Gothic"/>
        </w:rPr>
      </w:pPr>
      <w:r>
        <w:rPr>
          <w:rFonts w:cs="Century Gothic" w:ascii="Century Gothic" w:hAnsi="Century Gothic"/>
        </w:rPr>
        <w:t>Le présent accord est conclu pour une durée d’un an.</w:t>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Century Gothic" w:ascii="Century Gothic" w:hAnsi="Century Gothic"/>
        </w:rPr>
        <w:t>Les clauses contenues dans le présent accord pourront être à tout moment modifié par voie d’avenant, conclu avant la date de son expiration.</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b/>
          <w:b/>
          <w:u w:val="single"/>
        </w:rPr>
      </w:pPr>
      <w:r>
        <w:rPr>
          <w:rFonts w:cs="Century Gothic" w:ascii="Century Gothic" w:hAnsi="Century Gothic"/>
          <w:b/>
          <w:u w:val="single"/>
        </w:rPr>
        <w:t>ARTICLE 10 - DISPOSITIONS LEGALES</w:t>
      </w:r>
    </w:p>
    <w:p>
      <w:pPr>
        <w:pStyle w:val="Normal"/>
        <w:jc w:val="both"/>
        <w:rPr>
          <w:rFonts w:ascii="Century Gothic" w:hAnsi="Century Gothic" w:cs="Century Gothic"/>
          <w:b/>
          <w:b/>
          <w:u w:val="single"/>
        </w:rPr>
      </w:pPr>
      <w:r>
        <w:rPr>
          <w:rFonts w:cs="Century Gothic" w:ascii="Century Gothic" w:hAnsi="Century Gothic"/>
          <w:b/>
          <w:u w:val="single"/>
        </w:rPr>
      </w:r>
    </w:p>
    <w:p>
      <w:pPr>
        <w:pStyle w:val="Normal"/>
        <w:jc w:val="both"/>
        <w:rPr>
          <w:rFonts w:ascii="Century Gothic" w:hAnsi="Century Gothic" w:cs="Century Gothic"/>
        </w:rPr>
      </w:pPr>
      <w:r>
        <w:rPr>
          <w:rFonts w:cs="Century Gothic" w:ascii="Century Gothic" w:hAnsi="Century Gothic"/>
        </w:rPr>
        <w:t>Dès sa signature, le présent accord sera, à la diligence de l’entreprise, adressé en cinq exemplaires, à la DIRRECTE, par lettre recommandée avec accusé de Réception.</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tab/>
        <w:tab/>
        <w:tab/>
        <w:tab/>
        <w:tab/>
        <w:tab/>
        <w:tab/>
        <w:t>Fait à Grigny, le 22 juin 2020</w:t>
      </w:r>
    </w:p>
    <w:p>
      <w:pPr>
        <w:pStyle w:val="Normal"/>
        <w:jc w:val="both"/>
        <w:rPr/>
      </w:pPr>
      <w:r>
        <w:rPr>
          <w:rFonts w:cs="Century Gothic" w:ascii="Century Gothic" w:hAnsi="Century Gothic"/>
        </w:rPr>
        <w:tab/>
        <w:tab/>
        <w:tab/>
        <w:tab/>
        <w:tab/>
        <w:tab/>
        <w:tab/>
        <w:t>En cinq exemplaires originaux</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Heading2"/>
        <w:numPr>
          <w:ilvl w:val="1"/>
          <w:numId w:val="1"/>
        </w:numPr>
        <w:tabs>
          <w:tab w:val="left" w:pos="3969" w:leader="none"/>
          <w:tab w:val="left" w:pos="7371" w:leader="none"/>
        </w:tabs>
        <w:rPr>
          <w:rFonts w:ascii="Century Gothic" w:hAnsi="Century Gothic" w:cs="Century Gothic"/>
        </w:rPr>
      </w:pPr>
      <w:r>
        <w:rPr>
          <w:rFonts w:cs="Century Gothic" w:ascii="Century Gothic" w:hAnsi="Century Gothic"/>
        </w:rPr>
        <w:t>La société SAML</w:t>
        <w:tab/>
        <w:t>FO</w:t>
        <w:tab/>
        <w:t>CGT</w:t>
      </w:r>
    </w:p>
    <w:p>
      <w:pPr>
        <w:pStyle w:val="Normal"/>
        <w:rPr>
          <w:rFonts w:ascii="Century Gothic" w:hAnsi="Century Gothic" w:cs="Century Gothic"/>
        </w:rPr>
      </w:pPr>
      <w:r>
        <w:rPr>
          <w:rFonts w:cs="Century Gothic" w:ascii="Century Gothic" w:hAnsi="Century Gothic"/>
        </w:rPr>
      </w:r>
    </w:p>
    <w:p>
      <w:pPr>
        <w:pStyle w:val="Normal"/>
        <w:rPr>
          <w:rFonts w:ascii="Century Gothic" w:hAnsi="Century Gothic" w:cs="Century Gothic"/>
        </w:rPr>
      </w:pPr>
      <w:r>
        <w:rPr>
          <w:rFonts w:cs="Century Gothic" w:ascii="Century Gothic" w:hAnsi="Century Gothic"/>
        </w:rPr>
      </w:r>
    </w:p>
    <w:p>
      <w:pPr>
        <w:pStyle w:val="Heading2"/>
        <w:numPr>
          <w:ilvl w:val="1"/>
          <w:numId w:val="1"/>
        </w:numPr>
        <w:tabs>
          <w:tab w:val="left" w:pos="3544" w:leader="none"/>
          <w:tab w:val="left" w:pos="6663" w:leader="none"/>
        </w:tabs>
        <w:rPr/>
      </w:pPr>
      <w:r>
        <w:rPr>
          <w:rFonts w:cs="Century Gothic" w:ascii="Century Gothic" w:hAnsi="Century Gothic"/>
        </w:rPr>
        <w:t>**********</w:t>
        <w:tab/>
        <w:t>*************</w:t>
        <w:tab/>
        <w:t xml:space="preserve">************ </w:t>
      </w:r>
    </w:p>
    <w:p>
      <w:pPr>
        <w:pStyle w:val="Normal"/>
        <w:jc w:val="both"/>
        <w:rPr>
          <w:rFonts w:ascii="Century Gothic" w:hAnsi="Century Gothic" w:cs="Century Gothic"/>
        </w:rPr>
      </w:pPr>
      <w:r>
        <w:rPr>
          <w:rFonts w:cs="Century Gothic" w:ascii="Century Gothic" w:hAnsi="Century Gothic"/>
        </w:rPr>
      </w:r>
    </w:p>
    <w:sectPr>
      <w:headerReference w:type="default" r:id="rId2"/>
      <w:headerReference w:type="first" r:id="rId3"/>
      <w:footerReference w:type="default" r:id="rId4"/>
      <w:footerReference w:type="first" r:id="rId5"/>
      <w:type w:val="nextPage"/>
      <w:pgSz w:w="11906" w:h="16838"/>
      <w:pgMar w:left="1418" w:right="1418" w:header="709" w:top="1701" w:footer="709"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Century Gothic">
    <w:charset w:val="00"/>
    <w:family w:val="swiss"/>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47.4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inline distT="0" distB="0" distL="0" distR="0">
          <wp:extent cx="1320165" cy="51562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rcRect l="-3" t="-8" r="-3" b="-8"/>
                  <a:stretch>
                    <a:fillRect/>
                  </a:stretch>
                </pic:blipFill>
                <pic:spPr bwMode="auto">
                  <a:xfrm>
                    <a:off x="0" y="0"/>
                    <a:ext cx="1320165" cy="51562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2">
    <w:name w:val="Heading 2"/>
    <w:basedOn w:val="Normal"/>
    <w:next w:val="Normal"/>
    <w:qFormat/>
    <w:pPr>
      <w:keepNext w:val="true"/>
      <w:numPr>
        <w:ilvl w:val="1"/>
        <w:numId w:val="1"/>
      </w:numPr>
      <w:jc w:val="both"/>
      <w:outlineLvl w:val="1"/>
    </w:pPr>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Century Gothic" w:hAnsi="Century Gothic"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EntteCar">
    <w:name w:val="En-tête C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2020-06-25T17:35:00Z</dcterms:created>
  <dc:creator/>
  <dc:description/>
  <dc:language>en-GB</dc:language>
  <cp:lastModifiedBy/>
  <cp:lastPrinted>2020-06-22T18:46:00Z</cp:lastPrinted>
  <dcterms:modified xsi:type="dcterms:W3CDTF">2020-06-25T17:36:00Z</dcterms:modified>
  <cp:revision>3</cp:revision>
  <dc:subject/>
  <dc:title>ACCORD DE PARTICIPATION DES SALARIES</dc:title>
</cp:coreProperties>
</file>