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thinThickSmallGap" w:sz="24" w:space="1" w:color="000000"/>
          <w:left w:val="thinThickSmallGap" w:sz="24" w:space="4" w:color="000000"/>
          <w:bottom w:val="thickThinSmallGap" w:sz="24" w:space="5" w:color="000000"/>
          <w:right w:val="thickThinSmallGap" w:sz="24" w:space="4" w:color="000000"/>
        </w:pBdr>
        <w:tabs>
          <w:tab w:val="left" w:pos="670" w:leader="none"/>
          <w:tab w:val="center" w:pos="4536" w:leader="none"/>
        </w:tabs>
        <w:jc w:val="center"/>
        <w:rPr/>
      </w:pPr>
      <w:r>
        <w:rPr>
          <w:rFonts w:cs="Arial" w:ascii="Arial" w:hAnsi="Arial"/>
          <w:b/>
          <w:bCs/>
          <w:color w:val="3366FF"/>
          <w:sz w:val="36"/>
          <w:szCs w:val="40"/>
        </w:rPr>
        <w:t xml:space="preserve">AVENANT ACCORD D’ENTREPRISE </w:t>
      </w:r>
    </w:p>
    <w:p>
      <w:pPr>
        <w:pStyle w:val="Normal"/>
        <w:pBdr>
          <w:top w:val="thinThickSmallGap" w:sz="24" w:space="1" w:color="000000"/>
          <w:left w:val="thinThickSmallGap" w:sz="24" w:space="4" w:color="000000"/>
          <w:bottom w:val="thickThinSmallGap" w:sz="24" w:space="5" w:color="000000"/>
          <w:right w:val="thickThinSmallGap" w:sz="24" w:space="4" w:color="000000"/>
        </w:pBdr>
        <w:tabs>
          <w:tab w:val="left" w:pos="670" w:leader="none"/>
          <w:tab w:val="center" w:pos="4536" w:leader="none"/>
        </w:tabs>
        <w:jc w:val="center"/>
        <w:rPr/>
      </w:pPr>
      <w:r>
        <w:rPr>
          <w:rFonts w:cs="Arial" w:ascii="Arial" w:hAnsi="Arial"/>
          <w:b/>
          <w:bCs/>
          <w:color w:val="3366FF"/>
          <w:sz w:val="36"/>
          <w:szCs w:val="40"/>
        </w:rPr>
        <w:t>relatif à la protection sociale complémentaire au sein de NXP Semiconductors France</w:t>
      </w:r>
    </w:p>
    <w:p>
      <w:pPr>
        <w:pStyle w:val="Normal"/>
        <w:pBdr>
          <w:top w:val="thinThickSmallGap" w:sz="24" w:space="1" w:color="000000"/>
          <w:left w:val="thinThickSmallGap" w:sz="24" w:space="4" w:color="000000"/>
          <w:bottom w:val="thickThinSmallGap" w:sz="24" w:space="5" w:color="000000"/>
          <w:right w:val="thickThinSmallGap" w:sz="24" w:space="4" w:color="000000"/>
        </w:pBdr>
        <w:tabs>
          <w:tab w:val="left" w:pos="670" w:leader="none"/>
          <w:tab w:val="center" w:pos="4536" w:leader="none"/>
        </w:tabs>
        <w:jc w:val="center"/>
        <w:rPr>
          <w:rFonts w:ascii="Arial" w:hAnsi="Arial" w:cs="Arial"/>
          <w:sz w:val="10"/>
        </w:rPr>
      </w:pPr>
      <w:r>
        <w:rPr>
          <w:rFonts w:eastAsia="Arial" w:cs="Arial" w:ascii="Arial" w:hAnsi="Arial"/>
        </w:rPr>
        <w:t xml:space="preserve"> </w:t>
      </w:r>
    </w:p>
    <w:p>
      <w:pPr>
        <w:pStyle w:val="Normal"/>
        <w:jc w:val="center"/>
        <w:rPr>
          <w:rFonts w:ascii="Arial" w:hAnsi="Arial" w:cs="Arial"/>
          <w:b/>
          <w:b/>
          <w:sz w:val="10"/>
        </w:rPr>
      </w:pPr>
      <w:r>
        <w:rPr>
          <w:rFonts w:cs="Arial" w:ascii="Arial" w:hAnsi="Arial"/>
          <w:b/>
          <w:sz w:val="10"/>
        </w:rPr>
      </w:r>
    </w:p>
    <w:p>
      <w:pPr>
        <w:pStyle w:val="Normal"/>
        <w:rPr>
          <w:rFonts w:ascii="Arial" w:hAnsi="Arial" w:cs="Arial"/>
          <w:b/>
          <w:b/>
          <w:sz w:val="10"/>
        </w:rPr>
      </w:pPr>
      <w:r>
        <w:rPr>
          <w:rFonts w:cs="Arial" w:ascii="Arial" w:hAnsi="Arial"/>
          <w:b/>
          <w:sz w:val="10"/>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sz w:val="10"/>
          <w:szCs w:val="10"/>
        </w:rPr>
      </w:pPr>
      <w:r>
        <w:rPr>
          <w:rFonts w:cs="Arial" w:ascii="Arial" w:hAnsi="Arial"/>
          <w:b/>
          <w:sz w:val="10"/>
          <w:szCs w:val="10"/>
        </w:rPr>
      </w:r>
    </w:p>
    <w:p>
      <w:pPr>
        <w:pStyle w:val="Normal"/>
        <w:rPr>
          <w:rFonts w:ascii="Arial" w:hAnsi="Arial" w:cs="Arial"/>
          <w:b/>
          <w:b/>
          <w:sz w:val="18"/>
        </w:rPr>
      </w:pPr>
      <w:r>
        <w:rPr>
          <w:rFonts w:cs="Arial" w:ascii="Arial" w:hAnsi="Arial"/>
          <w:b/>
          <w:sz w:val="18"/>
        </w:rPr>
        <w:t>ENTRE LES SOUSSIGNES</w:t>
      </w:r>
    </w:p>
    <w:p>
      <w:pPr>
        <w:pStyle w:val="Normal"/>
        <w:rPr>
          <w:rFonts w:ascii="Arial" w:hAnsi="Arial" w:cs="Arial"/>
          <w:b/>
          <w:b/>
          <w:sz w:val="18"/>
        </w:rPr>
      </w:pPr>
      <w:r>
        <w:rPr>
          <w:rFonts w:cs="Arial" w:ascii="Arial" w:hAnsi="Arial"/>
          <w:b/>
          <w:sz w:val="18"/>
        </w:rPr>
      </w:r>
    </w:p>
    <w:p>
      <w:pPr>
        <w:pStyle w:val="Normalcentr"/>
        <w:spacing w:lineRule="auto" w:line="240"/>
        <w:ind w:left="0" w:right="-143" w:hanging="0"/>
        <w:rPr>
          <w:rFonts w:ascii="Arial" w:hAnsi="Arial" w:cs="Arial"/>
          <w:sz w:val="20"/>
        </w:rPr>
      </w:pPr>
      <w:r>
        <w:rPr>
          <w:rFonts w:cs="Arial" w:ascii="Arial" w:hAnsi="Arial"/>
          <w:sz w:val="20"/>
        </w:rPr>
        <w:t>La société NXP Semiconductors France SAS, 504 538 745, Parc les Algorithmes - Saint Aubin - 91193 Gif Sur Yvette Cedex</w:t>
      </w:r>
    </w:p>
    <w:p>
      <w:pPr>
        <w:pStyle w:val="Normalcentr"/>
        <w:spacing w:lineRule="auto" w:line="240"/>
        <w:ind w:left="0" w:right="-143" w:hanging="0"/>
        <w:rPr/>
      </w:pPr>
      <w:r>
        <w:rPr>
          <w:rFonts w:cs="Arial" w:ascii="Arial" w:hAnsi="Arial"/>
          <w:sz w:val="20"/>
        </w:rPr>
        <w:t xml:space="preserve">Ci-après dénommée "l'entreprise", </w:t>
      </w:r>
    </w:p>
    <w:p>
      <w:pPr>
        <w:pStyle w:val="Normalcentr"/>
        <w:spacing w:lineRule="auto" w:line="240"/>
        <w:ind w:left="0" w:right="-143" w:hanging="0"/>
        <w:rPr>
          <w:rFonts w:ascii="Arial" w:hAnsi="Arial" w:cs="Arial"/>
          <w:sz w:val="18"/>
        </w:rPr>
      </w:pPr>
      <w:r>
        <w:rPr>
          <w:rFonts w:cs="Arial" w:ascii="Arial" w:hAnsi="Arial"/>
          <w:sz w:val="20"/>
        </w:rPr>
        <w:t>Représentée par XXX, Directeur des Ressources Humaines,</w:t>
      </w:r>
    </w:p>
    <w:p>
      <w:pPr>
        <w:pStyle w:val="Normal"/>
        <w:ind w:firstLine="708"/>
        <w:rPr>
          <w:rFonts w:ascii="Arial" w:hAnsi="Arial" w:cs="Arial"/>
          <w:sz w:val="8"/>
        </w:rPr>
      </w:pPr>
      <w:r>
        <w:rPr>
          <w:rFonts w:cs="Arial" w:ascii="Arial" w:hAnsi="Arial"/>
          <w:sz w:val="8"/>
        </w:rPr>
      </w:r>
    </w:p>
    <w:p>
      <w:pPr>
        <w:pStyle w:val="Normal"/>
        <w:ind w:firstLine="708"/>
        <w:rPr>
          <w:rFonts w:ascii="Arial" w:hAnsi="Arial" w:cs="Arial"/>
          <w:sz w:val="8"/>
        </w:rPr>
      </w:pPr>
      <w:r>
        <w:rPr>
          <w:rFonts w:cs="Arial" w:ascii="Arial" w:hAnsi="Arial"/>
          <w:sz w:val="8"/>
        </w:rPr>
      </w:r>
    </w:p>
    <w:p>
      <w:pPr>
        <w:pStyle w:val="Normal"/>
        <w:rPr/>
      </w:pPr>
      <w:r>
        <w:rPr>
          <w:rFonts w:cs="Arial" w:ascii="Arial" w:hAnsi="Arial"/>
          <w:b/>
          <w:sz w:val="18"/>
        </w:rPr>
        <w:t>ET,</w:t>
      </w:r>
    </w:p>
    <w:p>
      <w:pPr>
        <w:pStyle w:val="Normal"/>
        <w:rPr>
          <w:rFonts w:ascii="Arial" w:hAnsi="Arial" w:cs="Arial"/>
          <w:b/>
          <w:b/>
          <w:sz w:val="18"/>
        </w:rPr>
      </w:pPr>
      <w:r>
        <w:rPr>
          <w:rFonts w:cs="Arial" w:ascii="Arial" w:hAnsi="Arial"/>
          <w:b/>
          <w:sz w:val="18"/>
        </w:rPr>
      </w:r>
    </w:p>
    <w:p>
      <w:pPr>
        <w:pStyle w:val="Normalcentr"/>
        <w:spacing w:lineRule="auto" w:line="240"/>
        <w:ind w:left="0" w:right="-143" w:hanging="0"/>
        <w:rPr/>
      </w:pPr>
      <w:r>
        <w:rPr>
          <w:rFonts w:cs="Arial" w:ascii="Arial" w:hAnsi="Arial"/>
          <w:sz w:val="20"/>
        </w:rPr>
        <w:t>Les organisations syndicales représentatives dans l’entreprise, par l'intermédiaire de leur délégué syndical central, ci-après dénommées "les organisations syndicales",</w:t>
      </w:r>
    </w:p>
    <w:p>
      <w:pPr>
        <w:pStyle w:val="Normal"/>
        <w:rPr>
          <w:rFonts w:ascii="Arial" w:hAnsi="Arial" w:cs="Arial"/>
          <w:sz w:val="18"/>
        </w:rPr>
      </w:pPr>
      <w:r>
        <w:rPr>
          <w:rFonts w:cs="Arial" w:ascii="Arial" w:hAnsi="Arial"/>
          <w:sz w:val="18"/>
        </w:rPr>
      </w:r>
    </w:p>
    <w:p>
      <w:pPr>
        <w:pStyle w:val="Normal"/>
        <w:rPr>
          <w:rFonts w:ascii="Arial" w:hAnsi="Arial" w:cs="Arial"/>
          <w:b/>
          <w:b/>
          <w:color w:val="0000FF"/>
          <w:sz w:val="18"/>
        </w:rPr>
      </w:pPr>
      <w:r>
        <w:rPr>
          <w:rFonts w:cs="Arial" w:ascii="Arial" w:hAnsi="Arial"/>
          <w:b/>
          <w:color w:val="0000FF"/>
          <w:sz w:val="18"/>
        </w:rPr>
      </w:r>
    </w:p>
    <w:p>
      <w:pPr>
        <w:pStyle w:val="Normal"/>
        <w:rPr>
          <w:rFonts w:ascii="Arial" w:hAnsi="Arial" w:cs="Arial"/>
          <w:b/>
          <w:b/>
          <w:color w:val="0000FF"/>
          <w:sz w:val="18"/>
        </w:rPr>
      </w:pPr>
      <w:r>
        <w:rPr>
          <w:rFonts w:cs="Arial" w:ascii="Arial" w:hAnsi="Arial"/>
          <w:b/>
          <w:color w:val="0000FF"/>
          <w:sz w:val="18"/>
        </w:rPr>
      </w:r>
    </w:p>
    <w:p>
      <w:pPr>
        <w:pStyle w:val="Normal"/>
        <w:rPr>
          <w:rFonts w:ascii="Arial" w:hAnsi="Arial" w:cs="Arial"/>
          <w:b/>
          <w:b/>
          <w:color w:val="0000FF"/>
          <w:sz w:val="18"/>
        </w:rPr>
      </w:pPr>
      <w:r>
        <w:rPr>
          <w:rFonts w:cs="Arial" w:ascii="Arial" w:hAnsi="Arial"/>
          <w:b/>
          <w:color w:val="0000FF"/>
          <w:sz w:val="18"/>
        </w:rPr>
        <w:t>IL EST RAPPELE CE QUI SUIT :</w:t>
      </w:r>
    </w:p>
    <w:p>
      <w:pPr>
        <w:pStyle w:val="Normal"/>
        <w:rPr>
          <w:rFonts w:ascii="Arial" w:hAnsi="Arial" w:cs="Arial"/>
          <w:b/>
          <w:b/>
          <w:color w:val="0000FF"/>
          <w:sz w:val="18"/>
        </w:rPr>
      </w:pPr>
      <w:r>
        <w:rPr>
          <w:rFonts w:cs="Arial" w:ascii="Arial" w:hAnsi="Arial"/>
          <w:b/>
          <w:color w:val="0000FF"/>
          <w:sz w:val="18"/>
        </w:rPr>
      </w:r>
    </w:p>
    <w:p>
      <w:pPr>
        <w:pStyle w:val="Normal"/>
        <w:rPr>
          <w:rFonts w:ascii="Arial" w:hAnsi="Arial" w:cs="Arial"/>
          <w:sz w:val="8"/>
        </w:rPr>
      </w:pPr>
      <w:r>
        <w:rPr>
          <w:rFonts w:cs="Arial" w:ascii="Arial" w:hAnsi="Arial"/>
          <w:sz w:val="8"/>
        </w:rPr>
      </w:r>
    </w:p>
    <w:p>
      <w:pPr>
        <w:pStyle w:val="Normalcentr"/>
        <w:spacing w:lineRule="auto" w:line="240"/>
        <w:ind w:left="0" w:right="-143" w:hanging="0"/>
        <w:rPr>
          <w:rFonts w:ascii="Arial" w:hAnsi="Arial" w:cs="Arial"/>
          <w:sz w:val="20"/>
        </w:rPr>
      </w:pPr>
      <w:r>
        <w:rPr>
          <w:rFonts w:cs="Arial" w:ascii="Arial" w:hAnsi="Arial"/>
          <w:sz w:val="20"/>
        </w:rPr>
        <w:t xml:space="preserve">Un accord d’entreprise, à durée déterminée, relatif à la protection sociale complémentaire au sein de NXP Semiconductors France a été signé le 30 mars 2015 pour une durée de 5 ans. Cet accord a été modifié par voie d’avenant le 14 Novembre 2016. </w:t>
      </w:r>
    </w:p>
    <w:p>
      <w:pPr>
        <w:pStyle w:val="Normalcentr"/>
        <w:spacing w:lineRule="auto" w:line="240"/>
        <w:ind w:left="0" w:right="-143" w:hanging="0"/>
        <w:rPr>
          <w:rFonts w:ascii="Arial" w:hAnsi="Arial" w:cs="Arial"/>
          <w:sz w:val="20"/>
        </w:rPr>
      </w:pPr>
      <w:r>
        <w:rPr>
          <w:rFonts w:cs="Arial" w:ascii="Arial" w:hAnsi="Arial"/>
          <w:sz w:val="20"/>
        </w:rPr>
      </w:r>
    </w:p>
    <w:p>
      <w:pPr>
        <w:pStyle w:val="Normal"/>
        <w:autoSpaceDE w:val="false"/>
        <w:rPr/>
      </w:pPr>
      <w:r>
        <w:rPr>
          <w:rFonts w:cs="Arial" w:ascii="Arial" w:hAnsi="Arial"/>
        </w:rPr>
        <w:t>À la suite du déficit enregistré sur le compte « frais de santé » en 2017 et 2018, la conservation du régime en l’état aurait rendu ce dernier déficitaire sur les futurs exercices. Après discussions au sein de la commission prévoyance et du Comité Central d’Entreprise, il a été convenu d’adapter la tarification « frais de santé » progressivement sans changer les garanties du régime ni les sociétés mandatées pour en assurer la gestion.</w:t>
      </w:r>
    </w:p>
    <w:p>
      <w:pPr>
        <w:pStyle w:val="Normalcentr"/>
        <w:spacing w:lineRule="auto" w:line="240"/>
        <w:ind w:left="0" w:right="-143" w:hanging="0"/>
        <w:rPr>
          <w:rFonts w:ascii="Arial" w:hAnsi="Arial" w:cs="Arial"/>
          <w:sz w:val="20"/>
        </w:rPr>
      </w:pPr>
      <w:r>
        <w:rPr>
          <w:rFonts w:cs="Arial" w:ascii="Arial" w:hAnsi="Arial"/>
          <w:sz w:val="20"/>
        </w:rPr>
      </w:r>
    </w:p>
    <w:p>
      <w:pPr>
        <w:pStyle w:val="Normalcentr"/>
        <w:ind w:left="0" w:right="-143" w:hanging="0"/>
        <w:rPr>
          <w:rFonts w:ascii="Arial" w:hAnsi="Arial" w:cs="Arial"/>
          <w:sz w:val="20"/>
        </w:rPr>
      </w:pPr>
      <w:r>
        <w:rPr>
          <w:rFonts w:cs="Arial" w:ascii="Arial" w:hAnsi="Arial"/>
          <w:sz w:val="20"/>
        </w:rPr>
      </w:r>
    </w:p>
    <w:p>
      <w:pPr>
        <w:pStyle w:val="Normal"/>
        <w:rPr>
          <w:rFonts w:ascii="Arial" w:hAnsi="Arial" w:cs="Arial"/>
          <w:b/>
          <w:b/>
          <w:color w:val="0000FF"/>
          <w:sz w:val="18"/>
        </w:rPr>
      </w:pPr>
      <w:r>
        <w:rPr>
          <w:rFonts w:cs="Arial" w:ascii="Arial" w:hAnsi="Arial"/>
          <w:b/>
          <w:color w:val="0000FF"/>
          <w:sz w:val="18"/>
        </w:rPr>
        <w:t>EN CONSEQUENCE IL EST CONVENU CE QUI SUIT :</w:t>
      </w:r>
    </w:p>
    <w:p>
      <w:pPr>
        <w:pStyle w:val="Normalcentr"/>
        <w:spacing w:lineRule="auto" w:line="240"/>
        <w:ind w:left="0" w:right="0" w:hanging="0"/>
        <w:rPr>
          <w:rFonts w:ascii="Arial" w:hAnsi="Arial" w:cs="Arial"/>
          <w:b/>
          <w:b/>
          <w:color w:val="0000FF"/>
          <w:sz w:val="20"/>
        </w:rPr>
      </w:pPr>
      <w:r>
        <w:rPr>
          <w:rFonts w:cs="Arial" w:ascii="Arial" w:hAnsi="Arial"/>
          <w:b/>
          <w:color w:val="0000FF"/>
          <w:sz w:val="20"/>
        </w:rPr>
      </w:r>
    </w:p>
    <w:p>
      <w:pPr>
        <w:pStyle w:val="Heading1"/>
        <w:numPr>
          <w:ilvl w:val="0"/>
          <w:numId w:val="1"/>
        </w:numPr>
        <w:rPr>
          <w:bCs w:val="false"/>
          <w:color w:val="0000FF"/>
          <w:sz w:val="20"/>
        </w:rPr>
      </w:pPr>
      <w:r>
        <w:rPr>
          <w:bCs w:val="false"/>
          <w:color w:val="0000FF"/>
          <w:sz w:val="20"/>
        </w:rPr>
        <w:t>Cotisations</w:t>
      </w:r>
    </w:p>
    <w:p>
      <w:pPr>
        <w:pStyle w:val="Retraitcorpsdetexte2"/>
        <w:ind w:left="0" w:hanging="0"/>
        <w:rPr/>
      </w:pPr>
      <w:r>
        <w:rPr>
          <w:b w:val="false"/>
          <w:bCs w:val="false"/>
          <w:i/>
          <w:sz w:val="16"/>
          <w:szCs w:val="18"/>
        </w:rPr>
        <w:t>Remplacement de l’ensemble de l’article 5 de l’accord du 30 mars 2015 et de l’article 5 de l’avenant du 14 Novembre 2016 par le texte suivant</w:t>
      </w:r>
    </w:p>
    <w:p>
      <w:pPr>
        <w:pStyle w:val="Normal"/>
        <w:tabs>
          <w:tab w:val="left" w:pos="1200" w:leader="none"/>
          <w:tab w:val="left" w:pos="1320" w:leader="none"/>
        </w:tabs>
        <w:rPr>
          <w:rFonts w:ascii="Arial" w:hAnsi="Arial" w:cs="Arial"/>
          <w:b/>
          <w:b/>
          <w:bCs/>
          <w:i/>
          <w:i/>
          <w:sz w:val="18"/>
          <w:szCs w:val="18"/>
        </w:rPr>
      </w:pPr>
      <w:r>
        <w:rPr>
          <w:rFonts w:cs="Arial" w:ascii="Arial" w:hAnsi="Arial"/>
          <w:b/>
          <w:bCs/>
          <w:i/>
          <w:sz w:val="18"/>
          <w:szCs w:val="18"/>
        </w:rPr>
      </w:r>
    </w:p>
    <w:p>
      <w:pPr>
        <w:pStyle w:val="Normal"/>
        <w:rPr>
          <w:rFonts w:ascii="Arial" w:hAnsi="Arial" w:cs="Arial"/>
          <w:bCs/>
        </w:rPr>
      </w:pPr>
      <w:r>
        <w:rPr>
          <w:rFonts w:cs="Arial" w:ascii="Arial" w:hAnsi="Arial"/>
          <w:bCs/>
        </w:rPr>
        <w:t>Les taux de cotisations destinés au financement de la protection sociale sont calculés sous forme de cotisation familiale et sont assis :</w:t>
      </w:r>
    </w:p>
    <w:p>
      <w:pPr>
        <w:pStyle w:val="Normal"/>
        <w:ind w:left="1416" w:hanging="0"/>
        <w:rPr>
          <w:rFonts w:ascii="Arial" w:hAnsi="Arial" w:cs="Arial"/>
          <w:bCs/>
          <w:sz w:val="18"/>
        </w:rPr>
      </w:pPr>
      <w:r>
        <w:rPr>
          <w:rFonts w:cs="Arial" w:ascii="Arial" w:hAnsi="Arial"/>
          <w:bCs/>
          <w:sz w:val="18"/>
        </w:rPr>
      </w:r>
    </w:p>
    <w:p>
      <w:pPr>
        <w:pStyle w:val="Normal"/>
        <w:numPr>
          <w:ilvl w:val="0"/>
          <w:numId w:val="4"/>
        </w:numPr>
        <w:jc w:val="both"/>
        <w:rPr/>
      </w:pPr>
      <w:r>
        <w:rPr>
          <w:rFonts w:cs="Arial" w:ascii="Arial" w:hAnsi="Arial"/>
          <w:bCs/>
        </w:rPr>
        <w:t>en pourcentage du salaire plafond de la Sécurité Sociale pour le régime de santé</w:t>
      </w:r>
    </w:p>
    <w:p>
      <w:pPr>
        <w:pStyle w:val="Normal"/>
        <w:numPr>
          <w:ilvl w:val="0"/>
          <w:numId w:val="4"/>
        </w:numPr>
        <w:jc w:val="both"/>
        <w:rPr>
          <w:rFonts w:ascii="Arial" w:hAnsi="Arial" w:cs="Arial"/>
          <w:bCs/>
        </w:rPr>
      </w:pPr>
      <w:r>
        <w:rPr>
          <w:rFonts w:cs="Arial" w:ascii="Arial" w:hAnsi="Arial"/>
          <w:bCs/>
        </w:rPr>
        <w:t>en pourcentage des salaires bruts déclarés (brut Sécurité Sociale), par tranche, pour ce qui concerne le régime de prévoyance</w:t>
      </w:r>
    </w:p>
    <w:p>
      <w:pPr>
        <w:pStyle w:val="Normal"/>
        <w:jc w:val="both"/>
        <w:rPr>
          <w:rFonts w:ascii="Arial" w:hAnsi="Arial" w:cs="Arial"/>
          <w:bCs/>
        </w:rPr>
      </w:pPr>
      <w:r>
        <w:rPr>
          <w:rFonts w:cs="Arial" w:ascii="Arial" w:hAnsi="Arial"/>
          <w:bCs/>
        </w:rPr>
      </w:r>
    </w:p>
    <w:p>
      <w:pPr>
        <w:pStyle w:val="Normal"/>
        <w:jc w:val="both"/>
        <w:rPr>
          <w:rFonts w:ascii="Arial" w:hAnsi="Arial" w:cs="Arial"/>
          <w:bCs/>
        </w:rPr>
      </w:pPr>
      <w:r>
        <w:rPr>
          <w:rFonts w:cs="Arial" w:ascii="Arial" w:hAnsi="Arial"/>
          <w:bCs/>
        </w:rPr>
        <w:t>Les cotisations seront calculées mensuellement à l’occasion de chaque exercice de paie.</w:t>
      </w:r>
      <w:r>
        <w:br w:type="page"/>
      </w:r>
    </w:p>
    <w:p>
      <w:pPr>
        <w:pStyle w:val="Normal"/>
        <w:jc w:val="both"/>
        <w:rPr>
          <w:rFonts w:ascii="Arial" w:hAnsi="Arial" w:cs="Arial"/>
          <w:bCs/>
        </w:rPr>
      </w:pPr>
      <w:r>
        <w:rPr>
          <w:rFonts w:cs="Arial" w:ascii="Arial" w:hAnsi="Arial"/>
          <w:bCs/>
        </w:rPr>
      </w:r>
    </w:p>
    <w:p>
      <w:pPr>
        <w:pStyle w:val="Normal"/>
        <w:jc w:val="both"/>
        <w:rPr>
          <w:rFonts w:ascii="Arial" w:hAnsi="Arial" w:cs="Arial"/>
          <w:bCs/>
        </w:rPr>
      </w:pPr>
      <w:r>
        <w:rPr>
          <w:rFonts w:cs="Arial" w:ascii="Arial" w:hAnsi="Arial"/>
          <w:bCs/>
        </w:rPr>
        <w:t>Les cotisations servant au financement du contrat d’assurance seront prises en charge par l’entreprise et par les salariés dans les proportions suivantes :</w:t>
      </w:r>
    </w:p>
    <w:p>
      <w:pPr>
        <w:pStyle w:val="Normal"/>
        <w:jc w:val="both"/>
        <w:rPr>
          <w:rFonts w:ascii="Arial" w:hAnsi="Arial" w:cs="Arial"/>
          <w:bCs/>
        </w:rPr>
      </w:pPr>
      <w:r>
        <w:rPr>
          <w:rFonts w:cs="Arial" w:ascii="Arial" w:hAnsi="Arial"/>
          <w:bCs/>
        </w:rPr>
      </w:r>
    </w:p>
    <w:p>
      <w:pPr>
        <w:pStyle w:val="Normal"/>
        <w:numPr>
          <w:ilvl w:val="0"/>
          <w:numId w:val="3"/>
        </w:numPr>
        <w:jc w:val="both"/>
        <w:rPr>
          <w:rFonts w:ascii="Arial" w:hAnsi="Arial" w:cs="Arial"/>
          <w:bCs/>
        </w:rPr>
      </w:pPr>
      <w:r>
        <w:rPr>
          <w:rFonts w:cs="Arial" w:ascii="Arial" w:hAnsi="Arial"/>
          <w:bCs/>
        </w:rPr>
        <w:t>A compter du 01 Janvier 2019</w:t>
      </w:r>
    </w:p>
    <w:p>
      <w:pPr>
        <w:pStyle w:val="Normal"/>
        <w:jc w:val="both"/>
        <w:rPr>
          <w:rFonts w:ascii="Arial" w:hAnsi="Arial" w:cs="Arial"/>
          <w:bCs/>
        </w:rPr>
      </w:pPr>
      <w:r>
        <w:rPr>
          <w:rFonts w:cs="Arial" w:ascii="Arial" w:hAnsi="Arial"/>
          <w:bCs/>
        </w:rPr>
      </w:r>
    </w:p>
    <w:tbl>
      <w:tblPr>
        <w:tblW w:w="7820" w:type="dxa"/>
        <w:jc w:val="left"/>
        <w:tblInd w:w="70" w:type="dxa"/>
        <w:tblBorders>
          <w:bottom w:val="single" w:sz="8" w:space="0" w:color="000000"/>
          <w:insideH w:val="single" w:sz="8" w:space="0" w:color="000000"/>
        </w:tblBorders>
        <w:tblCellMar>
          <w:top w:w="0" w:type="dxa"/>
          <w:left w:w="70" w:type="dxa"/>
          <w:bottom w:w="0" w:type="dxa"/>
          <w:right w:w="70" w:type="dxa"/>
        </w:tblCellMar>
      </w:tblPr>
      <w:tblGrid>
        <w:gridCol w:w="1552"/>
        <w:gridCol w:w="900"/>
        <w:gridCol w:w="1129"/>
        <w:gridCol w:w="1118"/>
        <w:gridCol w:w="1041"/>
        <w:gridCol w:w="960"/>
        <w:gridCol w:w="1100"/>
        <w:gridCol w:w="20"/>
      </w:tblGrid>
      <w:tr>
        <w:trPr>
          <w:trHeight w:val="1068" w:hRule="atLeast"/>
        </w:trPr>
        <w:tc>
          <w:tcPr>
            <w:tcW w:w="1552" w:type="dxa"/>
            <w:tcBorders>
              <w:bottom w:val="single" w:sz="8" w:space="0" w:color="000000"/>
              <w:insideH w:val="single" w:sz="8" w:space="0" w:color="000000"/>
            </w:tcBorders>
            <w:shd w:fill="auto" w:val="clear"/>
            <w:vAlign w:val="center"/>
          </w:tcPr>
          <w:p>
            <w:pPr>
              <w:pStyle w:val="Normal"/>
              <w:jc w:val="center"/>
              <w:rPr>
                <w:rFonts w:ascii="Arial" w:hAnsi="Arial" w:cs="Arial"/>
                <w:color w:val="000000"/>
                <w:sz w:val="18"/>
              </w:rPr>
            </w:pPr>
            <w:r>
              <w:rPr>
                <w:rFonts w:cs="Arial" w:ascii="Arial" w:hAnsi="Arial"/>
                <w:color w:val="000000"/>
                <w:sz w:val="18"/>
              </w:rPr>
              <w:t> </w:t>
            </w:r>
          </w:p>
        </w:tc>
        <w:tc>
          <w:tcPr>
            <w:tcW w:w="900" w:type="dxa"/>
            <w:tcBorders>
              <w:bottom w:val="single" w:sz="8" w:space="0" w:color="000000"/>
              <w:insideH w:val="single" w:sz="8" w:space="0" w:color="000000"/>
            </w:tcBorders>
            <w:shd w:fill="auto" w:val="clear"/>
            <w:vAlign w:val="center"/>
          </w:tcPr>
          <w:p>
            <w:pPr>
              <w:pStyle w:val="Normal"/>
              <w:jc w:val="center"/>
              <w:rPr>
                <w:rFonts w:ascii="Arial" w:hAnsi="Arial" w:cs="Arial"/>
                <w:color w:val="000000"/>
                <w:sz w:val="18"/>
              </w:rPr>
            </w:pPr>
            <w:r>
              <w:rPr>
                <w:rFonts w:cs="Arial" w:ascii="Arial" w:hAnsi="Arial"/>
                <w:color w:val="000000"/>
                <w:sz w:val="18"/>
              </w:rPr>
              <w:t> </w:t>
            </w:r>
          </w:p>
        </w:tc>
        <w:tc>
          <w:tcPr>
            <w:tcW w:w="1129" w:type="dxa"/>
            <w:tcBorders>
              <w:top w:val="single" w:sz="8" w:space="0" w:color="000000"/>
              <w:left w:val="single" w:sz="8" w:space="0" w:color="000000"/>
              <w:bottom w:val="single" w:sz="8" w:space="0" w:color="000000"/>
              <w:insideH w:val="single" w:sz="8" w:space="0" w:color="000000"/>
            </w:tcBorders>
            <w:shd w:fill="D9E2F3" w:val="clear"/>
            <w:tcMar>
              <w:left w:w="60" w:type="dxa"/>
            </w:tcMar>
            <w:vAlign w:val="center"/>
          </w:tcPr>
          <w:p>
            <w:pPr>
              <w:pStyle w:val="Normal"/>
              <w:jc w:val="center"/>
              <w:rPr>
                <w:rFonts w:ascii="Arial" w:hAnsi="Arial" w:cs="Arial"/>
                <w:b/>
                <w:b/>
                <w:bCs/>
                <w:color w:val="000000"/>
                <w:sz w:val="18"/>
              </w:rPr>
            </w:pPr>
            <w:r>
              <w:rPr>
                <w:rFonts w:cs="Arial" w:ascii="Arial" w:hAnsi="Arial"/>
                <w:b/>
                <w:bCs/>
                <w:color w:val="000000"/>
                <w:sz w:val="18"/>
              </w:rPr>
              <w:t>répartition Patronal</w:t>
              <w:br/>
              <w:t>/Salarial</w:t>
            </w:r>
          </w:p>
        </w:tc>
        <w:tc>
          <w:tcPr>
            <w:tcW w:w="1118" w:type="dxa"/>
            <w:tcBorders>
              <w:top w:val="single" w:sz="8" w:space="0" w:color="000000"/>
              <w:left w:val="single" w:sz="8" w:space="0" w:color="000000"/>
              <w:bottom w:val="single" w:sz="8" w:space="0" w:color="000000"/>
              <w:insideH w:val="single" w:sz="8" w:space="0" w:color="000000"/>
            </w:tcBorders>
            <w:shd w:fill="D9E2F3" w:val="clear"/>
            <w:tcMar>
              <w:left w:w="60" w:type="dxa"/>
            </w:tcMar>
            <w:vAlign w:val="center"/>
          </w:tcPr>
          <w:p>
            <w:pPr>
              <w:pStyle w:val="Normal"/>
              <w:jc w:val="center"/>
              <w:rPr>
                <w:rFonts w:ascii="Arial" w:hAnsi="Arial" w:cs="Arial"/>
                <w:b/>
                <w:b/>
                <w:bCs/>
                <w:color w:val="000000"/>
                <w:sz w:val="18"/>
              </w:rPr>
            </w:pPr>
            <w:r>
              <w:rPr>
                <w:rFonts w:cs="Arial" w:ascii="Arial" w:hAnsi="Arial"/>
                <w:b/>
                <w:bCs/>
                <w:color w:val="000000"/>
                <w:sz w:val="18"/>
              </w:rPr>
              <w:t>Cotisation totale</w:t>
            </w:r>
          </w:p>
        </w:tc>
        <w:tc>
          <w:tcPr>
            <w:tcW w:w="1041" w:type="dxa"/>
            <w:tcBorders>
              <w:top w:val="single" w:sz="8" w:space="0" w:color="000000"/>
              <w:left w:val="double" w:sz="6" w:space="0" w:color="000000"/>
              <w:bottom w:val="single" w:sz="8" w:space="0" w:color="000000"/>
              <w:insideH w:val="single" w:sz="8" w:space="0" w:color="000000"/>
            </w:tcBorders>
            <w:shd w:fill="D9E2F3" w:val="clear"/>
            <w:tcMar>
              <w:left w:w="47" w:type="dxa"/>
            </w:tcMar>
            <w:vAlign w:val="center"/>
          </w:tcPr>
          <w:p>
            <w:pPr>
              <w:pStyle w:val="Normal"/>
              <w:jc w:val="center"/>
              <w:rPr>
                <w:rFonts w:ascii="Arial" w:hAnsi="Arial" w:cs="Arial"/>
                <w:b/>
                <w:b/>
                <w:bCs/>
                <w:color w:val="000000"/>
                <w:sz w:val="18"/>
              </w:rPr>
            </w:pPr>
            <w:r>
              <w:rPr>
                <w:rFonts w:cs="Arial" w:ascii="Arial" w:hAnsi="Arial"/>
                <w:b/>
                <w:bCs/>
                <w:color w:val="000000"/>
                <w:sz w:val="18"/>
              </w:rPr>
              <w:t>part patronale</w:t>
            </w:r>
          </w:p>
        </w:tc>
        <w:tc>
          <w:tcPr>
            <w:tcW w:w="960" w:type="dxa"/>
            <w:tcBorders>
              <w:top w:val="single" w:sz="8" w:space="0" w:color="000000"/>
              <w:left w:val="single" w:sz="8" w:space="0" w:color="000000"/>
              <w:bottom w:val="single" w:sz="8" w:space="0" w:color="000000"/>
              <w:insideH w:val="single" w:sz="8" w:space="0" w:color="000000"/>
            </w:tcBorders>
            <w:shd w:fill="D9E2F3" w:val="clear"/>
            <w:tcMar>
              <w:left w:w="60" w:type="dxa"/>
            </w:tcMar>
            <w:vAlign w:val="center"/>
          </w:tcPr>
          <w:p>
            <w:pPr>
              <w:pStyle w:val="Normal"/>
              <w:jc w:val="center"/>
              <w:rPr>
                <w:rFonts w:ascii="Arial" w:hAnsi="Arial" w:cs="Arial"/>
                <w:b/>
                <w:b/>
                <w:bCs/>
                <w:color w:val="000000"/>
                <w:sz w:val="18"/>
              </w:rPr>
            </w:pPr>
            <w:r>
              <w:rPr>
                <w:rFonts w:cs="Arial" w:ascii="Arial" w:hAnsi="Arial"/>
                <w:b/>
                <w:bCs/>
                <w:color w:val="000000"/>
                <w:sz w:val="18"/>
              </w:rPr>
              <w:t>part salariale</w:t>
            </w:r>
          </w:p>
        </w:tc>
        <w:tc>
          <w:tcPr>
            <w:tcW w:w="1100" w:type="dxa"/>
            <w:tcBorders>
              <w:left w:val="single" w:sz="8" w:space="0" w:color="000000"/>
            </w:tcBorders>
            <w:shd w:fill="auto" w:val="clear"/>
            <w:tcMar>
              <w:left w:w="60" w:type="dxa"/>
            </w:tcMar>
            <w:vAlign w:val="bottom"/>
          </w:tcPr>
          <w:p>
            <w:pPr>
              <w:pStyle w:val="Normal"/>
              <w:snapToGrid w:val="false"/>
              <w:jc w:val="center"/>
              <w:rPr>
                <w:rFonts w:ascii="Arial" w:hAnsi="Arial" w:cs="Arial"/>
                <w:b/>
                <w:b/>
                <w:bCs/>
                <w:color w:val="000000"/>
                <w:sz w:val="18"/>
              </w:rPr>
            </w:pPr>
            <w:r>
              <w:rPr>
                <w:rFonts w:cs="Arial" w:ascii="Arial" w:hAnsi="Arial"/>
                <w:b/>
                <w:bCs/>
                <w:color w:val="000000"/>
                <w:sz w:val="18"/>
              </w:rPr>
            </w:r>
          </w:p>
        </w:tc>
      </w:tr>
      <w:tr>
        <w:trPr>
          <w:trHeight w:val="1044" w:hRule="atLeast"/>
        </w:trPr>
        <w:tc>
          <w:tcPr>
            <w:tcW w:w="1552" w:type="dxa"/>
            <w:vMerge w:val="restart"/>
            <w:tcBorders>
              <w:left w:val="single" w:sz="8" w:space="0" w:color="000000"/>
            </w:tcBorders>
            <w:shd w:fill="E2EFD9" w:val="clear"/>
            <w:tcMar>
              <w:left w:w="60" w:type="dxa"/>
            </w:tcMar>
            <w:vAlign w:val="center"/>
          </w:tcPr>
          <w:p>
            <w:pPr>
              <w:pStyle w:val="Normal"/>
              <w:jc w:val="center"/>
              <w:rPr>
                <w:rFonts w:ascii="Arial" w:hAnsi="Arial" w:cs="Arial"/>
                <w:b/>
                <w:b/>
                <w:bCs/>
                <w:color w:val="000000"/>
                <w:sz w:val="18"/>
              </w:rPr>
            </w:pPr>
            <w:r>
              <w:rPr>
                <w:rFonts w:cs="Arial" w:ascii="Arial" w:hAnsi="Arial"/>
                <w:b/>
                <w:bCs/>
                <w:color w:val="000000"/>
                <w:sz w:val="18"/>
              </w:rPr>
              <w:t>Frais de santé</w:t>
            </w:r>
          </w:p>
        </w:tc>
        <w:tc>
          <w:tcPr>
            <w:tcW w:w="900" w:type="dxa"/>
            <w:tcBorders>
              <w:left w:val="single" w:sz="8" w:space="0" w:color="000000"/>
              <w:bottom w:val="single" w:sz="8" w:space="0" w:color="000000"/>
              <w:insideH w:val="single" w:sz="8" w:space="0" w:color="000000"/>
            </w:tcBorders>
            <w:shd w:fill="E2EFD9" w:val="clear"/>
            <w:tcMar>
              <w:left w:w="60" w:type="dxa"/>
            </w:tcMar>
            <w:vAlign w:val="center"/>
          </w:tcPr>
          <w:p>
            <w:pPr>
              <w:pStyle w:val="Normal"/>
              <w:jc w:val="center"/>
              <w:rPr>
                <w:rFonts w:ascii="Arial" w:hAnsi="Arial" w:cs="Arial"/>
                <w:color w:val="000000"/>
                <w:sz w:val="18"/>
              </w:rPr>
            </w:pPr>
            <w:r>
              <w:rPr>
                <w:rFonts w:cs="Arial" w:ascii="Arial" w:hAnsi="Arial"/>
                <w:color w:val="000000"/>
                <w:sz w:val="18"/>
              </w:rPr>
              <w:t>non cadres</w:t>
            </w:r>
          </w:p>
        </w:tc>
        <w:tc>
          <w:tcPr>
            <w:tcW w:w="1129"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ascii="Arial" w:hAnsi="Arial" w:cs="Arial"/>
                <w:color w:val="000000"/>
                <w:sz w:val="18"/>
              </w:rPr>
            </w:pPr>
            <w:r>
              <w:rPr>
                <w:rFonts w:cs="Arial" w:ascii="Arial" w:hAnsi="Arial"/>
                <w:color w:val="000000"/>
                <w:sz w:val="18"/>
              </w:rPr>
              <w:t>62% / 38%</w:t>
            </w:r>
          </w:p>
        </w:tc>
        <w:tc>
          <w:tcPr>
            <w:tcW w:w="1118" w:type="dxa"/>
            <w:tcBorders>
              <w:left w:val="single" w:sz="8" w:space="0" w:color="000000"/>
              <w:bottom w:val="single" w:sz="8" w:space="0" w:color="000000"/>
              <w:insideH w:val="single" w:sz="8" w:space="0" w:color="000000"/>
            </w:tcBorders>
            <w:shd w:fill="E2EFD9" w:val="clear"/>
            <w:tcMar>
              <w:left w:w="60" w:type="dxa"/>
            </w:tcMar>
            <w:vAlign w:val="center"/>
          </w:tcPr>
          <w:p>
            <w:pPr>
              <w:pStyle w:val="Normal"/>
              <w:jc w:val="center"/>
              <w:rPr/>
            </w:pPr>
            <w:r>
              <w:rPr>
                <w:rFonts w:cs="Arial" w:ascii="Arial" w:hAnsi="Arial"/>
                <w:color w:val="000000"/>
                <w:sz w:val="18"/>
              </w:rPr>
              <w:t>3,74%%</w:t>
            </w:r>
          </w:p>
        </w:tc>
        <w:tc>
          <w:tcPr>
            <w:tcW w:w="1041" w:type="dxa"/>
            <w:tcBorders>
              <w:left w:val="double" w:sz="6" w:space="0" w:color="000000"/>
              <w:bottom w:val="single" w:sz="8" w:space="0" w:color="000000"/>
              <w:insideH w:val="single" w:sz="8" w:space="0" w:color="000000"/>
            </w:tcBorders>
            <w:shd w:fill="auto" w:val="clear"/>
            <w:tcMar>
              <w:left w:w="47" w:type="dxa"/>
            </w:tcMar>
            <w:vAlign w:val="center"/>
          </w:tcPr>
          <w:p>
            <w:pPr>
              <w:pStyle w:val="Normal"/>
              <w:jc w:val="center"/>
              <w:rPr/>
            </w:pPr>
            <w:r>
              <w:rPr>
                <w:rFonts w:cs="Arial" w:ascii="Arial" w:hAnsi="Arial"/>
                <w:color w:val="000000"/>
                <w:sz w:val="18"/>
              </w:rPr>
              <w:t>2,32%</w:t>
            </w:r>
          </w:p>
        </w:tc>
        <w:tc>
          <w:tcPr>
            <w:tcW w:w="960"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pPr>
            <w:r>
              <w:rPr>
                <w:rFonts w:cs="Arial" w:ascii="Arial" w:hAnsi="Arial"/>
                <w:color w:val="000000"/>
                <w:sz w:val="18"/>
              </w:rPr>
              <w:t>1,42%</w:t>
            </w:r>
          </w:p>
        </w:tc>
        <w:tc>
          <w:tcPr>
            <w:tcW w:w="1120" w:type="dxa"/>
            <w:vMerge w:val="restart"/>
            <w:tcBorders>
              <w:top w:val="single" w:sz="8" w:space="0" w:color="000000"/>
              <w:left w:val="single" w:sz="8" w:space="0" w:color="000000"/>
              <w:right w:val="single" w:sz="8" w:space="0" w:color="000000"/>
              <w:insideV w:val="single" w:sz="8" w:space="0" w:color="000000"/>
            </w:tcBorders>
            <w:shd w:fill="E2EFDA" w:val="clear"/>
            <w:tcMar>
              <w:left w:w="60" w:type="dxa"/>
            </w:tcMar>
            <w:vAlign w:val="center"/>
          </w:tcPr>
          <w:p>
            <w:pPr>
              <w:pStyle w:val="Normal"/>
              <w:jc w:val="center"/>
              <w:rPr>
                <w:rFonts w:ascii="Arial" w:hAnsi="Arial" w:cs="Arial"/>
                <w:color w:val="000000"/>
                <w:sz w:val="18"/>
              </w:rPr>
            </w:pPr>
            <w:r>
              <w:rPr>
                <w:rFonts w:cs="Arial" w:ascii="Arial" w:hAnsi="Arial"/>
                <w:color w:val="000000"/>
                <w:sz w:val="18"/>
              </w:rPr>
              <w:t>en % du plafond S.S. de l'année concernée</w:t>
            </w:r>
          </w:p>
        </w:tc>
      </w:tr>
      <w:tr>
        <w:trPr>
          <w:trHeight w:val="540" w:hRule="atLeast"/>
        </w:trPr>
        <w:tc>
          <w:tcPr>
            <w:tcW w:w="1552" w:type="dxa"/>
            <w:vMerge w:val="continue"/>
            <w:tcBorders>
              <w:left w:val="single" w:sz="8" w:space="0" w:color="000000"/>
            </w:tcBorders>
            <w:shd w:fill="auto" w:val="clear"/>
            <w:tcMar>
              <w:left w:w="60" w:type="dxa"/>
            </w:tcMar>
            <w:vAlign w:val="center"/>
          </w:tcPr>
          <w:p>
            <w:pPr>
              <w:pStyle w:val="Normal"/>
              <w:snapToGrid w:val="false"/>
              <w:rPr>
                <w:rFonts w:ascii="Arial" w:hAnsi="Arial" w:cs="Arial"/>
                <w:b/>
                <w:b/>
                <w:bCs/>
                <w:color w:val="000000"/>
                <w:sz w:val="18"/>
              </w:rPr>
            </w:pPr>
            <w:r>
              <w:rPr>
                <w:rFonts w:cs="Arial" w:ascii="Arial" w:hAnsi="Arial"/>
                <w:b/>
                <w:bCs/>
                <w:color w:val="000000"/>
                <w:sz w:val="18"/>
              </w:rPr>
            </w:r>
          </w:p>
        </w:tc>
        <w:tc>
          <w:tcPr>
            <w:tcW w:w="900" w:type="dxa"/>
            <w:tcBorders>
              <w:left w:val="single" w:sz="8" w:space="0" w:color="000000"/>
              <w:bottom w:val="single" w:sz="8" w:space="0" w:color="000000"/>
              <w:insideH w:val="single" w:sz="8" w:space="0" w:color="000000"/>
            </w:tcBorders>
            <w:shd w:fill="E2EFD9" w:val="clear"/>
            <w:tcMar>
              <w:left w:w="60" w:type="dxa"/>
            </w:tcMar>
            <w:vAlign w:val="center"/>
          </w:tcPr>
          <w:p>
            <w:pPr>
              <w:pStyle w:val="Normal"/>
              <w:jc w:val="center"/>
              <w:rPr>
                <w:rFonts w:ascii="Arial" w:hAnsi="Arial" w:cs="Arial"/>
                <w:color w:val="000000"/>
                <w:sz w:val="18"/>
              </w:rPr>
            </w:pPr>
            <w:r>
              <w:rPr>
                <w:rFonts w:cs="Arial" w:ascii="Arial" w:hAnsi="Arial"/>
                <w:color w:val="000000"/>
                <w:sz w:val="18"/>
              </w:rPr>
              <w:t>cadres</w:t>
            </w:r>
          </w:p>
        </w:tc>
        <w:tc>
          <w:tcPr>
            <w:tcW w:w="1129" w:type="dxa"/>
            <w:tcBorders>
              <w:left w:val="single" w:sz="8" w:space="0" w:color="000000"/>
            </w:tcBorders>
            <w:shd w:fill="auto" w:val="clear"/>
            <w:tcMar>
              <w:left w:w="60" w:type="dxa"/>
            </w:tcMar>
            <w:vAlign w:val="center"/>
          </w:tcPr>
          <w:p>
            <w:pPr>
              <w:pStyle w:val="Normal"/>
              <w:jc w:val="center"/>
              <w:rPr>
                <w:rFonts w:ascii="Arial" w:hAnsi="Arial" w:cs="Arial"/>
                <w:color w:val="000000"/>
                <w:sz w:val="18"/>
              </w:rPr>
            </w:pPr>
            <w:r>
              <w:rPr>
                <w:rFonts w:cs="Arial" w:ascii="Arial" w:hAnsi="Arial"/>
                <w:color w:val="000000"/>
                <w:sz w:val="18"/>
              </w:rPr>
              <w:t>52% / 48%</w:t>
            </w:r>
          </w:p>
        </w:tc>
        <w:tc>
          <w:tcPr>
            <w:tcW w:w="1118" w:type="dxa"/>
            <w:tcBorders>
              <w:left w:val="single" w:sz="8" w:space="0" w:color="000000"/>
            </w:tcBorders>
            <w:shd w:fill="E2EFD9" w:val="clear"/>
            <w:tcMar>
              <w:left w:w="60" w:type="dxa"/>
            </w:tcMar>
            <w:vAlign w:val="center"/>
          </w:tcPr>
          <w:p>
            <w:pPr>
              <w:pStyle w:val="Normal"/>
              <w:jc w:val="center"/>
              <w:rPr/>
            </w:pPr>
            <w:r>
              <w:rPr>
                <w:rFonts w:cs="Arial" w:ascii="Arial" w:hAnsi="Arial"/>
                <w:color w:val="000000"/>
                <w:sz w:val="18"/>
              </w:rPr>
              <w:t>3,74%</w:t>
            </w:r>
          </w:p>
        </w:tc>
        <w:tc>
          <w:tcPr>
            <w:tcW w:w="1041" w:type="dxa"/>
            <w:tcBorders>
              <w:left w:val="double" w:sz="6" w:space="0" w:color="000000"/>
            </w:tcBorders>
            <w:shd w:fill="auto" w:val="clear"/>
            <w:tcMar>
              <w:left w:w="47" w:type="dxa"/>
            </w:tcMar>
            <w:vAlign w:val="center"/>
          </w:tcPr>
          <w:p>
            <w:pPr>
              <w:pStyle w:val="Normal"/>
              <w:jc w:val="center"/>
              <w:rPr/>
            </w:pPr>
            <w:r>
              <w:rPr>
                <w:rFonts w:cs="Arial" w:ascii="Arial" w:hAnsi="Arial"/>
                <w:color w:val="000000"/>
                <w:sz w:val="18"/>
              </w:rPr>
              <w:t>1,94%</w:t>
            </w:r>
          </w:p>
        </w:tc>
        <w:tc>
          <w:tcPr>
            <w:tcW w:w="960" w:type="dxa"/>
            <w:tcBorders>
              <w:left w:val="single" w:sz="8" w:space="0" w:color="000000"/>
            </w:tcBorders>
            <w:shd w:fill="auto" w:val="clear"/>
            <w:tcMar>
              <w:left w:w="60" w:type="dxa"/>
            </w:tcMar>
            <w:vAlign w:val="center"/>
          </w:tcPr>
          <w:p>
            <w:pPr>
              <w:pStyle w:val="Normal"/>
              <w:jc w:val="center"/>
              <w:rPr/>
            </w:pPr>
            <w:r>
              <w:rPr>
                <w:rFonts w:cs="Arial" w:ascii="Arial" w:hAnsi="Arial"/>
                <w:color w:val="000000"/>
                <w:sz w:val="18"/>
              </w:rPr>
              <w:t>1,80%</w:t>
            </w:r>
          </w:p>
        </w:tc>
        <w:tc>
          <w:tcPr>
            <w:tcW w:w="1120" w:type="dxa"/>
            <w:vMerge w:val="continue"/>
            <w:tcBorders>
              <w:top w:val="single" w:sz="8" w:space="0" w:color="000000"/>
              <w:left w:val="single" w:sz="8" w:space="0" w:color="000000"/>
              <w:right w:val="single" w:sz="8" w:space="0" w:color="000000"/>
              <w:insideV w:val="single" w:sz="8" w:space="0" w:color="000000"/>
            </w:tcBorders>
            <w:shd w:fill="auto" w:val="clear"/>
            <w:tcMar>
              <w:left w:w="60" w:type="dxa"/>
            </w:tcMar>
            <w:vAlign w:val="center"/>
          </w:tcPr>
          <w:p>
            <w:pPr>
              <w:pStyle w:val="Normal"/>
              <w:snapToGrid w:val="false"/>
              <w:rPr>
                <w:rFonts w:ascii="Arial" w:hAnsi="Arial" w:cs="Arial"/>
                <w:color w:val="000000"/>
                <w:sz w:val="18"/>
              </w:rPr>
            </w:pPr>
            <w:r>
              <w:rPr>
                <w:rFonts w:cs="Arial" w:ascii="Arial" w:hAnsi="Arial"/>
                <w:color w:val="000000"/>
                <w:sz w:val="18"/>
              </w:rPr>
            </w:r>
          </w:p>
        </w:tc>
      </w:tr>
      <w:tr>
        <w:trPr>
          <w:trHeight w:val="552" w:hRule="atLeast"/>
        </w:trPr>
        <w:tc>
          <w:tcPr>
            <w:tcW w:w="1552" w:type="dxa"/>
            <w:vMerge w:val="restart"/>
            <w:tcBorders>
              <w:top w:val="single" w:sz="8" w:space="0" w:color="000000"/>
              <w:left w:val="single" w:sz="8" w:space="0" w:color="000000"/>
              <w:bottom w:val="single" w:sz="8" w:space="0" w:color="000000"/>
              <w:insideH w:val="single" w:sz="8" w:space="0" w:color="000000"/>
            </w:tcBorders>
            <w:shd w:fill="FFF2CC" w:val="clear"/>
            <w:tcMar>
              <w:left w:w="60" w:type="dxa"/>
            </w:tcMar>
            <w:vAlign w:val="center"/>
          </w:tcPr>
          <w:p>
            <w:pPr>
              <w:pStyle w:val="Normal"/>
              <w:jc w:val="center"/>
              <w:rPr>
                <w:rFonts w:ascii="Arial" w:hAnsi="Arial" w:cs="Arial"/>
                <w:b/>
                <w:b/>
                <w:bCs/>
                <w:color w:val="000000"/>
                <w:sz w:val="18"/>
              </w:rPr>
            </w:pPr>
            <w:r>
              <w:rPr>
                <w:rFonts w:cs="Arial" w:ascii="Arial" w:hAnsi="Arial"/>
                <w:b/>
                <w:bCs/>
                <w:color w:val="000000"/>
                <w:sz w:val="18"/>
              </w:rPr>
              <w:t>Prévoyance</w:t>
            </w:r>
          </w:p>
        </w:tc>
        <w:tc>
          <w:tcPr>
            <w:tcW w:w="900" w:type="dxa"/>
            <w:tcBorders>
              <w:left w:val="single" w:sz="8" w:space="0" w:color="000000"/>
              <w:bottom w:val="single" w:sz="8" w:space="0" w:color="000000"/>
              <w:insideH w:val="single" w:sz="8" w:space="0" w:color="000000"/>
            </w:tcBorders>
            <w:shd w:fill="FFF2CC" w:val="clear"/>
            <w:tcMar>
              <w:left w:w="60" w:type="dxa"/>
            </w:tcMar>
            <w:vAlign w:val="center"/>
          </w:tcPr>
          <w:p>
            <w:pPr>
              <w:pStyle w:val="Normal"/>
              <w:jc w:val="center"/>
              <w:rPr>
                <w:rFonts w:ascii="Arial" w:hAnsi="Arial" w:cs="Arial"/>
                <w:color w:val="000000"/>
                <w:sz w:val="18"/>
              </w:rPr>
            </w:pPr>
            <w:r>
              <w:rPr>
                <w:rFonts w:cs="Arial" w:ascii="Arial" w:hAnsi="Arial"/>
                <w:color w:val="000000"/>
                <w:sz w:val="18"/>
              </w:rPr>
              <w:t>TA</w:t>
            </w:r>
          </w:p>
        </w:tc>
        <w:tc>
          <w:tcPr>
            <w:tcW w:w="1129" w:type="dxa"/>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ascii="Arial" w:hAnsi="Arial" w:cs="Arial"/>
                <w:color w:val="000000"/>
                <w:sz w:val="18"/>
              </w:rPr>
            </w:pPr>
            <w:r>
              <w:rPr>
                <w:rFonts w:cs="Arial" w:ascii="Arial" w:hAnsi="Arial"/>
                <w:color w:val="000000"/>
                <w:sz w:val="18"/>
              </w:rPr>
              <w:t>75% / 25%</w:t>
            </w:r>
          </w:p>
        </w:tc>
        <w:tc>
          <w:tcPr>
            <w:tcW w:w="1118" w:type="dxa"/>
            <w:tcBorders>
              <w:top w:val="single" w:sz="8" w:space="0" w:color="000000"/>
              <w:left w:val="single" w:sz="8" w:space="0" w:color="000000"/>
              <w:bottom w:val="single" w:sz="8" w:space="0" w:color="000000"/>
              <w:insideH w:val="single" w:sz="8" w:space="0" w:color="000000"/>
            </w:tcBorders>
            <w:shd w:fill="FFF2CC" w:val="clear"/>
            <w:tcMar>
              <w:left w:w="60" w:type="dxa"/>
            </w:tcMar>
            <w:vAlign w:val="center"/>
          </w:tcPr>
          <w:p>
            <w:pPr>
              <w:pStyle w:val="Normal"/>
              <w:jc w:val="center"/>
              <w:rPr>
                <w:rFonts w:ascii="Arial" w:hAnsi="Arial" w:cs="Arial"/>
                <w:color w:val="000000"/>
                <w:sz w:val="18"/>
              </w:rPr>
            </w:pPr>
            <w:r>
              <w:rPr>
                <w:rFonts w:cs="Arial" w:ascii="Arial" w:hAnsi="Arial"/>
                <w:color w:val="000000"/>
                <w:sz w:val="18"/>
              </w:rPr>
              <w:t>1,11%</w:t>
            </w:r>
          </w:p>
        </w:tc>
        <w:tc>
          <w:tcPr>
            <w:tcW w:w="1041" w:type="dxa"/>
            <w:tcBorders>
              <w:top w:val="single" w:sz="8" w:space="0" w:color="000000"/>
              <w:left w:val="double" w:sz="6" w:space="0" w:color="000000"/>
              <w:bottom w:val="single" w:sz="8" w:space="0" w:color="000000"/>
              <w:insideH w:val="single" w:sz="8" w:space="0" w:color="000000"/>
            </w:tcBorders>
            <w:shd w:fill="auto" w:val="clear"/>
            <w:tcMar>
              <w:left w:w="47" w:type="dxa"/>
            </w:tcMar>
            <w:vAlign w:val="center"/>
          </w:tcPr>
          <w:p>
            <w:pPr>
              <w:pStyle w:val="Normal"/>
              <w:jc w:val="center"/>
              <w:rPr>
                <w:rFonts w:ascii="Arial" w:hAnsi="Arial" w:cs="Arial"/>
                <w:color w:val="000000"/>
                <w:sz w:val="18"/>
              </w:rPr>
            </w:pPr>
            <w:r>
              <w:rPr>
                <w:rFonts w:cs="Arial" w:ascii="Arial" w:hAnsi="Arial"/>
                <w:color w:val="000000"/>
                <w:sz w:val="18"/>
              </w:rPr>
              <w:t>0,83%</w:t>
            </w:r>
          </w:p>
        </w:tc>
        <w:tc>
          <w:tcPr>
            <w:tcW w:w="960" w:type="dxa"/>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ascii="Arial" w:hAnsi="Arial" w:cs="Arial"/>
                <w:color w:val="000000"/>
                <w:sz w:val="18"/>
              </w:rPr>
            </w:pPr>
            <w:r>
              <w:rPr>
                <w:rFonts w:cs="Arial" w:ascii="Arial" w:hAnsi="Arial"/>
                <w:color w:val="000000"/>
                <w:sz w:val="18"/>
              </w:rPr>
              <w:t>0,28%</w:t>
            </w:r>
          </w:p>
        </w:tc>
        <w:tc>
          <w:tcPr>
            <w:tcW w:w="112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FFF2CC" w:val="clear"/>
            <w:tcMar>
              <w:left w:w="60" w:type="dxa"/>
            </w:tcMar>
            <w:vAlign w:val="center"/>
          </w:tcPr>
          <w:p>
            <w:pPr>
              <w:pStyle w:val="Normal"/>
              <w:jc w:val="center"/>
              <w:rPr>
                <w:rFonts w:ascii="Arial" w:hAnsi="Arial" w:cs="Arial"/>
                <w:color w:val="000000"/>
                <w:sz w:val="18"/>
              </w:rPr>
            </w:pPr>
            <w:r>
              <w:rPr>
                <w:rFonts w:cs="Arial" w:ascii="Arial" w:hAnsi="Arial"/>
                <w:color w:val="000000"/>
                <w:sz w:val="18"/>
              </w:rPr>
              <w:t>en % du salaire de référence (cf art 6)</w:t>
            </w:r>
          </w:p>
        </w:tc>
      </w:tr>
      <w:tr>
        <w:trPr>
          <w:trHeight w:val="540" w:hRule="atLeast"/>
        </w:trPr>
        <w:tc>
          <w:tcPr>
            <w:tcW w:w="1552" w:type="dxa"/>
            <w:vMerge w:val="continue"/>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ascii="Arial" w:hAnsi="Arial" w:cs="Arial"/>
                <w:b/>
                <w:b/>
                <w:bCs/>
                <w:color w:val="000000"/>
                <w:sz w:val="18"/>
              </w:rPr>
            </w:pPr>
            <w:r>
              <w:rPr>
                <w:rFonts w:cs="Arial" w:ascii="Arial" w:hAnsi="Arial"/>
                <w:b/>
                <w:bCs/>
                <w:color w:val="000000"/>
                <w:sz w:val="18"/>
              </w:rPr>
            </w:r>
          </w:p>
        </w:tc>
        <w:tc>
          <w:tcPr>
            <w:tcW w:w="900" w:type="dxa"/>
            <w:tcBorders>
              <w:left w:val="single" w:sz="8" w:space="0" w:color="000000"/>
              <w:bottom w:val="single" w:sz="8" w:space="0" w:color="000000"/>
              <w:insideH w:val="single" w:sz="8" w:space="0" w:color="000000"/>
            </w:tcBorders>
            <w:shd w:fill="FFF2CC" w:val="clear"/>
            <w:tcMar>
              <w:left w:w="60" w:type="dxa"/>
            </w:tcMar>
            <w:vAlign w:val="center"/>
          </w:tcPr>
          <w:p>
            <w:pPr>
              <w:pStyle w:val="Normal"/>
              <w:jc w:val="center"/>
              <w:rPr>
                <w:rFonts w:ascii="Arial" w:hAnsi="Arial" w:cs="Arial"/>
                <w:color w:val="000000"/>
                <w:sz w:val="18"/>
              </w:rPr>
            </w:pPr>
            <w:r>
              <w:rPr>
                <w:rFonts w:cs="Arial" w:ascii="Arial" w:hAnsi="Arial"/>
                <w:color w:val="000000"/>
                <w:sz w:val="18"/>
              </w:rPr>
              <w:t>TB</w:t>
            </w:r>
          </w:p>
        </w:tc>
        <w:tc>
          <w:tcPr>
            <w:tcW w:w="1129"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ascii="Arial" w:hAnsi="Arial" w:cs="Arial"/>
                <w:color w:val="000000"/>
                <w:sz w:val="18"/>
              </w:rPr>
            </w:pPr>
            <w:r>
              <w:rPr>
                <w:rFonts w:cs="Arial" w:ascii="Arial" w:hAnsi="Arial"/>
                <w:color w:val="000000"/>
                <w:sz w:val="18"/>
              </w:rPr>
              <w:t>50% / 50%</w:t>
            </w:r>
          </w:p>
        </w:tc>
        <w:tc>
          <w:tcPr>
            <w:tcW w:w="1118" w:type="dxa"/>
            <w:tcBorders>
              <w:left w:val="single" w:sz="8" w:space="0" w:color="000000"/>
              <w:bottom w:val="single" w:sz="8" w:space="0" w:color="000000"/>
              <w:insideH w:val="single" w:sz="8" w:space="0" w:color="000000"/>
            </w:tcBorders>
            <w:shd w:fill="FFF2CC" w:val="clear"/>
            <w:tcMar>
              <w:left w:w="60" w:type="dxa"/>
            </w:tcMar>
            <w:vAlign w:val="center"/>
          </w:tcPr>
          <w:p>
            <w:pPr>
              <w:pStyle w:val="Normal"/>
              <w:jc w:val="center"/>
              <w:rPr>
                <w:rFonts w:ascii="Arial" w:hAnsi="Arial" w:cs="Arial"/>
                <w:color w:val="000000"/>
                <w:sz w:val="18"/>
              </w:rPr>
            </w:pPr>
            <w:r>
              <w:rPr>
                <w:rFonts w:cs="Arial" w:ascii="Arial" w:hAnsi="Arial"/>
                <w:color w:val="000000"/>
                <w:sz w:val="18"/>
              </w:rPr>
              <w:t>1,35%</w:t>
            </w:r>
          </w:p>
        </w:tc>
        <w:tc>
          <w:tcPr>
            <w:tcW w:w="1041" w:type="dxa"/>
            <w:tcBorders>
              <w:left w:val="double" w:sz="6" w:space="0" w:color="000000"/>
              <w:bottom w:val="single" w:sz="8" w:space="0" w:color="000000"/>
              <w:insideH w:val="single" w:sz="8" w:space="0" w:color="000000"/>
            </w:tcBorders>
            <w:shd w:fill="auto" w:val="clear"/>
            <w:tcMar>
              <w:left w:w="47" w:type="dxa"/>
            </w:tcMar>
            <w:vAlign w:val="center"/>
          </w:tcPr>
          <w:p>
            <w:pPr>
              <w:pStyle w:val="Normal"/>
              <w:jc w:val="center"/>
              <w:rPr>
                <w:rFonts w:ascii="Arial" w:hAnsi="Arial" w:cs="Arial"/>
                <w:color w:val="000000"/>
                <w:sz w:val="18"/>
              </w:rPr>
            </w:pPr>
            <w:r>
              <w:rPr>
                <w:rFonts w:cs="Arial" w:ascii="Arial" w:hAnsi="Arial"/>
                <w:color w:val="000000"/>
                <w:sz w:val="18"/>
              </w:rPr>
              <w:t>0,68%</w:t>
            </w:r>
          </w:p>
        </w:tc>
        <w:tc>
          <w:tcPr>
            <w:tcW w:w="960"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ascii="Arial" w:hAnsi="Arial" w:cs="Arial"/>
                <w:color w:val="000000"/>
                <w:sz w:val="18"/>
              </w:rPr>
            </w:pPr>
            <w:r>
              <w:rPr>
                <w:rFonts w:cs="Arial" w:ascii="Arial" w:hAnsi="Arial"/>
                <w:color w:val="000000"/>
                <w:sz w:val="18"/>
              </w:rPr>
              <w:t>0,67%</w:t>
            </w:r>
          </w:p>
        </w:tc>
        <w:tc>
          <w:tcPr>
            <w:tcW w:w="112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rPr>
                <w:rFonts w:ascii="Arial" w:hAnsi="Arial" w:cs="Arial"/>
                <w:color w:val="000000"/>
                <w:sz w:val="18"/>
              </w:rPr>
            </w:pPr>
            <w:r>
              <w:rPr>
                <w:rFonts w:cs="Arial" w:ascii="Arial" w:hAnsi="Arial"/>
                <w:color w:val="000000"/>
                <w:sz w:val="18"/>
              </w:rPr>
            </w:r>
          </w:p>
        </w:tc>
      </w:tr>
      <w:tr>
        <w:trPr>
          <w:trHeight w:val="540" w:hRule="atLeast"/>
        </w:trPr>
        <w:tc>
          <w:tcPr>
            <w:tcW w:w="1552" w:type="dxa"/>
            <w:vMerge w:val="continue"/>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ascii="Arial" w:hAnsi="Arial" w:cs="Arial"/>
                <w:b/>
                <w:b/>
                <w:bCs/>
                <w:color w:val="000000"/>
                <w:sz w:val="18"/>
              </w:rPr>
            </w:pPr>
            <w:r>
              <w:rPr>
                <w:rFonts w:cs="Arial" w:ascii="Arial" w:hAnsi="Arial"/>
                <w:b/>
                <w:bCs/>
                <w:color w:val="000000"/>
                <w:sz w:val="18"/>
              </w:rPr>
            </w:r>
          </w:p>
        </w:tc>
        <w:tc>
          <w:tcPr>
            <w:tcW w:w="900" w:type="dxa"/>
            <w:tcBorders>
              <w:left w:val="single" w:sz="8" w:space="0" w:color="000000"/>
              <w:bottom w:val="single" w:sz="8" w:space="0" w:color="000000"/>
              <w:insideH w:val="single" w:sz="8" w:space="0" w:color="000000"/>
            </w:tcBorders>
            <w:shd w:fill="FFF2CC" w:val="clear"/>
            <w:tcMar>
              <w:left w:w="60" w:type="dxa"/>
            </w:tcMar>
            <w:vAlign w:val="center"/>
          </w:tcPr>
          <w:p>
            <w:pPr>
              <w:pStyle w:val="Normal"/>
              <w:jc w:val="center"/>
              <w:rPr>
                <w:rFonts w:ascii="Arial" w:hAnsi="Arial" w:cs="Arial"/>
                <w:color w:val="000000"/>
                <w:sz w:val="18"/>
              </w:rPr>
            </w:pPr>
            <w:r>
              <w:rPr>
                <w:rFonts w:cs="Arial" w:ascii="Arial" w:hAnsi="Arial"/>
                <w:color w:val="000000"/>
                <w:sz w:val="18"/>
              </w:rPr>
              <w:t>TC</w:t>
            </w:r>
          </w:p>
        </w:tc>
        <w:tc>
          <w:tcPr>
            <w:tcW w:w="1129"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ascii="Arial" w:hAnsi="Arial" w:cs="Arial"/>
                <w:color w:val="000000"/>
                <w:sz w:val="18"/>
              </w:rPr>
            </w:pPr>
            <w:r>
              <w:rPr>
                <w:rFonts w:cs="Arial" w:ascii="Arial" w:hAnsi="Arial"/>
                <w:color w:val="000000"/>
                <w:sz w:val="18"/>
              </w:rPr>
              <w:t>50% / 50%</w:t>
            </w:r>
          </w:p>
        </w:tc>
        <w:tc>
          <w:tcPr>
            <w:tcW w:w="1118" w:type="dxa"/>
            <w:tcBorders>
              <w:left w:val="single" w:sz="8" w:space="0" w:color="000000"/>
              <w:bottom w:val="single" w:sz="8" w:space="0" w:color="000000"/>
              <w:insideH w:val="single" w:sz="8" w:space="0" w:color="000000"/>
            </w:tcBorders>
            <w:shd w:fill="FFF2CC" w:val="clear"/>
            <w:tcMar>
              <w:left w:w="60" w:type="dxa"/>
            </w:tcMar>
            <w:vAlign w:val="center"/>
          </w:tcPr>
          <w:p>
            <w:pPr>
              <w:pStyle w:val="Normal"/>
              <w:jc w:val="center"/>
              <w:rPr>
                <w:rFonts w:ascii="Arial" w:hAnsi="Arial" w:cs="Arial"/>
                <w:color w:val="000000"/>
                <w:sz w:val="18"/>
              </w:rPr>
            </w:pPr>
            <w:r>
              <w:rPr>
                <w:rFonts w:cs="Arial" w:ascii="Arial" w:hAnsi="Arial"/>
                <w:color w:val="000000"/>
                <w:sz w:val="18"/>
              </w:rPr>
              <w:t>1,40%</w:t>
            </w:r>
          </w:p>
        </w:tc>
        <w:tc>
          <w:tcPr>
            <w:tcW w:w="1041" w:type="dxa"/>
            <w:tcBorders>
              <w:left w:val="double" w:sz="6" w:space="0" w:color="000000"/>
              <w:bottom w:val="single" w:sz="8" w:space="0" w:color="000000"/>
              <w:insideH w:val="single" w:sz="8" w:space="0" w:color="000000"/>
            </w:tcBorders>
            <w:shd w:fill="auto" w:val="clear"/>
            <w:tcMar>
              <w:left w:w="47" w:type="dxa"/>
            </w:tcMar>
            <w:vAlign w:val="center"/>
          </w:tcPr>
          <w:p>
            <w:pPr>
              <w:pStyle w:val="Normal"/>
              <w:jc w:val="center"/>
              <w:rPr>
                <w:rFonts w:ascii="Arial" w:hAnsi="Arial" w:cs="Arial"/>
                <w:color w:val="000000"/>
                <w:sz w:val="18"/>
              </w:rPr>
            </w:pPr>
            <w:r>
              <w:rPr>
                <w:rFonts w:cs="Arial" w:ascii="Arial" w:hAnsi="Arial"/>
                <w:color w:val="000000"/>
                <w:sz w:val="18"/>
              </w:rPr>
              <w:t>0,70%</w:t>
            </w:r>
          </w:p>
        </w:tc>
        <w:tc>
          <w:tcPr>
            <w:tcW w:w="960"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ascii="Arial" w:hAnsi="Arial" w:cs="Arial"/>
                <w:color w:val="000000"/>
                <w:sz w:val="18"/>
              </w:rPr>
            </w:pPr>
            <w:r>
              <w:rPr>
                <w:rFonts w:cs="Arial" w:ascii="Arial" w:hAnsi="Arial"/>
                <w:color w:val="000000"/>
                <w:sz w:val="18"/>
              </w:rPr>
              <w:t>0,70%</w:t>
            </w:r>
          </w:p>
        </w:tc>
        <w:tc>
          <w:tcPr>
            <w:tcW w:w="112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rPr>
                <w:rFonts w:ascii="Arial" w:hAnsi="Arial" w:cs="Arial"/>
                <w:color w:val="000000"/>
                <w:sz w:val="18"/>
              </w:rPr>
            </w:pPr>
            <w:r>
              <w:rPr>
                <w:rFonts w:cs="Arial" w:ascii="Arial" w:hAnsi="Arial"/>
                <w:color w:val="000000"/>
                <w:sz w:val="18"/>
              </w:rPr>
            </w:r>
          </w:p>
        </w:tc>
      </w:tr>
    </w:tbl>
    <w:p>
      <w:pPr>
        <w:pStyle w:val="Normal"/>
        <w:rPr>
          <w:sz w:val="18"/>
        </w:rPr>
      </w:pPr>
      <w:r>
        <w:rPr>
          <w:sz w:val="18"/>
        </w:rPr>
      </w:r>
    </w:p>
    <w:p>
      <w:pPr>
        <w:pStyle w:val="Normalcentr"/>
        <w:spacing w:lineRule="auto" w:line="240"/>
        <w:ind w:left="0" w:right="0" w:hanging="0"/>
        <w:rPr>
          <w:rFonts w:ascii="Arial" w:hAnsi="Arial" w:cs="Arial"/>
          <w:sz w:val="20"/>
        </w:rPr>
      </w:pPr>
      <w:r>
        <w:rPr>
          <w:rFonts w:cs="Arial" w:ascii="Arial" w:hAnsi="Arial"/>
          <w:sz w:val="20"/>
        </w:rPr>
      </w:r>
    </w:p>
    <w:p>
      <w:pPr>
        <w:pStyle w:val="Normalcentr"/>
        <w:spacing w:lineRule="auto" w:line="240"/>
        <w:ind w:left="0" w:right="0" w:hanging="0"/>
        <w:rPr>
          <w:rFonts w:ascii="Arial" w:hAnsi="Arial" w:cs="Arial"/>
          <w:sz w:val="20"/>
        </w:rPr>
      </w:pPr>
      <w:r>
        <w:rPr>
          <w:rFonts w:cs="Arial" w:ascii="Arial" w:hAnsi="Arial"/>
          <w:sz w:val="20"/>
        </w:rPr>
      </w:r>
    </w:p>
    <w:p>
      <w:pPr>
        <w:pStyle w:val="Normal"/>
        <w:numPr>
          <w:ilvl w:val="0"/>
          <w:numId w:val="2"/>
        </w:numPr>
        <w:jc w:val="both"/>
        <w:rPr>
          <w:rFonts w:ascii="Arial" w:hAnsi="Arial" w:cs="Arial"/>
          <w:bCs/>
        </w:rPr>
      </w:pPr>
      <w:r>
        <w:rPr>
          <w:rFonts w:cs="Arial" w:ascii="Arial" w:hAnsi="Arial"/>
          <w:bCs/>
        </w:rPr>
        <w:t>A compter du 01 Janvier 2020</w:t>
      </w:r>
    </w:p>
    <w:p>
      <w:pPr>
        <w:pStyle w:val="Normal"/>
        <w:jc w:val="both"/>
        <w:rPr>
          <w:rFonts w:ascii="Arial" w:hAnsi="Arial" w:cs="Arial"/>
          <w:bCs/>
        </w:rPr>
      </w:pPr>
      <w:r>
        <w:rPr>
          <w:rFonts w:cs="Arial" w:ascii="Arial" w:hAnsi="Arial"/>
          <w:bCs/>
        </w:rPr>
      </w:r>
    </w:p>
    <w:tbl>
      <w:tblPr>
        <w:tblW w:w="7820" w:type="dxa"/>
        <w:jc w:val="left"/>
        <w:tblInd w:w="70" w:type="dxa"/>
        <w:tblBorders>
          <w:bottom w:val="single" w:sz="8" w:space="0" w:color="000000"/>
          <w:insideH w:val="single" w:sz="8" w:space="0" w:color="000000"/>
        </w:tblBorders>
        <w:tblCellMar>
          <w:top w:w="0" w:type="dxa"/>
          <w:left w:w="70" w:type="dxa"/>
          <w:bottom w:w="0" w:type="dxa"/>
          <w:right w:w="70" w:type="dxa"/>
        </w:tblCellMar>
      </w:tblPr>
      <w:tblGrid>
        <w:gridCol w:w="1552"/>
        <w:gridCol w:w="900"/>
        <w:gridCol w:w="1129"/>
        <w:gridCol w:w="1118"/>
        <w:gridCol w:w="1041"/>
        <w:gridCol w:w="960"/>
        <w:gridCol w:w="1100"/>
        <w:gridCol w:w="20"/>
      </w:tblGrid>
      <w:tr>
        <w:trPr>
          <w:trHeight w:val="1068" w:hRule="atLeast"/>
        </w:trPr>
        <w:tc>
          <w:tcPr>
            <w:tcW w:w="1552" w:type="dxa"/>
            <w:tcBorders>
              <w:bottom w:val="single" w:sz="8" w:space="0" w:color="000000"/>
              <w:insideH w:val="single" w:sz="8" w:space="0" w:color="000000"/>
            </w:tcBorders>
            <w:shd w:fill="auto" w:val="clear"/>
            <w:vAlign w:val="center"/>
          </w:tcPr>
          <w:p>
            <w:pPr>
              <w:pStyle w:val="Normal"/>
              <w:jc w:val="center"/>
              <w:rPr>
                <w:rFonts w:ascii="Arial" w:hAnsi="Arial" w:cs="Arial"/>
                <w:color w:val="000000"/>
                <w:sz w:val="18"/>
              </w:rPr>
            </w:pPr>
            <w:r>
              <w:rPr>
                <w:rFonts w:cs="Arial" w:ascii="Arial" w:hAnsi="Arial"/>
                <w:color w:val="000000"/>
                <w:sz w:val="18"/>
              </w:rPr>
              <w:t> </w:t>
            </w:r>
          </w:p>
        </w:tc>
        <w:tc>
          <w:tcPr>
            <w:tcW w:w="900" w:type="dxa"/>
            <w:tcBorders>
              <w:bottom w:val="single" w:sz="8" w:space="0" w:color="000000"/>
              <w:insideH w:val="single" w:sz="8" w:space="0" w:color="000000"/>
            </w:tcBorders>
            <w:shd w:fill="auto" w:val="clear"/>
            <w:vAlign w:val="center"/>
          </w:tcPr>
          <w:p>
            <w:pPr>
              <w:pStyle w:val="Normal"/>
              <w:jc w:val="center"/>
              <w:rPr>
                <w:rFonts w:ascii="Arial" w:hAnsi="Arial" w:cs="Arial"/>
                <w:color w:val="000000"/>
                <w:sz w:val="18"/>
              </w:rPr>
            </w:pPr>
            <w:r>
              <w:rPr>
                <w:rFonts w:cs="Arial" w:ascii="Arial" w:hAnsi="Arial"/>
                <w:color w:val="000000"/>
                <w:sz w:val="18"/>
              </w:rPr>
              <w:t> </w:t>
            </w:r>
          </w:p>
        </w:tc>
        <w:tc>
          <w:tcPr>
            <w:tcW w:w="1129" w:type="dxa"/>
            <w:tcBorders>
              <w:top w:val="single" w:sz="8" w:space="0" w:color="000000"/>
              <w:left w:val="single" w:sz="8" w:space="0" w:color="000000"/>
              <w:bottom w:val="single" w:sz="8" w:space="0" w:color="000000"/>
              <w:insideH w:val="single" w:sz="8" w:space="0" w:color="000000"/>
            </w:tcBorders>
            <w:shd w:fill="D9E2F3" w:val="clear"/>
            <w:tcMar>
              <w:left w:w="60" w:type="dxa"/>
            </w:tcMar>
            <w:vAlign w:val="center"/>
          </w:tcPr>
          <w:p>
            <w:pPr>
              <w:pStyle w:val="Normal"/>
              <w:jc w:val="center"/>
              <w:rPr>
                <w:rFonts w:ascii="Arial" w:hAnsi="Arial" w:cs="Arial"/>
                <w:b/>
                <w:b/>
                <w:bCs/>
                <w:color w:val="000000"/>
                <w:sz w:val="18"/>
              </w:rPr>
            </w:pPr>
            <w:r>
              <w:rPr>
                <w:rFonts w:cs="Arial" w:ascii="Arial" w:hAnsi="Arial"/>
                <w:b/>
                <w:bCs/>
                <w:color w:val="000000"/>
                <w:sz w:val="18"/>
              </w:rPr>
              <w:t>répartition Patronal</w:t>
              <w:br/>
              <w:t>/Salarial</w:t>
            </w:r>
          </w:p>
        </w:tc>
        <w:tc>
          <w:tcPr>
            <w:tcW w:w="1118" w:type="dxa"/>
            <w:tcBorders>
              <w:top w:val="single" w:sz="8" w:space="0" w:color="000000"/>
              <w:left w:val="single" w:sz="8" w:space="0" w:color="000000"/>
              <w:bottom w:val="single" w:sz="8" w:space="0" w:color="000000"/>
              <w:insideH w:val="single" w:sz="8" w:space="0" w:color="000000"/>
            </w:tcBorders>
            <w:shd w:fill="D9E2F3" w:val="clear"/>
            <w:tcMar>
              <w:left w:w="60" w:type="dxa"/>
            </w:tcMar>
            <w:vAlign w:val="center"/>
          </w:tcPr>
          <w:p>
            <w:pPr>
              <w:pStyle w:val="Normal"/>
              <w:jc w:val="center"/>
              <w:rPr>
                <w:rFonts w:ascii="Arial" w:hAnsi="Arial" w:cs="Arial"/>
                <w:b/>
                <w:b/>
                <w:bCs/>
                <w:color w:val="000000"/>
                <w:sz w:val="18"/>
              </w:rPr>
            </w:pPr>
            <w:r>
              <w:rPr>
                <w:rFonts w:cs="Arial" w:ascii="Arial" w:hAnsi="Arial"/>
                <w:b/>
                <w:bCs/>
                <w:color w:val="000000"/>
                <w:sz w:val="18"/>
              </w:rPr>
              <w:t>Cotisation totale</w:t>
            </w:r>
          </w:p>
        </w:tc>
        <w:tc>
          <w:tcPr>
            <w:tcW w:w="1041" w:type="dxa"/>
            <w:tcBorders>
              <w:top w:val="single" w:sz="8" w:space="0" w:color="000000"/>
              <w:left w:val="double" w:sz="6" w:space="0" w:color="000000"/>
              <w:bottom w:val="single" w:sz="8" w:space="0" w:color="000000"/>
              <w:insideH w:val="single" w:sz="8" w:space="0" w:color="000000"/>
            </w:tcBorders>
            <w:shd w:fill="D9E2F3" w:val="clear"/>
            <w:tcMar>
              <w:left w:w="47" w:type="dxa"/>
            </w:tcMar>
            <w:vAlign w:val="center"/>
          </w:tcPr>
          <w:p>
            <w:pPr>
              <w:pStyle w:val="Normal"/>
              <w:jc w:val="center"/>
              <w:rPr>
                <w:rFonts w:ascii="Arial" w:hAnsi="Arial" w:cs="Arial"/>
                <w:b/>
                <w:b/>
                <w:bCs/>
                <w:color w:val="000000"/>
                <w:sz w:val="18"/>
              </w:rPr>
            </w:pPr>
            <w:r>
              <w:rPr>
                <w:rFonts w:cs="Arial" w:ascii="Arial" w:hAnsi="Arial"/>
                <w:b/>
                <w:bCs/>
                <w:color w:val="000000"/>
                <w:sz w:val="18"/>
              </w:rPr>
              <w:t>part patronale</w:t>
            </w:r>
          </w:p>
        </w:tc>
        <w:tc>
          <w:tcPr>
            <w:tcW w:w="960" w:type="dxa"/>
            <w:tcBorders>
              <w:top w:val="single" w:sz="8" w:space="0" w:color="000000"/>
              <w:left w:val="single" w:sz="8" w:space="0" w:color="000000"/>
              <w:bottom w:val="single" w:sz="8" w:space="0" w:color="000000"/>
              <w:insideH w:val="single" w:sz="8" w:space="0" w:color="000000"/>
            </w:tcBorders>
            <w:shd w:fill="D9E2F3" w:val="clear"/>
            <w:tcMar>
              <w:left w:w="60" w:type="dxa"/>
            </w:tcMar>
            <w:vAlign w:val="center"/>
          </w:tcPr>
          <w:p>
            <w:pPr>
              <w:pStyle w:val="Normal"/>
              <w:jc w:val="center"/>
              <w:rPr>
                <w:rFonts w:ascii="Arial" w:hAnsi="Arial" w:cs="Arial"/>
                <w:b/>
                <w:b/>
                <w:bCs/>
                <w:color w:val="000000"/>
                <w:sz w:val="18"/>
              </w:rPr>
            </w:pPr>
            <w:r>
              <w:rPr>
                <w:rFonts w:cs="Arial" w:ascii="Arial" w:hAnsi="Arial"/>
                <w:b/>
                <w:bCs/>
                <w:color w:val="000000"/>
                <w:sz w:val="18"/>
              </w:rPr>
              <w:t>part salariale</w:t>
            </w:r>
          </w:p>
        </w:tc>
        <w:tc>
          <w:tcPr>
            <w:tcW w:w="1100" w:type="dxa"/>
            <w:tcBorders>
              <w:left w:val="single" w:sz="8" w:space="0" w:color="000000"/>
            </w:tcBorders>
            <w:shd w:fill="auto" w:val="clear"/>
            <w:tcMar>
              <w:left w:w="60" w:type="dxa"/>
            </w:tcMar>
            <w:vAlign w:val="bottom"/>
          </w:tcPr>
          <w:p>
            <w:pPr>
              <w:pStyle w:val="Normal"/>
              <w:snapToGrid w:val="false"/>
              <w:jc w:val="center"/>
              <w:rPr>
                <w:rFonts w:ascii="Arial" w:hAnsi="Arial" w:cs="Arial"/>
                <w:b/>
                <w:b/>
                <w:bCs/>
                <w:color w:val="000000"/>
                <w:sz w:val="18"/>
              </w:rPr>
            </w:pPr>
            <w:r>
              <w:rPr>
                <w:rFonts w:cs="Arial" w:ascii="Arial" w:hAnsi="Arial"/>
                <w:b/>
                <w:bCs/>
                <w:color w:val="000000"/>
                <w:sz w:val="18"/>
              </w:rPr>
            </w:r>
          </w:p>
        </w:tc>
      </w:tr>
      <w:tr>
        <w:trPr>
          <w:trHeight w:val="1044" w:hRule="atLeast"/>
        </w:trPr>
        <w:tc>
          <w:tcPr>
            <w:tcW w:w="1552" w:type="dxa"/>
            <w:vMerge w:val="restart"/>
            <w:tcBorders>
              <w:left w:val="single" w:sz="8" w:space="0" w:color="000000"/>
            </w:tcBorders>
            <w:shd w:fill="E2EFD9" w:val="clear"/>
            <w:tcMar>
              <w:left w:w="60" w:type="dxa"/>
            </w:tcMar>
            <w:vAlign w:val="center"/>
          </w:tcPr>
          <w:p>
            <w:pPr>
              <w:pStyle w:val="Normal"/>
              <w:jc w:val="center"/>
              <w:rPr>
                <w:rFonts w:ascii="Arial" w:hAnsi="Arial" w:cs="Arial"/>
                <w:b/>
                <w:b/>
                <w:bCs/>
                <w:color w:val="000000"/>
                <w:sz w:val="18"/>
              </w:rPr>
            </w:pPr>
            <w:r>
              <w:rPr>
                <w:rFonts w:cs="Arial" w:ascii="Arial" w:hAnsi="Arial"/>
                <w:b/>
                <w:bCs/>
                <w:color w:val="000000"/>
                <w:sz w:val="18"/>
              </w:rPr>
              <w:t>Frais de santé</w:t>
            </w:r>
          </w:p>
        </w:tc>
        <w:tc>
          <w:tcPr>
            <w:tcW w:w="900" w:type="dxa"/>
            <w:tcBorders>
              <w:left w:val="single" w:sz="8" w:space="0" w:color="000000"/>
              <w:bottom w:val="single" w:sz="8" w:space="0" w:color="000000"/>
              <w:insideH w:val="single" w:sz="8" w:space="0" w:color="000000"/>
            </w:tcBorders>
            <w:shd w:fill="E2EFD9" w:val="clear"/>
            <w:tcMar>
              <w:left w:w="60" w:type="dxa"/>
            </w:tcMar>
            <w:vAlign w:val="center"/>
          </w:tcPr>
          <w:p>
            <w:pPr>
              <w:pStyle w:val="Normal"/>
              <w:jc w:val="center"/>
              <w:rPr>
                <w:rFonts w:ascii="Arial" w:hAnsi="Arial" w:cs="Arial"/>
                <w:color w:val="000000"/>
                <w:sz w:val="18"/>
              </w:rPr>
            </w:pPr>
            <w:r>
              <w:rPr>
                <w:rFonts w:cs="Arial" w:ascii="Arial" w:hAnsi="Arial"/>
                <w:color w:val="000000"/>
                <w:sz w:val="18"/>
              </w:rPr>
              <w:t>non cadres</w:t>
            </w:r>
          </w:p>
        </w:tc>
        <w:tc>
          <w:tcPr>
            <w:tcW w:w="1129"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ascii="Arial" w:hAnsi="Arial" w:cs="Arial"/>
                <w:color w:val="000000"/>
                <w:sz w:val="18"/>
              </w:rPr>
            </w:pPr>
            <w:r>
              <w:rPr>
                <w:rFonts w:cs="Arial" w:ascii="Arial" w:hAnsi="Arial"/>
                <w:color w:val="000000"/>
                <w:sz w:val="18"/>
              </w:rPr>
              <w:t>62% / 38%</w:t>
            </w:r>
          </w:p>
        </w:tc>
        <w:tc>
          <w:tcPr>
            <w:tcW w:w="1118" w:type="dxa"/>
            <w:tcBorders>
              <w:left w:val="single" w:sz="8" w:space="0" w:color="000000"/>
              <w:bottom w:val="single" w:sz="8" w:space="0" w:color="000000"/>
              <w:insideH w:val="single" w:sz="8" w:space="0" w:color="000000"/>
            </w:tcBorders>
            <w:shd w:fill="E2EFD9" w:val="clear"/>
            <w:tcMar>
              <w:left w:w="60" w:type="dxa"/>
            </w:tcMar>
            <w:vAlign w:val="center"/>
          </w:tcPr>
          <w:p>
            <w:pPr>
              <w:pStyle w:val="Normal"/>
              <w:jc w:val="center"/>
              <w:rPr>
                <w:rFonts w:ascii="Arial" w:hAnsi="Arial" w:cs="Arial"/>
                <w:color w:val="000000"/>
                <w:sz w:val="18"/>
              </w:rPr>
            </w:pPr>
            <w:r>
              <w:rPr>
                <w:rFonts w:cs="Arial" w:ascii="Arial" w:hAnsi="Arial"/>
                <w:color w:val="000000"/>
                <w:sz w:val="18"/>
              </w:rPr>
              <w:t>4,67%%</w:t>
            </w:r>
          </w:p>
        </w:tc>
        <w:tc>
          <w:tcPr>
            <w:tcW w:w="1041" w:type="dxa"/>
            <w:tcBorders>
              <w:left w:val="double" w:sz="6" w:space="0" w:color="000000"/>
              <w:bottom w:val="single" w:sz="8" w:space="0" w:color="000000"/>
              <w:insideH w:val="single" w:sz="8" w:space="0" w:color="000000"/>
            </w:tcBorders>
            <w:shd w:fill="auto" w:val="clear"/>
            <w:tcMar>
              <w:left w:w="47" w:type="dxa"/>
            </w:tcMar>
            <w:vAlign w:val="center"/>
          </w:tcPr>
          <w:p>
            <w:pPr>
              <w:pStyle w:val="Normal"/>
              <w:jc w:val="center"/>
              <w:rPr>
                <w:rFonts w:ascii="Arial" w:hAnsi="Arial" w:cs="Arial"/>
                <w:color w:val="000000"/>
                <w:sz w:val="18"/>
              </w:rPr>
            </w:pPr>
            <w:r>
              <w:rPr>
                <w:rFonts w:cs="Arial" w:ascii="Arial" w:hAnsi="Arial"/>
                <w:color w:val="000000"/>
                <w:sz w:val="18"/>
              </w:rPr>
              <w:t>2,90%</w:t>
            </w:r>
          </w:p>
        </w:tc>
        <w:tc>
          <w:tcPr>
            <w:tcW w:w="960"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ascii="Arial" w:hAnsi="Arial" w:cs="Arial"/>
                <w:color w:val="000000"/>
                <w:sz w:val="18"/>
              </w:rPr>
            </w:pPr>
            <w:r>
              <w:rPr>
                <w:rFonts w:cs="Arial" w:ascii="Arial" w:hAnsi="Arial"/>
                <w:color w:val="000000"/>
                <w:sz w:val="18"/>
              </w:rPr>
              <w:t>1,77%</w:t>
            </w:r>
          </w:p>
        </w:tc>
        <w:tc>
          <w:tcPr>
            <w:tcW w:w="1120" w:type="dxa"/>
            <w:vMerge w:val="restart"/>
            <w:tcBorders>
              <w:top w:val="single" w:sz="8" w:space="0" w:color="000000"/>
              <w:left w:val="single" w:sz="8" w:space="0" w:color="000000"/>
              <w:right w:val="single" w:sz="8" w:space="0" w:color="000000"/>
              <w:insideV w:val="single" w:sz="8" w:space="0" w:color="000000"/>
            </w:tcBorders>
            <w:shd w:fill="E2EFDA" w:val="clear"/>
            <w:tcMar>
              <w:left w:w="60" w:type="dxa"/>
            </w:tcMar>
            <w:vAlign w:val="center"/>
          </w:tcPr>
          <w:p>
            <w:pPr>
              <w:pStyle w:val="Normal"/>
              <w:jc w:val="center"/>
              <w:rPr>
                <w:rFonts w:ascii="Arial" w:hAnsi="Arial" w:cs="Arial"/>
                <w:color w:val="000000"/>
                <w:sz w:val="18"/>
              </w:rPr>
            </w:pPr>
            <w:r>
              <w:rPr>
                <w:rFonts w:cs="Arial" w:ascii="Arial" w:hAnsi="Arial"/>
                <w:color w:val="000000"/>
                <w:sz w:val="18"/>
              </w:rPr>
              <w:t>en % du plafond S.S. de l'année concernée</w:t>
            </w:r>
          </w:p>
        </w:tc>
      </w:tr>
      <w:tr>
        <w:trPr>
          <w:trHeight w:val="540" w:hRule="atLeast"/>
        </w:trPr>
        <w:tc>
          <w:tcPr>
            <w:tcW w:w="1552" w:type="dxa"/>
            <w:vMerge w:val="continue"/>
            <w:tcBorders>
              <w:left w:val="single" w:sz="8" w:space="0" w:color="000000"/>
            </w:tcBorders>
            <w:shd w:fill="auto" w:val="clear"/>
            <w:tcMar>
              <w:left w:w="60" w:type="dxa"/>
            </w:tcMar>
            <w:vAlign w:val="center"/>
          </w:tcPr>
          <w:p>
            <w:pPr>
              <w:pStyle w:val="Normal"/>
              <w:snapToGrid w:val="false"/>
              <w:rPr>
                <w:rFonts w:ascii="Arial" w:hAnsi="Arial" w:cs="Arial"/>
                <w:b/>
                <w:b/>
                <w:bCs/>
                <w:color w:val="000000"/>
                <w:sz w:val="18"/>
              </w:rPr>
            </w:pPr>
            <w:r>
              <w:rPr>
                <w:rFonts w:cs="Arial" w:ascii="Arial" w:hAnsi="Arial"/>
                <w:b/>
                <w:bCs/>
                <w:color w:val="000000"/>
                <w:sz w:val="18"/>
              </w:rPr>
            </w:r>
          </w:p>
        </w:tc>
        <w:tc>
          <w:tcPr>
            <w:tcW w:w="900" w:type="dxa"/>
            <w:tcBorders>
              <w:left w:val="single" w:sz="8" w:space="0" w:color="000000"/>
              <w:bottom w:val="single" w:sz="8" w:space="0" w:color="000000"/>
              <w:insideH w:val="single" w:sz="8" w:space="0" w:color="000000"/>
            </w:tcBorders>
            <w:shd w:fill="E2EFD9" w:val="clear"/>
            <w:tcMar>
              <w:left w:w="60" w:type="dxa"/>
            </w:tcMar>
            <w:vAlign w:val="center"/>
          </w:tcPr>
          <w:p>
            <w:pPr>
              <w:pStyle w:val="Normal"/>
              <w:jc w:val="center"/>
              <w:rPr>
                <w:rFonts w:ascii="Arial" w:hAnsi="Arial" w:cs="Arial"/>
                <w:color w:val="000000"/>
                <w:sz w:val="18"/>
              </w:rPr>
            </w:pPr>
            <w:r>
              <w:rPr>
                <w:rFonts w:cs="Arial" w:ascii="Arial" w:hAnsi="Arial"/>
                <w:color w:val="000000"/>
                <w:sz w:val="18"/>
              </w:rPr>
              <w:t>cadres</w:t>
            </w:r>
          </w:p>
        </w:tc>
        <w:tc>
          <w:tcPr>
            <w:tcW w:w="1129" w:type="dxa"/>
            <w:tcBorders>
              <w:left w:val="single" w:sz="8" w:space="0" w:color="000000"/>
            </w:tcBorders>
            <w:shd w:fill="auto" w:val="clear"/>
            <w:tcMar>
              <w:left w:w="60" w:type="dxa"/>
            </w:tcMar>
            <w:vAlign w:val="center"/>
          </w:tcPr>
          <w:p>
            <w:pPr>
              <w:pStyle w:val="Normal"/>
              <w:jc w:val="center"/>
              <w:rPr>
                <w:rFonts w:ascii="Arial" w:hAnsi="Arial" w:cs="Arial"/>
                <w:color w:val="000000"/>
                <w:sz w:val="18"/>
              </w:rPr>
            </w:pPr>
            <w:r>
              <w:rPr>
                <w:rFonts w:cs="Arial" w:ascii="Arial" w:hAnsi="Arial"/>
                <w:color w:val="000000"/>
                <w:sz w:val="18"/>
              </w:rPr>
              <w:t>52% / 48%</w:t>
            </w:r>
          </w:p>
        </w:tc>
        <w:tc>
          <w:tcPr>
            <w:tcW w:w="1118" w:type="dxa"/>
            <w:tcBorders>
              <w:left w:val="single" w:sz="8" w:space="0" w:color="000000"/>
            </w:tcBorders>
            <w:shd w:fill="E2EFD9" w:val="clear"/>
            <w:tcMar>
              <w:left w:w="60" w:type="dxa"/>
            </w:tcMar>
            <w:vAlign w:val="center"/>
          </w:tcPr>
          <w:p>
            <w:pPr>
              <w:pStyle w:val="Normal"/>
              <w:jc w:val="center"/>
              <w:rPr>
                <w:rFonts w:ascii="Arial" w:hAnsi="Arial" w:cs="Arial"/>
                <w:color w:val="000000"/>
                <w:sz w:val="18"/>
              </w:rPr>
            </w:pPr>
            <w:r>
              <w:rPr>
                <w:rFonts w:cs="Arial" w:ascii="Arial" w:hAnsi="Arial"/>
                <w:color w:val="000000"/>
                <w:sz w:val="18"/>
              </w:rPr>
              <w:t>4,67%</w:t>
            </w:r>
          </w:p>
        </w:tc>
        <w:tc>
          <w:tcPr>
            <w:tcW w:w="1041" w:type="dxa"/>
            <w:tcBorders>
              <w:left w:val="double" w:sz="6" w:space="0" w:color="000000"/>
            </w:tcBorders>
            <w:shd w:fill="auto" w:val="clear"/>
            <w:tcMar>
              <w:left w:w="47" w:type="dxa"/>
            </w:tcMar>
            <w:vAlign w:val="center"/>
          </w:tcPr>
          <w:p>
            <w:pPr>
              <w:pStyle w:val="Normal"/>
              <w:jc w:val="center"/>
              <w:rPr>
                <w:rFonts w:ascii="Arial" w:hAnsi="Arial" w:cs="Arial"/>
                <w:color w:val="000000"/>
                <w:sz w:val="18"/>
              </w:rPr>
            </w:pPr>
            <w:r>
              <w:rPr>
                <w:rFonts w:cs="Arial" w:ascii="Arial" w:hAnsi="Arial"/>
                <w:color w:val="000000"/>
                <w:sz w:val="18"/>
              </w:rPr>
              <w:t>2,43%</w:t>
            </w:r>
          </w:p>
        </w:tc>
        <w:tc>
          <w:tcPr>
            <w:tcW w:w="960" w:type="dxa"/>
            <w:tcBorders>
              <w:left w:val="single" w:sz="8" w:space="0" w:color="000000"/>
            </w:tcBorders>
            <w:shd w:fill="auto" w:val="clear"/>
            <w:tcMar>
              <w:left w:w="60" w:type="dxa"/>
            </w:tcMar>
            <w:vAlign w:val="center"/>
          </w:tcPr>
          <w:p>
            <w:pPr>
              <w:pStyle w:val="Normal"/>
              <w:jc w:val="center"/>
              <w:rPr>
                <w:rFonts w:ascii="Arial" w:hAnsi="Arial" w:cs="Arial"/>
                <w:color w:val="000000"/>
                <w:sz w:val="18"/>
              </w:rPr>
            </w:pPr>
            <w:r>
              <w:rPr>
                <w:rFonts w:cs="Arial" w:ascii="Arial" w:hAnsi="Arial"/>
                <w:color w:val="000000"/>
                <w:sz w:val="18"/>
              </w:rPr>
              <w:t>2,24%</w:t>
            </w:r>
          </w:p>
        </w:tc>
        <w:tc>
          <w:tcPr>
            <w:tcW w:w="1120" w:type="dxa"/>
            <w:vMerge w:val="continue"/>
            <w:tcBorders>
              <w:top w:val="single" w:sz="8" w:space="0" w:color="000000"/>
              <w:left w:val="single" w:sz="8" w:space="0" w:color="000000"/>
              <w:right w:val="single" w:sz="8" w:space="0" w:color="000000"/>
              <w:insideV w:val="single" w:sz="8" w:space="0" w:color="000000"/>
            </w:tcBorders>
            <w:shd w:fill="auto" w:val="clear"/>
            <w:tcMar>
              <w:left w:w="60" w:type="dxa"/>
            </w:tcMar>
            <w:vAlign w:val="center"/>
          </w:tcPr>
          <w:p>
            <w:pPr>
              <w:pStyle w:val="Normal"/>
              <w:snapToGrid w:val="false"/>
              <w:rPr>
                <w:rFonts w:ascii="Arial" w:hAnsi="Arial" w:cs="Arial"/>
                <w:color w:val="000000"/>
                <w:sz w:val="18"/>
              </w:rPr>
            </w:pPr>
            <w:r>
              <w:rPr>
                <w:rFonts w:cs="Arial" w:ascii="Arial" w:hAnsi="Arial"/>
                <w:color w:val="000000"/>
                <w:sz w:val="18"/>
              </w:rPr>
            </w:r>
          </w:p>
        </w:tc>
      </w:tr>
      <w:tr>
        <w:trPr>
          <w:trHeight w:val="552" w:hRule="atLeast"/>
        </w:trPr>
        <w:tc>
          <w:tcPr>
            <w:tcW w:w="1552" w:type="dxa"/>
            <w:vMerge w:val="restart"/>
            <w:tcBorders>
              <w:top w:val="single" w:sz="8" w:space="0" w:color="000000"/>
              <w:left w:val="single" w:sz="8" w:space="0" w:color="000000"/>
              <w:bottom w:val="single" w:sz="8" w:space="0" w:color="000000"/>
              <w:insideH w:val="single" w:sz="8" w:space="0" w:color="000000"/>
            </w:tcBorders>
            <w:shd w:fill="FFF2CC" w:val="clear"/>
            <w:tcMar>
              <w:left w:w="60" w:type="dxa"/>
            </w:tcMar>
            <w:vAlign w:val="center"/>
          </w:tcPr>
          <w:p>
            <w:pPr>
              <w:pStyle w:val="Normal"/>
              <w:jc w:val="center"/>
              <w:rPr>
                <w:rFonts w:ascii="Arial" w:hAnsi="Arial" w:cs="Arial"/>
                <w:b/>
                <w:b/>
                <w:bCs/>
                <w:color w:val="000000"/>
                <w:sz w:val="18"/>
              </w:rPr>
            </w:pPr>
            <w:r>
              <w:rPr>
                <w:rFonts w:cs="Arial" w:ascii="Arial" w:hAnsi="Arial"/>
                <w:b/>
                <w:bCs/>
                <w:color w:val="000000"/>
                <w:sz w:val="18"/>
              </w:rPr>
              <w:t>Prévoyance</w:t>
            </w:r>
          </w:p>
        </w:tc>
        <w:tc>
          <w:tcPr>
            <w:tcW w:w="900" w:type="dxa"/>
            <w:tcBorders>
              <w:left w:val="single" w:sz="8" w:space="0" w:color="000000"/>
              <w:bottom w:val="single" w:sz="8" w:space="0" w:color="000000"/>
              <w:insideH w:val="single" w:sz="8" w:space="0" w:color="000000"/>
            </w:tcBorders>
            <w:shd w:fill="FFF2CC" w:val="clear"/>
            <w:tcMar>
              <w:left w:w="60" w:type="dxa"/>
            </w:tcMar>
            <w:vAlign w:val="center"/>
          </w:tcPr>
          <w:p>
            <w:pPr>
              <w:pStyle w:val="Normal"/>
              <w:jc w:val="center"/>
              <w:rPr>
                <w:rFonts w:ascii="Arial" w:hAnsi="Arial" w:cs="Arial"/>
                <w:color w:val="000000"/>
                <w:sz w:val="18"/>
              </w:rPr>
            </w:pPr>
            <w:r>
              <w:rPr>
                <w:rFonts w:cs="Arial" w:ascii="Arial" w:hAnsi="Arial"/>
                <w:color w:val="000000"/>
                <w:sz w:val="18"/>
              </w:rPr>
              <w:t>TA</w:t>
            </w:r>
          </w:p>
        </w:tc>
        <w:tc>
          <w:tcPr>
            <w:tcW w:w="1129" w:type="dxa"/>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ascii="Arial" w:hAnsi="Arial" w:cs="Arial"/>
                <w:color w:val="000000"/>
                <w:sz w:val="18"/>
              </w:rPr>
            </w:pPr>
            <w:r>
              <w:rPr>
                <w:rFonts w:cs="Arial" w:ascii="Arial" w:hAnsi="Arial"/>
                <w:color w:val="000000"/>
                <w:sz w:val="18"/>
              </w:rPr>
              <w:t>75% / 25%</w:t>
            </w:r>
          </w:p>
        </w:tc>
        <w:tc>
          <w:tcPr>
            <w:tcW w:w="1118" w:type="dxa"/>
            <w:tcBorders>
              <w:top w:val="single" w:sz="8" w:space="0" w:color="000000"/>
              <w:left w:val="single" w:sz="8" w:space="0" w:color="000000"/>
              <w:bottom w:val="single" w:sz="8" w:space="0" w:color="000000"/>
              <w:insideH w:val="single" w:sz="8" w:space="0" w:color="000000"/>
            </w:tcBorders>
            <w:shd w:fill="FFF2CC" w:val="clear"/>
            <w:tcMar>
              <w:left w:w="60" w:type="dxa"/>
            </w:tcMar>
            <w:vAlign w:val="center"/>
          </w:tcPr>
          <w:p>
            <w:pPr>
              <w:pStyle w:val="Normal"/>
              <w:jc w:val="center"/>
              <w:rPr>
                <w:rFonts w:ascii="Arial" w:hAnsi="Arial" w:cs="Arial"/>
                <w:color w:val="000000"/>
                <w:sz w:val="18"/>
              </w:rPr>
            </w:pPr>
            <w:r>
              <w:rPr>
                <w:rFonts w:cs="Arial" w:ascii="Arial" w:hAnsi="Arial"/>
                <w:color w:val="000000"/>
                <w:sz w:val="18"/>
              </w:rPr>
              <w:t>1,11%</w:t>
            </w:r>
          </w:p>
        </w:tc>
        <w:tc>
          <w:tcPr>
            <w:tcW w:w="1041" w:type="dxa"/>
            <w:tcBorders>
              <w:top w:val="single" w:sz="8" w:space="0" w:color="000000"/>
              <w:left w:val="double" w:sz="6" w:space="0" w:color="000000"/>
              <w:bottom w:val="single" w:sz="8" w:space="0" w:color="000000"/>
              <w:insideH w:val="single" w:sz="8" w:space="0" w:color="000000"/>
            </w:tcBorders>
            <w:shd w:fill="auto" w:val="clear"/>
            <w:tcMar>
              <w:left w:w="47" w:type="dxa"/>
            </w:tcMar>
            <w:vAlign w:val="center"/>
          </w:tcPr>
          <w:p>
            <w:pPr>
              <w:pStyle w:val="Normal"/>
              <w:jc w:val="center"/>
              <w:rPr>
                <w:rFonts w:ascii="Arial" w:hAnsi="Arial" w:cs="Arial"/>
                <w:color w:val="000000"/>
                <w:sz w:val="18"/>
              </w:rPr>
            </w:pPr>
            <w:r>
              <w:rPr>
                <w:rFonts w:cs="Arial" w:ascii="Arial" w:hAnsi="Arial"/>
                <w:color w:val="000000"/>
                <w:sz w:val="18"/>
              </w:rPr>
              <w:t>0,83%</w:t>
            </w:r>
          </w:p>
        </w:tc>
        <w:tc>
          <w:tcPr>
            <w:tcW w:w="960" w:type="dxa"/>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ascii="Arial" w:hAnsi="Arial" w:cs="Arial"/>
                <w:color w:val="000000"/>
                <w:sz w:val="18"/>
              </w:rPr>
            </w:pPr>
            <w:r>
              <w:rPr>
                <w:rFonts w:cs="Arial" w:ascii="Arial" w:hAnsi="Arial"/>
                <w:color w:val="000000"/>
                <w:sz w:val="18"/>
              </w:rPr>
              <w:t>0,28%</w:t>
            </w:r>
          </w:p>
        </w:tc>
        <w:tc>
          <w:tcPr>
            <w:tcW w:w="112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FFF2CC" w:val="clear"/>
            <w:tcMar>
              <w:left w:w="60" w:type="dxa"/>
            </w:tcMar>
            <w:vAlign w:val="center"/>
          </w:tcPr>
          <w:p>
            <w:pPr>
              <w:pStyle w:val="Normal"/>
              <w:jc w:val="center"/>
              <w:rPr>
                <w:rFonts w:ascii="Arial" w:hAnsi="Arial" w:cs="Arial"/>
                <w:color w:val="000000"/>
                <w:sz w:val="18"/>
              </w:rPr>
            </w:pPr>
            <w:r>
              <w:rPr>
                <w:rFonts w:cs="Arial" w:ascii="Arial" w:hAnsi="Arial"/>
                <w:color w:val="000000"/>
                <w:sz w:val="18"/>
              </w:rPr>
              <w:t>en % du salaire de référence (cf art 6)</w:t>
            </w:r>
          </w:p>
        </w:tc>
      </w:tr>
      <w:tr>
        <w:trPr>
          <w:trHeight w:val="540" w:hRule="atLeast"/>
        </w:trPr>
        <w:tc>
          <w:tcPr>
            <w:tcW w:w="1552" w:type="dxa"/>
            <w:vMerge w:val="continue"/>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ascii="Arial" w:hAnsi="Arial" w:cs="Arial"/>
                <w:b/>
                <w:b/>
                <w:bCs/>
                <w:color w:val="000000"/>
                <w:sz w:val="18"/>
              </w:rPr>
            </w:pPr>
            <w:r>
              <w:rPr>
                <w:rFonts w:cs="Arial" w:ascii="Arial" w:hAnsi="Arial"/>
                <w:b/>
                <w:bCs/>
                <w:color w:val="000000"/>
                <w:sz w:val="18"/>
              </w:rPr>
            </w:r>
          </w:p>
        </w:tc>
        <w:tc>
          <w:tcPr>
            <w:tcW w:w="900" w:type="dxa"/>
            <w:tcBorders>
              <w:left w:val="single" w:sz="8" w:space="0" w:color="000000"/>
              <w:bottom w:val="single" w:sz="8" w:space="0" w:color="000000"/>
              <w:insideH w:val="single" w:sz="8" w:space="0" w:color="000000"/>
            </w:tcBorders>
            <w:shd w:fill="FFF2CC" w:val="clear"/>
            <w:tcMar>
              <w:left w:w="60" w:type="dxa"/>
            </w:tcMar>
            <w:vAlign w:val="center"/>
          </w:tcPr>
          <w:p>
            <w:pPr>
              <w:pStyle w:val="Normal"/>
              <w:jc w:val="center"/>
              <w:rPr>
                <w:rFonts w:ascii="Arial" w:hAnsi="Arial" w:cs="Arial"/>
                <w:color w:val="000000"/>
                <w:sz w:val="18"/>
              </w:rPr>
            </w:pPr>
            <w:r>
              <w:rPr>
                <w:rFonts w:cs="Arial" w:ascii="Arial" w:hAnsi="Arial"/>
                <w:color w:val="000000"/>
                <w:sz w:val="18"/>
              </w:rPr>
              <w:t>TB</w:t>
            </w:r>
          </w:p>
        </w:tc>
        <w:tc>
          <w:tcPr>
            <w:tcW w:w="1129"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ascii="Arial" w:hAnsi="Arial" w:cs="Arial"/>
                <w:color w:val="000000"/>
                <w:sz w:val="18"/>
              </w:rPr>
            </w:pPr>
            <w:r>
              <w:rPr>
                <w:rFonts w:cs="Arial" w:ascii="Arial" w:hAnsi="Arial"/>
                <w:color w:val="000000"/>
                <w:sz w:val="18"/>
              </w:rPr>
              <w:t>50% / 50%</w:t>
            </w:r>
          </w:p>
        </w:tc>
        <w:tc>
          <w:tcPr>
            <w:tcW w:w="1118" w:type="dxa"/>
            <w:tcBorders>
              <w:left w:val="single" w:sz="8" w:space="0" w:color="000000"/>
              <w:bottom w:val="single" w:sz="8" w:space="0" w:color="000000"/>
              <w:insideH w:val="single" w:sz="8" w:space="0" w:color="000000"/>
            </w:tcBorders>
            <w:shd w:fill="FFF2CC" w:val="clear"/>
            <w:tcMar>
              <w:left w:w="60" w:type="dxa"/>
            </w:tcMar>
            <w:vAlign w:val="center"/>
          </w:tcPr>
          <w:p>
            <w:pPr>
              <w:pStyle w:val="Normal"/>
              <w:jc w:val="center"/>
              <w:rPr>
                <w:rFonts w:ascii="Arial" w:hAnsi="Arial" w:cs="Arial"/>
                <w:color w:val="000000"/>
                <w:sz w:val="18"/>
              </w:rPr>
            </w:pPr>
            <w:r>
              <w:rPr>
                <w:rFonts w:cs="Arial" w:ascii="Arial" w:hAnsi="Arial"/>
                <w:color w:val="000000"/>
                <w:sz w:val="18"/>
              </w:rPr>
              <w:t>1,35%</w:t>
            </w:r>
          </w:p>
        </w:tc>
        <w:tc>
          <w:tcPr>
            <w:tcW w:w="1041" w:type="dxa"/>
            <w:tcBorders>
              <w:left w:val="double" w:sz="6" w:space="0" w:color="000000"/>
              <w:bottom w:val="single" w:sz="8" w:space="0" w:color="000000"/>
              <w:insideH w:val="single" w:sz="8" w:space="0" w:color="000000"/>
            </w:tcBorders>
            <w:shd w:fill="auto" w:val="clear"/>
            <w:tcMar>
              <w:left w:w="47" w:type="dxa"/>
            </w:tcMar>
            <w:vAlign w:val="center"/>
          </w:tcPr>
          <w:p>
            <w:pPr>
              <w:pStyle w:val="Normal"/>
              <w:jc w:val="center"/>
              <w:rPr>
                <w:rFonts w:ascii="Arial" w:hAnsi="Arial" w:cs="Arial"/>
                <w:color w:val="000000"/>
                <w:sz w:val="18"/>
              </w:rPr>
            </w:pPr>
            <w:r>
              <w:rPr>
                <w:rFonts w:cs="Arial" w:ascii="Arial" w:hAnsi="Arial"/>
                <w:color w:val="000000"/>
                <w:sz w:val="18"/>
              </w:rPr>
              <w:t>0,68%</w:t>
            </w:r>
          </w:p>
        </w:tc>
        <w:tc>
          <w:tcPr>
            <w:tcW w:w="960"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ascii="Arial" w:hAnsi="Arial" w:cs="Arial"/>
                <w:color w:val="000000"/>
                <w:sz w:val="18"/>
              </w:rPr>
            </w:pPr>
            <w:r>
              <w:rPr>
                <w:rFonts w:cs="Arial" w:ascii="Arial" w:hAnsi="Arial"/>
                <w:color w:val="000000"/>
                <w:sz w:val="18"/>
              </w:rPr>
              <w:t>0,67%</w:t>
            </w:r>
          </w:p>
        </w:tc>
        <w:tc>
          <w:tcPr>
            <w:tcW w:w="112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rPr>
                <w:rFonts w:ascii="Arial" w:hAnsi="Arial" w:cs="Arial"/>
                <w:color w:val="000000"/>
                <w:sz w:val="18"/>
              </w:rPr>
            </w:pPr>
            <w:r>
              <w:rPr>
                <w:rFonts w:cs="Arial" w:ascii="Arial" w:hAnsi="Arial"/>
                <w:color w:val="000000"/>
                <w:sz w:val="18"/>
              </w:rPr>
            </w:r>
          </w:p>
        </w:tc>
      </w:tr>
      <w:tr>
        <w:trPr>
          <w:trHeight w:val="540" w:hRule="atLeast"/>
        </w:trPr>
        <w:tc>
          <w:tcPr>
            <w:tcW w:w="1552" w:type="dxa"/>
            <w:vMerge w:val="continue"/>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ascii="Arial" w:hAnsi="Arial" w:cs="Arial"/>
                <w:b/>
                <w:b/>
                <w:bCs/>
                <w:color w:val="000000"/>
                <w:sz w:val="18"/>
              </w:rPr>
            </w:pPr>
            <w:r>
              <w:rPr>
                <w:rFonts w:cs="Arial" w:ascii="Arial" w:hAnsi="Arial"/>
                <w:b/>
                <w:bCs/>
                <w:color w:val="000000"/>
                <w:sz w:val="18"/>
              </w:rPr>
            </w:r>
          </w:p>
        </w:tc>
        <w:tc>
          <w:tcPr>
            <w:tcW w:w="900" w:type="dxa"/>
            <w:tcBorders>
              <w:left w:val="single" w:sz="8" w:space="0" w:color="000000"/>
              <w:bottom w:val="single" w:sz="8" w:space="0" w:color="000000"/>
              <w:insideH w:val="single" w:sz="8" w:space="0" w:color="000000"/>
            </w:tcBorders>
            <w:shd w:fill="FFF2CC" w:val="clear"/>
            <w:tcMar>
              <w:left w:w="60" w:type="dxa"/>
            </w:tcMar>
            <w:vAlign w:val="center"/>
          </w:tcPr>
          <w:p>
            <w:pPr>
              <w:pStyle w:val="Normal"/>
              <w:jc w:val="center"/>
              <w:rPr>
                <w:rFonts w:ascii="Arial" w:hAnsi="Arial" w:cs="Arial"/>
                <w:color w:val="000000"/>
                <w:sz w:val="18"/>
              </w:rPr>
            </w:pPr>
            <w:r>
              <w:rPr>
                <w:rFonts w:cs="Arial" w:ascii="Arial" w:hAnsi="Arial"/>
                <w:color w:val="000000"/>
                <w:sz w:val="18"/>
              </w:rPr>
              <w:t>TC</w:t>
            </w:r>
          </w:p>
        </w:tc>
        <w:tc>
          <w:tcPr>
            <w:tcW w:w="1129"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ascii="Arial" w:hAnsi="Arial" w:cs="Arial"/>
                <w:color w:val="000000"/>
                <w:sz w:val="18"/>
              </w:rPr>
            </w:pPr>
            <w:r>
              <w:rPr>
                <w:rFonts w:cs="Arial" w:ascii="Arial" w:hAnsi="Arial"/>
                <w:color w:val="000000"/>
                <w:sz w:val="18"/>
              </w:rPr>
              <w:t>50% / 50%</w:t>
            </w:r>
          </w:p>
        </w:tc>
        <w:tc>
          <w:tcPr>
            <w:tcW w:w="1118" w:type="dxa"/>
            <w:tcBorders>
              <w:left w:val="single" w:sz="8" w:space="0" w:color="000000"/>
              <w:bottom w:val="single" w:sz="8" w:space="0" w:color="000000"/>
              <w:insideH w:val="single" w:sz="8" w:space="0" w:color="000000"/>
            </w:tcBorders>
            <w:shd w:fill="FFF2CC" w:val="clear"/>
            <w:tcMar>
              <w:left w:w="60" w:type="dxa"/>
            </w:tcMar>
            <w:vAlign w:val="center"/>
          </w:tcPr>
          <w:p>
            <w:pPr>
              <w:pStyle w:val="Normal"/>
              <w:jc w:val="center"/>
              <w:rPr>
                <w:rFonts w:ascii="Arial" w:hAnsi="Arial" w:cs="Arial"/>
                <w:color w:val="000000"/>
                <w:sz w:val="18"/>
              </w:rPr>
            </w:pPr>
            <w:r>
              <w:rPr>
                <w:rFonts w:cs="Arial" w:ascii="Arial" w:hAnsi="Arial"/>
                <w:color w:val="000000"/>
                <w:sz w:val="18"/>
              </w:rPr>
              <w:t>1,40%</w:t>
            </w:r>
          </w:p>
        </w:tc>
        <w:tc>
          <w:tcPr>
            <w:tcW w:w="1041" w:type="dxa"/>
            <w:tcBorders>
              <w:left w:val="double" w:sz="6" w:space="0" w:color="000000"/>
              <w:bottom w:val="single" w:sz="8" w:space="0" w:color="000000"/>
              <w:insideH w:val="single" w:sz="8" w:space="0" w:color="000000"/>
            </w:tcBorders>
            <w:shd w:fill="auto" w:val="clear"/>
            <w:tcMar>
              <w:left w:w="47" w:type="dxa"/>
            </w:tcMar>
            <w:vAlign w:val="center"/>
          </w:tcPr>
          <w:p>
            <w:pPr>
              <w:pStyle w:val="Normal"/>
              <w:jc w:val="center"/>
              <w:rPr>
                <w:rFonts w:ascii="Arial" w:hAnsi="Arial" w:cs="Arial"/>
                <w:color w:val="000000"/>
                <w:sz w:val="18"/>
              </w:rPr>
            </w:pPr>
            <w:r>
              <w:rPr>
                <w:rFonts w:cs="Arial" w:ascii="Arial" w:hAnsi="Arial"/>
                <w:color w:val="000000"/>
                <w:sz w:val="18"/>
              </w:rPr>
              <w:t>0,70%</w:t>
            </w:r>
          </w:p>
        </w:tc>
        <w:tc>
          <w:tcPr>
            <w:tcW w:w="960"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ascii="Arial" w:hAnsi="Arial" w:cs="Arial"/>
                <w:color w:val="000000"/>
                <w:sz w:val="18"/>
              </w:rPr>
            </w:pPr>
            <w:r>
              <w:rPr>
                <w:rFonts w:cs="Arial" w:ascii="Arial" w:hAnsi="Arial"/>
                <w:color w:val="000000"/>
                <w:sz w:val="18"/>
              </w:rPr>
              <w:t>0,70%</w:t>
            </w:r>
          </w:p>
        </w:tc>
        <w:tc>
          <w:tcPr>
            <w:tcW w:w="1120"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rPr>
                <w:rFonts w:ascii="Arial" w:hAnsi="Arial" w:cs="Arial"/>
                <w:color w:val="000000"/>
                <w:sz w:val="18"/>
              </w:rPr>
            </w:pPr>
            <w:r>
              <w:rPr>
                <w:rFonts w:cs="Arial" w:ascii="Arial" w:hAnsi="Arial"/>
                <w:color w:val="000000"/>
                <w:sz w:val="18"/>
              </w:rPr>
            </w:r>
          </w:p>
        </w:tc>
      </w:tr>
    </w:tbl>
    <w:p>
      <w:pPr>
        <w:pStyle w:val="Normal"/>
        <w:rPr>
          <w:sz w:val="18"/>
        </w:rPr>
      </w:pPr>
      <w:r>
        <w:rPr>
          <w:sz w:val="18"/>
        </w:rPr>
      </w:r>
    </w:p>
    <w:p>
      <w:pPr>
        <w:pStyle w:val="Normalcentr"/>
        <w:spacing w:lineRule="auto" w:line="240"/>
        <w:ind w:left="0" w:right="0" w:hanging="0"/>
        <w:rPr>
          <w:rFonts w:ascii="Arial" w:hAnsi="Arial" w:cs="Arial"/>
          <w:sz w:val="20"/>
        </w:rPr>
      </w:pPr>
      <w:r>
        <w:rPr>
          <w:rFonts w:cs="Arial" w:ascii="Arial" w:hAnsi="Arial"/>
          <w:sz w:val="20"/>
        </w:rPr>
      </w:r>
    </w:p>
    <w:p>
      <w:pPr>
        <w:pStyle w:val="Normalcentr"/>
        <w:spacing w:lineRule="auto" w:line="240"/>
        <w:ind w:left="0" w:right="0" w:hanging="0"/>
        <w:rPr>
          <w:rFonts w:ascii="Arial" w:hAnsi="Arial" w:cs="Arial"/>
          <w:sz w:val="20"/>
        </w:rPr>
      </w:pPr>
      <w:r>
        <w:rPr>
          <w:rFonts w:cs="Arial" w:ascii="Arial" w:hAnsi="Arial"/>
          <w:sz w:val="20"/>
        </w:rPr>
      </w:r>
    </w:p>
    <w:p>
      <w:pPr>
        <w:pStyle w:val="Normalcentr"/>
        <w:ind w:left="142" w:right="-143" w:hanging="0"/>
        <w:rPr/>
      </w:pPr>
      <w:r>
        <w:rPr>
          <w:rFonts w:cs="Arial" w:ascii="Arial" w:hAnsi="Arial"/>
          <w:sz w:val="20"/>
        </w:rPr>
        <w:t>TA : tranche de rémunération au plus égale au salaire plafond de la Sécurité Sociale,</w:t>
      </w:r>
    </w:p>
    <w:p>
      <w:pPr>
        <w:pStyle w:val="Normalcentr"/>
        <w:ind w:left="142" w:right="-143" w:hanging="0"/>
        <w:rPr>
          <w:rFonts w:ascii="Arial" w:hAnsi="Arial" w:cs="Arial"/>
          <w:sz w:val="20"/>
        </w:rPr>
      </w:pPr>
      <w:r>
        <w:rPr>
          <w:rFonts w:cs="Arial" w:ascii="Arial" w:hAnsi="Arial"/>
          <w:sz w:val="20"/>
        </w:rPr>
        <w:t>TB : tranche de rémunération comprise entre 1 fois et 4 fois ce plafond,</w:t>
      </w:r>
    </w:p>
    <w:p>
      <w:pPr>
        <w:pStyle w:val="Normalcentr"/>
        <w:ind w:left="142" w:right="-143" w:hanging="0"/>
        <w:rPr>
          <w:rFonts w:ascii="Arial" w:hAnsi="Arial" w:cs="Arial"/>
          <w:sz w:val="20"/>
        </w:rPr>
      </w:pPr>
      <w:r>
        <w:rPr>
          <w:rFonts w:cs="Arial" w:ascii="Arial" w:hAnsi="Arial"/>
          <w:sz w:val="20"/>
        </w:rPr>
        <w:t>TC : tranche de rémunération comprise entre 4 fois et 8 fois ce plafond</w:t>
      </w:r>
    </w:p>
    <w:p>
      <w:pPr>
        <w:pStyle w:val="Normalcentr"/>
        <w:spacing w:lineRule="auto" w:line="240"/>
        <w:ind w:left="0" w:right="0" w:hanging="0"/>
        <w:rPr>
          <w:rFonts w:ascii="Arial" w:hAnsi="Arial" w:cs="Arial"/>
          <w:sz w:val="20"/>
        </w:rPr>
      </w:pPr>
      <w:r>
        <w:rPr>
          <w:rFonts w:cs="Arial" w:ascii="Arial" w:hAnsi="Arial"/>
          <w:sz w:val="20"/>
        </w:rPr>
      </w:r>
    </w:p>
    <w:p>
      <w:pPr>
        <w:pStyle w:val="Normalcentr"/>
        <w:spacing w:lineRule="auto" w:line="240"/>
        <w:ind w:left="0" w:right="0" w:hanging="0"/>
        <w:rPr>
          <w:rFonts w:ascii="Arial" w:hAnsi="Arial" w:cs="Arial"/>
          <w:sz w:val="20"/>
        </w:rPr>
      </w:pPr>
      <w:r>
        <w:rPr>
          <w:rFonts w:cs="Arial" w:ascii="Arial" w:hAnsi="Arial"/>
          <w:sz w:val="20"/>
        </w:rPr>
        <w:t>Les pourcentages de la part patronale et salariale applicables sont arrondis avec une précision de deux chiffres après la virgule. Si le calcul mène à une somme des deux parts supérieure à la cotisation totale, la part salariale sera réduite de 0,01%.</w:t>
      </w:r>
    </w:p>
    <w:p>
      <w:pPr>
        <w:pStyle w:val="Normalcentr"/>
        <w:spacing w:lineRule="auto" w:line="240"/>
        <w:ind w:left="0" w:right="0" w:hanging="0"/>
        <w:rPr>
          <w:rFonts w:ascii="Arial" w:hAnsi="Arial" w:cs="Arial"/>
          <w:sz w:val="20"/>
        </w:rPr>
      </w:pPr>
      <w:r>
        <w:rPr>
          <w:rFonts w:cs="Arial" w:ascii="Arial" w:hAnsi="Arial"/>
          <w:sz w:val="20"/>
        </w:rPr>
      </w:r>
    </w:p>
    <w:p>
      <w:pPr>
        <w:pStyle w:val="Normalcentr"/>
        <w:spacing w:lineRule="auto" w:line="240"/>
        <w:ind w:left="0" w:right="0" w:hanging="0"/>
        <w:rPr/>
      </w:pPr>
      <w:r>
        <w:rPr>
          <w:rFonts w:cs="Arial" w:ascii="Arial" w:hAnsi="Arial"/>
          <w:sz w:val="20"/>
        </w:rPr>
        <w:t>L’ensemble des frais de gestion sont plafonnés :</w:t>
      </w:r>
    </w:p>
    <w:p>
      <w:pPr>
        <w:pStyle w:val="Normalcentr"/>
        <w:numPr>
          <w:ilvl w:val="0"/>
          <w:numId w:val="5"/>
        </w:numPr>
        <w:spacing w:lineRule="auto" w:line="240"/>
        <w:ind w:left="1276" w:right="0" w:hanging="709"/>
        <w:rPr/>
      </w:pPr>
      <w:r>
        <w:rPr>
          <w:rFonts w:cs="Arial" w:ascii="Arial" w:hAnsi="Arial"/>
          <w:sz w:val="20"/>
        </w:rPr>
        <w:t>Pour le régime santé à 13%</w:t>
      </w:r>
    </w:p>
    <w:p>
      <w:pPr>
        <w:pStyle w:val="Normalcentr"/>
        <w:numPr>
          <w:ilvl w:val="0"/>
          <w:numId w:val="5"/>
        </w:numPr>
        <w:spacing w:lineRule="auto" w:line="240"/>
        <w:ind w:left="1636" w:right="0" w:hanging="1069"/>
        <w:rPr/>
      </w:pPr>
      <w:r>
        <w:rPr>
          <w:rFonts w:cs="Arial" w:ascii="Arial" w:hAnsi="Arial"/>
          <w:sz w:val="20"/>
        </w:rPr>
        <w:t>Pour le régime de prévoyance à 9%.</w:t>
      </w:r>
    </w:p>
    <w:p>
      <w:pPr>
        <w:pStyle w:val="Normalcentr"/>
        <w:spacing w:lineRule="auto" w:line="240"/>
        <w:ind w:left="708" w:right="0" w:hanging="0"/>
        <w:rPr>
          <w:rFonts w:ascii="Arial" w:hAnsi="Arial" w:cs="Arial"/>
          <w:sz w:val="20"/>
        </w:rPr>
      </w:pPr>
      <w:r>
        <w:rPr>
          <w:rFonts w:cs="Arial" w:ascii="Arial" w:hAnsi="Arial"/>
          <w:sz w:val="20"/>
        </w:rPr>
      </w:r>
    </w:p>
    <w:p>
      <w:pPr>
        <w:pStyle w:val="Normalcentr"/>
        <w:spacing w:lineRule="auto" w:line="240"/>
        <w:ind w:left="0" w:right="0" w:hanging="0"/>
        <w:rPr>
          <w:rFonts w:ascii="Arial" w:hAnsi="Arial" w:cs="Arial"/>
          <w:sz w:val="20"/>
        </w:rPr>
      </w:pPr>
      <w:r>
        <w:rPr>
          <w:rFonts w:cs="Arial" w:ascii="Arial" w:hAnsi="Arial"/>
          <w:sz w:val="20"/>
        </w:rPr>
        <w:t>Dans le cas où NXP déciderait d’intégrer le régime de protection sociale complémentaire dans un programme de pool international, il est convenu entre les parties que les frais seraient pris totalement en charge par l’entreprise et les sommes issues des parts salariales seront réintégrées dans le régime.</w:t>
      </w:r>
    </w:p>
    <w:p>
      <w:pPr>
        <w:pStyle w:val="Normal"/>
        <w:ind w:left="567" w:firstLine="709"/>
        <w:jc w:val="both"/>
        <w:rPr>
          <w:rFonts w:ascii="Arial" w:hAnsi="Arial" w:cs="Arial"/>
          <w:bCs/>
          <w:sz w:val="20"/>
        </w:rPr>
      </w:pPr>
      <w:r>
        <w:rPr>
          <w:rFonts w:cs="Arial" w:ascii="Arial" w:hAnsi="Arial"/>
          <w:bCs/>
          <w:sz w:val="20"/>
        </w:rPr>
      </w:r>
    </w:p>
    <w:p>
      <w:pPr>
        <w:pStyle w:val="Header"/>
        <w:keepNext w:val="true"/>
        <w:jc w:val="both"/>
        <w:rPr>
          <w:rFonts w:ascii="Arial" w:hAnsi="Arial" w:cs="Arial"/>
          <w:b/>
          <w:b/>
          <w:bCs/>
          <w:color w:val="0000FF"/>
          <w:sz w:val="18"/>
        </w:rPr>
      </w:pPr>
      <w:bookmarkStart w:id="0" w:name="_Personnel_désigné"/>
      <w:bookmarkStart w:id="1" w:name="_Aide_à_la"/>
      <w:bookmarkStart w:id="2" w:name="_Aide_au_maintien"/>
      <w:bookmarkStart w:id="3" w:name="_Aide_au_conjoint"/>
      <w:bookmarkStart w:id="4" w:name="_Personnel_désigné"/>
      <w:bookmarkStart w:id="5" w:name="_Aide_à_la"/>
      <w:bookmarkStart w:id="6" w:name="_Aide_au_maintien"/>
      <w:bookmarkStart w:id="7" w:name="_Aide_au_conjoint"/>
      <w:bookmarkEnd w:id="4"/>
      <w:bookmarkEnd w:id="5"/>
      <w:bookmarkEnd w:id="6"/>
      <w:bookmarkEnd w:id="7"/>
      <w:r>
        <w:rPr>
          <w:rFonts w:cs="Arial" w:ascii="Arial" w:hAnsi="Arial"/>
          <w:b/>
          <w:bCs/>
          <w:color w:val="0000FF"/>
          <w:sz w:val="18"/>
        </w:rPr>
      </w:r>
    </w:p>
    <w:p>
      <w:pPr>
        <w:pStyle w:val="Header"/>
        <w:keepNext w:val="true"/>
        <w:jc w:val="both"/>
        <w:rPr>
          <w:rFonts w:ascii="Arial" w:hAnsi="Arial" w:cs="Arial"/>
          <w:b/>
          <w:b/>
          <w:color w:val="0000FF"/>
          <w:sz w:val="18"/>
        </w:rPr>
      </w:pPr>
      <w:r>
        <w:rPr>
          <w:rFonts w:cs="Arial" w:ascii="Arial" w:hAnsi="Arial"/>
          <w:b/>
          <w:color w:val="0000FF"/>
          <w:sz w:val="18"/>
        </w:rPr>
      </w:r>
    </w:p>
    <w:p>
      <w:pPr>
        <w:pStyle w:val="Heading1"/>
        <w:numPr>
          <w:ilvl w:val="0"/>
          <w:numId w:val="1"/>
        </w:numPr>
        <w:rPr>
          <w:bCs w:val="false"/>
          <w:color w:val="0000FF"/>
          <w:sz w:val="20"/>
        </w:rPr>
      </w:pPr>
      <w:r>
        <w:rPr>
          <w:bCs w:val="false"/>
          <w:color w:val="0000FF"/>
          <w:sz w:val="20"/>
        </w:rPr>
        <w:t>Durée de l’accord</w:t>
      </w:r>
    </w:p>
    <w:p>
      <w:pPr>
        <w:pStyle w:val="Retraitcorpsdetexte2"/>
        <w:tabs>
          <w:tab w:val="left" w:pos="1560" w:leader="none"/>
        </w:tabs>
        <w:ind w:left="0" w:hanging="0"/>
        <w:rPr>
          <w:b w:val="false"/>
          <w:b w:val="false"/>
          <w:bCs w:val="false"/>
          <w:i/>
          <w:i/>
          <w:sz w:val="16"/>
          <w:szCs w:val="18"/>
        </w:rPr>
      </w:pPr>
      <w:r>
        <w:rPr>
          <w:b w:val="false"/>
          <w:bCs w:val="false"/>
          <w:i/>
          <w:sz w:val="16"/>
          <w:szCs w:val="18"/>
        </w:rPr>
        <w:t xml:space="preserve">Remplacement de l’ensemble de l’article 11 de l’accord du 30 mars 2015 et de l’article 11 de l’avenant du 14 Novembre 2016 par le texte suivant </w:t>
      </w:r>
    </w:p>
    <w:p>
      <w:pPr>
        <w:pStyle w:val="Normal"/>
        <w:tabs>
          <w:tab w:val="left" w:pos="1200" w:leader="none"/>
          <w:tab w:val="left" w:pos="1320" w:leader="none"/>
        </w:tabs>
        <w:rPr>
          <w:rFonts w:ascii="Arial" w:hAnsi="Arial" w:cs="Arial"/>
          <w:b/>
          <w:b/>
          <w:bCs/>
          <w:i/>
          <w:i/>
          <w:sz w:val="18"/>
          <w:szCs w:val="18"/>
        </w:rPr>
      </w:pPr>
      <w:r>
        <w:rPr>
          <w:rFonts w:cs="Arial" w:ascii="Arial" w:hAnsi="Arial"/>
          <w:b/>
          <w:bCs/>
          <w:i/>
          <w:sz w:val="18"/>
          <w:szCs w:val="18"/>
        </w:rPr>
      </w:r>
    </w:p>
    <w:p>
      <w:pPr>
        <w:pStyle w:val="Normalcentr"/>
        <w:spacing w:lineRule="auto" w:line="240"/>
        <w:ind w:left="0" w:right="0" w:hanging="0"/>
        <w:rPr>
          <w:rFonts w:ascii="Arial" w:hAnsi="Arial" w:cs="Arial"/>
          <w:sz w:val="20"/>
        </w:rPr>
      </w:pPr>
      <w:r>
        <w:rPr>
          <w:rFonts w:cs="Arial" w:ascii="Arial" w:hAnsi="Arial"/>
          <w:sz w:val="20"/>
        </w:rPr>
        <w:t>Le présent accord annule et remplace tous les accords ou usages antérieurs ayant le même objet en tout ou partie.</w:t>
      </w:r>
    </w:p>
    <w:p>
      <w:pPr>
        <w:pStyle w:val="Normalcentr"/>
        <w:spacing w:lineRule="auto" w:line="240"/>
        <w:ind w:left="0" w:right="0" w:hanging="0"/>
        <w:rPr>
          <w:rFonts w:ascii="Arial" w:hAnsi="Arial" w:cs="Arial"/>
          <w:sz w:val="20"/>
        </w:rPr>
      </w:pPr>
      <w:r>
        <w:rPr>
          <w:rFonts w:cs="Arial" w:ascii="Arial" w:hAnsi="Arial"/>
          <w:sz w:val="20"/>
        </w:rPr>
      </w:r>
    </w:p>
    <w:p>
      <w:pPr>
        <w:pStyle w:val="Normalcentr"/>
        <w:spacing w:lineRule="auto" w:line="240"/>
        <w:ind w:left="0" w:right="0" w:hanging="0"/>
        <w:rPr>
          <w:rFonts w:ascii="Arial" w:hAnsi="Arial" w:cs="Arial"/>
          <w:sz w:val="20"/>
        </w:rPr>
      </w:pPr>
      <w:r>
        <w:rPr>
          <w:rFonts w:cs="Arial" w:ascii="Arial" w:hAnsi="Arial"/>
          <w:sz w:val="20"/>
        </w:rPr>
        <w:t>Il vaut règlement de prévoyance, est conclu pour une durée déterminée débutant le 1</w:t>
      </w:r>
      <w:r>
        <w:rPr>
          <w:rFonts w:cs="Arial" w:ascii="Arial" w:hAnsi="Arial"/>
          <w:sz w:val="20"/>
          <w:vertAlign w:val="superscript"/>
        </w:rPr>
        <w:t>er</w:t>
      </w:r>
      <w:r>
        <w:rPr>
          <w:rFonts w:cs="Arial" w:ascii="Arial" w:hAnsi="Arial"/>
          <w:sz w:val="20"/>
        </w:rPr>
        <w:t xml:space="preserve"> Janvier 2019 et cessera de produire tout effet au 31 Décembre 2020. En outre il proroge les articles inchangés de l’accord du 30 mars 2015 et de l’avenant du 14 Novembre 2016 jusqu’à cette même date.</w:t>
      </w:r>
    </w:p>
    <w:p>
      <w:pPr>
        <w:pStyle w:val="Normalcentr"/>
        <w:spacing w:lineRule="auto" w:line="240"/>
        <w:ind w:left="0" w:right="0" w:hanging="0"/>
        <w:rPr>
          <w:rFonts w:ascii="Arial" w:hAnsi="Arial" w:cs="Arial"/>
          <w:sz w:val="20"/>
        </w:rPr>
      </w:pPr>
      <w:r>
        <w:rPr>
          <w:rFonts w:cs="Arial" w:ascii="Arial" w:hAnsi="Arial"/>
          <w:sz w:val="20"/>
        </w:rPr>
      </w:r>
    </w:p>
    <w:p>
      <w:pPr>
        <w:pStyle w:val="Normalcentr"/>
        <w:spacing w:lineRule="auto" w:line="240"/>
        <w:ind w:left="0" w:right="0" w:hanging="0"/>
        <w:rPr>
          <w:rFonts w:ascii="Arial" w:hAnsi="Arial" w:cs="Arial"/>
          <w:sz w:val="8"/>
          <w:szCs w:val="10"/>
        </w:rPr>
      </w:pPr>
      <w:r>
        <w:rPr>
          <w:rFonts w:cs="Arial" w:ascii="Arial" w:hAnsi="Arial"/>
          <w:sz w:val="20"/>
        </w:rPr>
        <w:t>Conformément à l’article L 2222-4 du code du travail à l’échéance de ce terme l’accord ne continuera pas de produire ses effets comme un accord à durée déterminée.</w:t>
      </w:r>
    </w:p>
    <w:p>
      <w:pPr>
        <w:pStyle w:val="Normalcentr"/>
        <w:spacing w:lineRule="auto" w:line="240"/>
        <w:ind w:left="1276" w:right="0" w:hanging="0"/>
        <w:rPr>
          <w:rFonts w:ascii="Arial" w:hAnsi="Arial" w:cs="Arial"/>
          <w:sz w:val="2"/>
          <w:szCs w:val="10"/>
        </w:rPr>
      </w:pPr>
      <w:r>
        <w:rPr>
          <w:rFonts w:cs="Arial" w:ascii="Arial" w:hAnsi="Arial"/>
          <w:sz w:val="2"/>
          <w:szCs w:val="10"/>
        </w:rPr>
      </w:r>
    </w:p>
    <w:p>
      <w:pPr>
        <w:pStyle w:val="Normalcentr"/>
        <w:spacing w:lineRule="auto" w:line="240"/>
        <w:ind w:left="1276" w:right="0" w:hanging="0"/>
        <w:rPr>
          <w:rFonts w:ascii="Arial" w:hAnsi="Arial" w:cs="Arial"/>
          <w:sz w:val="18"/>
        </w:rPr>
      </w:pPr>
      <w:r>
        <w:rPr>
          <w:rFonts w:cs="Arial" w:ascii="Arial" w:hAnsi="Arial"/>
          <w:sz w:val="18"/>
        </w:rPr>
      </w:r>
    </w:p>
    <w:p>
      <w:pPr>
        <w:pStyle w:val="Normalcentr"/>
        <w:spacing w:lineRule="auto" w:line="240"/>
        <w:ind w:left="1276" w:right="0" w:hanging="0"/>
        <w:rPr>
          <w:rFonts w:ascii="Arial" w:hAnsi="Arial" w:cs="Arial"/>
          <w:sz w:val="18"/>
        </w:rPr>
      </w:pPr>
      <w:r>
        <w:rPr>
          <w:rFonts w:cs="Arial" w:ascii="Arial" w:hAnsi="Arial"/>
          <w:sz w:val="18"/>
        </w:rPr>
      </w:r>
    </w:p>
    <w:p>
      <w:pPr>
        <w:pStyle w:val="Heading1"/>
        <w:numPr>
          <w:ilvl w:val="0"/>
          <w:numId w:val="1"/>
        </w:numPr>
        <w:rPr>
          <w:bCs w:val="false"/>
          <w:color w:val="0000FF"/>
          <w:sz w:val="20"/>
        </w:rPr>
      </w:pPr>
      <w:r>
        <w:rPr>
          <w:bCs w:val="false"/>
          <w:color w:val="0000FF"/>
          <w:sz w:val="20"/>
        </w:rPr>
        <w:t>Dépôt de l’accord</w:t>
      </w:r>
    </w:p>
    <w:p>
      <w:pPr>
        <w:pStyle w:val="Retraitcorpsdetexte2"/>
        <w:tabs>
          <w:tab w:val="left" w:pos="1560" w:leader="none"/>
        </w:tabs>
        <w:ind w:left="0" w:hanging="0"/>
        <w:rPr>
          <w:b w:val="false"/>
          <w:b w:val="false"/>
          <w:bCs w:val="false"/>
          <w:i/>
          <w:i/>
          <w:sz w:val="16"/>
          <w:szCs w:val="18"/>
        </w:rPr>
      </w:pPr>
      <w:r>
        <w:rPr>
          <w:b w:val="false"/>
          <w:bCs w:val="false"/>
          <w:i/>
          <w:sz w:val="16"/>
          <w:szCs w:val="18"/>
        </w:rPr>
        <w:t xml:space="preserve">Remplacement de l’ensemble de l’article 12 de l’accord du 30 mars 2015 et de l’article 12 de l’avenant du 14 Novembre 2016 par le texte suivant </w:t>
      </w:r>
    </w:p>
    <w:p>
      <w:pPr>
        <w:pStyle w:val="Heading1"/>
        <w:numPr>
          <w:ilvl w:val="0"/>
          <w:numId w:val="0"/>
        </w:numPr>
        <w:ind w:left="0" w:hanging="0"/>
        <w:rPr>
          <w:b w:val="false"/>
          <w:b w:val="false"/>
          <w:bCs w:val="false"/>
          <w:i/>
          <w:i/>
          <w:color w:val="0000FF"/>
          <w:sz w:val="18"/>
          <w:szCs w:val="20"/>
        </w:rPr>
      </w:pPr>
      <w:r>
        <w:rPr>
          <w:b w:val="false"/>
          <w:bCs w:val="false"/>
          <w:i/>
          <w:color w:val="0000FF"/>
          <w:sz w:val="18"/>
          <w:szCs w:val="20"/>
        </w:rPr>
      </w:r>
    </w:p>
    <w:p>
      <w:pPr>
        <w:pStyle w:val="Normalcentr"/>
        <w:spacing w:lineRule="auto" w:line="240"/>
        <w:ind w:left="0" w:right="0" w:hanging="0"/>
        <w:rPr/>
      </w:pPr>
      <w:r>
        <w:rPr>
          <w:rFonts w:cs="Arial" w:ascii="Arial" w:hAnsi="Arial"/>
          <w:sz w:val="20"/>
        </w:rPr>
        <w:t>Le présent avenant à l’accord sera déposé, à la diligence de l’employeur, en deux exemplaires dont une version sur support papier signée et une version sur support électronique, auprès de la Direction Départementale du Travail, de l’Emploi et de la Formation Professionnelle du siège de l’entreprise et en un exemplaire auprès du secrétariat du Greffe de tribunal de prud’hommes.</w:t>
      </w:r>
    </w:p>
    <w:p>
      <w:pPr>
        <w:pStyle w:val="Normalcentr"/>
        <w:spacing w:lineRule="auto" w:line="240"/>
        <w:ind w:left="567" w:right="0" w:firstLine="709"/>
        <w:rPr>
          <w:rFonts w:ascii="Arial" w:hAnsi="Arial" w:cs="Arial"/>
          <w:sz w:val="18"/>
        </w:rPr>
      </w:pPr>
      <w:r>
        <w:rPr>
          <w:rFonts w:cs="Arial" w:ascii="Arial" w:hAnsi="Arial"/>
          <w:sz w:val="18"/>
        </w:rPr>
      </w:r>
    </w:p>
    <w:p>
      <w:pPr>
        <w:pStyle w:val="Normalcentr"/>
        <w:spacing w:lineRule="auto" w:line="240"/>
        <w:ind w:left="567" w:right="0" w:firstLine="709"/>
        <w:rPr>
          <w:rFonts w:ascii="Arial" w:hAnsi="Arial" w:cs="Arial"/>
          <w:sz w:val="18"/>
        </w:rPr>
      </w:pPr>
      <w:r>
        <w:rPr>
          <w:rFonts w:cs="Arial" w:ascii="Arial" w:hAnsi="Arial"/>
          <w:sz w:val="18"/>
        </w:rPr>
      </w:r>
    </w:p>
    <w:p>
      <w:pPr>
        <w:pStyle w:val="Normalcentr"/>
        <w:spacing w:lineRule="auto" w:line="240"/>
        <w:ind w:left="567" w:right="0" w:firstLine="709"/>
        <w:rPr>
          <w:rFonts w:ascii="Arial" w:hAnsi="Arial" w:cs="Arial"/>
          <w:sz w:val="4"/>
        </w:rPr>
      </w:pPr>
      <w:r>
        <w:rPr>
          <w:rFonts w:cs="Arial" w:ascii="Arial" w:hAnsi="Arial"/>
          <w:sz w:val="4"/>
        </w:rPr>
      </w:r>
    </w:p>
    <w:p>
      <w:pPr>
        <w:pStyle w:val="Normalcentr"/>
        <w:spacing w:lineRule="auto" w:line="240"/>
        <w:ind w:left="0" w:right="0" w:hanging="0"/>
        <w:rPr/>
      </w:pPr>
      <w:r>
        <w:rPr>
          <w:rFonts w:cs="Arial" w:ascii="Arial" w:hAnsi="Arial"/>
          <w:sz w:val="20"/>
        </w:rPr>
        <w:t>Fait à Saclay le 07 Janvier 2019, en 7 exemplaires, dont un remis à chacun des syndicats représentatifs.</w:t>
      </w:r>
    </w:p>
    <w:p>
      <w:pPr>
        <w:pStyle w:val="Normalcentr"/>
        <w:spacing w:lineRule="auto" w:line="240"/>
        <w:ind w:left="567" w:right="0" w:firstLine="709"/>
        <w:rPr>
          <w:rFonts w:ascii="Arial" w:hAnsi="Arial" w:cs="Arial"/>
          <w:sz w:val="16"/>
        </w:rPr>
      </w:pPr>
      <w:r>
        <w:rPr>
          <w:rFonts w:cs="Arial" w:ascii="Arial" w:hAnsi="Arial"/>
          <w:sz w:val="16"/>
        </w:rPr>
      </w:r>
    </w:p>
    <w:p>
      <w:pPr>
        <w:pStyle w:val="Retraitcorpsdetexte2"/>
        <w:rPr>
          <w:rFonts w:ascii="Arial" w:hAnsi="Arial" w:cs="Arial"/>
          <w:b w:val="false"/>
          <w:b w:val="false"/>
          <w:bCs w:val="false"/>
          <w:sz w:val="16"/>
        </w:rPr>
      </w:pPr>
      <w:r>
        <w:rPr>
          <w:rFonts w:cs="Arial"/>
          <w:b w:val="false"/>
          <w:bCs w:val="false"/>
          <w:sz w:val="16"/>
        </w:rPr>
      </w:r>
    </w:p>
    <w:p>
      <w:pPr>
        <w:pStyle w:val="Retraitcorpsdetexte2"/>
        <w:rPr>
          <w:b w:val="false"/>
          <w:b w:val="false"/>
          <w:bCs w:val="false"/>
        </w:rPr>
      </w:pPr>
      <w:r>
        <w:rPr>
          <w:b w:val="false"/>
          <w:bCs w:val="false"/>
        </w:rPr>
      </w:r>
    </w:p>
    <w:p>
      <w:pPr>
        <w:pStyle w:val="Retraitcorpsdetexte2"/>
        <w:rPr>
          <w:b w:val="false"/>
          <w:b w:val="false"/>
          <w:bCs w:val="false"/>
        </w:rPr>
      </w:pPr>
      <w:r>
        <w:rPr>
          <w:b w:val="false"/>
          <w:bCs w:val="false"/>
        </w:rPr>
      </w:r>
    </w:p>
    <w:p>
      <w:pPr>
        <w:pStyle w:val="Normal"/>
        <w:tabs>
          <w:tab w:val="left" w:pos="567" w:leader="none"/>
          <w:tab w:val="left" w:pos="4820" w:leader="none"/>
        </w:tabs>
        <w:autoSpaceDE w:val="false"/>
        <w:rPr/>
      </w:pPr>
      <w:r>
        <w:rPr>
          <w:rFonts w:cs="Arial" w:ascii="Arial" w:hAnsi="Arial"/>
          <w:sz w:val="22"/>
          <w:szCs w:val="23"/>
          <w:lang w:eastAsia="en-US"/>
        </w:rPr>
        <w:t>La Direction</w:t>
        <w:tab/>
        <w:t>CFE-CGC</w:t>
      </w:r>
    </w:p>
    <w:p>
      <w:pPr>
        <w:pStyle w:val="Normal"/>
        <w:tabs>
          <w:tab w:val="left" w:pos="567" w:leader="none"/>
          <w:tab w:val="left" w:pos="4820" w:leader="none"/>
        </w:tabs>
        <w:autoSpaceDE w:val="false"/>
        <w:rPr>
          <w:rFonts w:ascii="Arial" w:hAnsi="Arial" w:cs="Arial"/>
          <w:sz w:val="22"/>
          <w:szCs w:val="23"/>
          <w:lang w:val="en-US" w:eastAsia="en-US"/>
        </w:rPr>
      </w:pPr>
      <w:r>
        <w:rPr>
          <w:rFonts w:cs="Arial" w:ascii="Arial" w:hAnsi="Arial"/>
          <w:sz w:val="22"/>
          <w:szCs w:val="23"/>
          <w:lang w:val="en-US" w:eastAsia="en-US"/>
        </w:rPr>
        <w:t>XXX</w:t>
        <w:tab/>
        <w:tab/>
        <w:t>XXX</w:t>
        <w:tab/>
        <w:tab/>
      </w:r>
    </w:p>
    <w:p>
      <w:pPr>
        <w:pStyle w:val="Normal"/>
        <w:tabs>
          <w:tab w:val="left" w:pos="567" w:leader="none"/>
          <w:tab w:val="left" w:pos="4820" w:leader="none"/>
        </w:tabs>
        <w:autoSpaceDE w:val="false"/>
        <w:rPr>
          <w:rFonts w:ascii="Arial" w:hAnsi="Arial" w:cs="Arial"/>
          <w:sz w:val="22"/>
          <w:szCs w:val="23"/>
          <w:lang w:val="en-US" w:eastAsia="en-US"/>
        </w:rPr>
      </w:pPr>
      <w:r>
        <w:rPr>
          <w:rFonts w:cs="Arial" w:ascii="Arial" w:hAnsi="Arial"/>
          <w:sz w:val="22"/>
          <w:szCs w:val="23"/>
          <w:lang w:val="en-US" w:eastAsia="en-US"/>
        </w:rPr>
        <w:tab/>
        <w:tab/>
        <w:tab/>
      </w:r>
    </w:p>
    <w:p>
      <w:pPr>
        <w:pStyle w:val="Retraitcorpsdetexte2"/>
        <w:tabs>
          <w:tab w:val="left" w:pos="567" w:leader="none"/>
          <w:tab w:val="left" w:pos="1134" w:leader="none"/>
          <w:tab w:val="left" w:pos="4820" w:leader="none"/>
        </w:tabs>
        <w:rPr>
          <w:b w:val="false"/>
          <w:b w:val="false"/>
          <w:bCs w:val="false"/>
          <w:sz w:val="22"/>
          <w:szCs w:val="23"/>
          <w:lang w:val="en-US" w:eastAsia="en-US"/>
        </w:rPr>
      </w:pPr>
      <w:r>
        <w:rPr>
          <w:sz w:val="22"/>
          <w:szCs w:val="23"/>
          <w:lang w:val="en-US" w:eastAsia="en-US"/>
        </w:rPr>
        <w:tab/>
        <w:tab/>
        <w:tab/>
        <w:tab/>
        <w:tab/>
        <w:tab/>
        <w:tab/>
        <w:tab/>
      </w:r>
    </w:p>
    <w:p>
      <w:pPr>
        <w:pStyle w:val="Retraitcorpsdetexte2"/>
        <w:tabs>
          <w:tab w:val="left" w:pos="567" w:leader="none"/>
          <w:tab w:val="left" w:pos="1134" w:leader="none"/>
          <w:tab w:val="left" w:pos="4820" w:leader="none"/>
        </w:tabs>
        <w:rPr>
          <w:b w:val="false"/>
          <w:b w:val="false"/>
          <w:bCs w:val="false"/>
          <w:sz w:val="22"/>
          <w:szCs w:val="23"/>
          <w:lang w:val="en-US" w:eastAsia="en-US"/>
        </w:rPr>
      </w:pPr>
      <w:r>
        <w:rPr>
          <w:b w:val="false"/>
          <w:bCs w:val="false"/>
          <w:sz w:val="22"/>
          <w:szCs w:val="23"/>
          <w:lang w:val="en-US" w:eastAsia="en-US"/>
        </w:rPr>
      </w:r>
    </w:p>
    <w:p>
      <w:pPr>
        <w:pStyle w:val="Retraitcorpsdetexte2"/>
        <w:tabs>
          <w:tab w:val="left" w:pos="567" w:leader="none"/>
          <w:tab w:val="left" w:pos="1134" w:leader="none"/>
          <w:tab w:val="left" w:pos="4820" w:leader="none"/>
        </w:tabs>
        <w:rPr>
          <w:b w:val="false"/>
          <w:b w:val="false"/>
          <w:bCs w:val="false"/>
          <w:sz w:val="22"/>
          <w:szCs w:val="23"/>
          <w:lang w:val="en-US" w:eastAsia="en-US"/>
        </w:rPr>
      </w:pPr>
      <w:r>
        <w:rPr>
          <w:b w:val="false"/>
          <w:bCs w:val="false"/>
          <w:sz w:val="22"/>
          <w:szCs w:val="23"/>
          <w:lang w:val="en-US" w:eastAsia="en-US"/>
        </w:rPr>
        <w:tab/>
        <w:tab/>
        <w:tab/>
        <w:tab/>
        <w:tab/>
        <w:tab/>
        <w:tab/>
        <w:tab/>
        <w:tab/>
      </w:r>
      <w:r>
        <w:rPr>
          <w:b w:val="false"/>
          <w:sz w:val="22"/>
          <w:szCs w:val="23"/>
          <w:lang w:val="en-US" w:eastAsia="en-US"/>
        </w:rPr>
        <w:t>CFDT</w:t>
      </w:r>
      <w:r>
        <w:rPr>
          <w:b w:val="false"/>
          <w:bCs w:val="false"/>
          <w:sz w:val="22"/>
          <w:szCs w:val="23"/>
          <w:lang w:val="en-US" w:eastAsia="en-US"/>
        </w:rPr>
        <w:t xml:space="preserve"> </w:t>
        <w:tab/>
        <w:tab/>
        <w:tab/>
        <w:tab/>
        <w:tab/>
        <w:t>XXX</w:t>
      </w:r>
    </w:p>
    <w:p>
      <w:pPr>
        <w:pStyle w:val="Retraitcorpsdetexte2"/>
        <w:tabs>
          <w:tab w:val="left" w:pos="567" w:leader="none"/>
          <w:tab w:val="left" w:pos="1134" w:leader="none"/>
          <w:tab w:val="left" w:pos="4820" w:leader="none"/>
        </w:tabs>
        <w:rPr>
          <w:b w:val="false"/>
          <w:b w:val="false"/>
          <w:bCs w:val="false"/>
          <w:sz w:val="22"/>
          <w:szCs w:val="23"/>
          <w:lang w:val="en-US" w:eastAsia="en-US"/>
        </w:rPr>
      </w:pPr>
      <w:r>
        <w:rPr>
          <w:b w:val="false"/>
          <w:bCs w:val="false"/>
          <w:sz w:val="22"/>
          <w:szCs w:val="23"/>
          <w:lang w:val="en-US" w:eastAsia="en-US"/>
        </w:rPr>
      </w:r>
    </w:p>
    <w:p>
      <w:pPr>
        <w:pStyle w:val="Retraitcorpsdetexte2"/>
        <w:tabs>
          <w:tab w:val="left" w:pos="567" w:leader="none"/>
          <w:tab w:val="left" w:pos="1134" w:leader="none"/>
          <w:tab w:val="left" w:pos="4820" w:leader="none"/>
        </w:tabs>
        <w:rPr>
          <w:b w:val="false"/>
          <w:b w:val="false"/>
          <w:bCs w:val="false"/>
          <w:sz w:val="22"/>
          <w:szCs w:val="23"/>
          <w:lang w:val="en-US" w:eastAsia="en-US"/>
        </w:rPr>
      </w:pPr>
      <w:r>
        <w:rPr>
          <w:b w:val="false"/>
          <w:bCs w:val="false"/>
          <w:sz w:val="22"/>
          <w:szCs w:val="23"/>
          <w:lang w:val="en-US" w:eastAsia="en-US"/>
        </w:rPr>
      </w:r>
    </w:p>
    <w:p>
      <w:pPr>
        <w:pStyle w:val="Retraitcorpsdetexte2"/>
        <w:tabs>
          <w:tab w:val="left" w:pos="567" w:leader="none"/>
          <w:tab w:val="left" w:pos="1134" w:leader="none"/>
          <w:tab w:val="left" w:pos="4820" w:leader="none"/>
        </w:tabs>
        <w:rPr>
          <w:b w:val="false"/>
          <w:b w:val="false"/>
          <w:bCs w:val="false"/>
          <w:sz w:val="22"/>
          <w:szCs w:val="23"/>
          <w:lang w:val="en-US" w:eastAsia="en-US"/>
        </w:rPr>
      </w:pPr>
      <w:r>
        <w:rPr>
          <w:b w:val="false"/>
          <w:bCs w:val="false"/>
          <w:sz w:val="22"/>
          <w:szCs w:val="23"/>
          <w:lang w:val="en-US" w:eastAsia="en-US"/>
        </w:rPr>
      </w:r>
    </w:p>
    <w:p>
      <w:pPr>
        <w:pStyle w:val="Retraitcorpsdetexte2"/>
        <w:tabs>
          <w:tab w:val="left" w:pos="567" w:leader="none"/>
          <w:tab w:val="left" w:pos="1134" w:leader="none"/>
          <w:tab w:val="left" w:pos="4820" w:leader="none"/>
        </w:tabs>
        <w:rPr>
          <w:b w:val="false"/>
          <w:b w:val="false"/>
          <w:bCs w:val="false"/>
          <w:sz w:val="22"/>
          <w:szCs w:val="23"/>
          <w:lang w:val="en-US" w:eastAsia="en-US"/>
        </w:rPr>
      </w:pPr>
      <w:r>
        <w:rPr>
          <w:b w:val="false"/>
          <w:bCs w:val="false"/>
          <w:sz w:val="22"/>
          <w:szCs w:val="23"/>
          <w:lang w:val="en-US" w:eastAsia="en-US"/>
        </w:rPr>
      </w:r>
    </w:p>
    <w:p>
      <w:pPr>
        <w:pStyle w:val="Retraitcorpsdetexte2"/>
        <w:tabs>
          <w:tab w:val="left" w:pos="567" w:leader="none"/>
          <w:tab w:val="left" w:pos="1134" w:leader="none"/>
          <w:tab w:val="left" w:pos="4820" w:leader="none"/>
        </w:tabs>
        <w:rPr/>
      </w:pPr>
      <w:r>
        <w:rPr>
          <w:b w:val="false"/>
          <w:bCs w:val="false"/>
          <w:sz w:val="22"/>
          <w:szCs w:val="23"/>
          <w:lang w:val="en-US" w:eastAsia="en-US"/>
        </w:rPr>
        <w:tab/>
        <w:tab/>
        <w:tab/>
        <w:tab/>
        <w:tab/>
        <w:tab/>
        <w:tab/>
        <w:tab/>
        <w:tab/>
        <w:t>FO</w:t>
      </w:r>
    </w:p>
    <w:p>
      <w:pPr>
        <w:pStyle w:val="Retraitcorpsdetexte2"/>
        <w:tabs>
          <w:tab w:val="left" w:pos="567" w:leader="none"/>
          <w:tab w:val="left" w:pos="1134" w:leader="none"/>
          <w:tab w:val="left" w:pos="4820" w:leader="none"/>
        </w:tabs>
        <w:rPr>
          <w:b w:val="false"/>
          <w:b w:val="false"/>
          <w:bCs w:val="false"/>
          <w:sz w:val="22"/>
          <w:szCs w:val="23"/>
          <w:lang w:val="en-US" w:eastAsia="en-US"/>
        </w:rPr>
      </w:pPr>
      <w:r>
        <w:rPr>
          <w:b w:val="false"/>
          <w:bCs w:val="false"/>
          <w:sz w:val="22"/>
          <w:szCs w:val="23"/>
          <w:lang w:val="en-US" w:eastAsia="en-US"/>
        </w:rPr>
        <w:tab/>
        <w:tab/>
        <w:tab/>
        <w:t>XXX</w:t>
      </w:r>
    </w:p>
    <w:p>
      <w:pPr>
        <w:pStyle w:val="Retraitcorpsdetexte2"/>
        <w:rPr>
          <w:vanish/>
          <w:sz w:val="22"/>
          <w:highlight w:val="yellow"/>
        </w:rPr>
      </w:pPr>
      <w:bookmarkStart w:id="8" w:name="_PictureBullets"/>
      <w:bookmarkStart w:id="9" w:name="_PictureBullets"/>
      <w:bookmarkEnd w:id="9"/>
      <w:r>
        <w:rPr/>
      </w:r>
    </w:p>
    <w:sectPr>
      <w:headerReference w:type="default" r:id="rId2"/>
      <w:footerReference w:type="default" r:id="rId3"/>
      <w:type w:val="nextPage"/>
      <w:pgSz w:w="11906" w:h="16838"/>
      <w:pgMar w:left="1920" w:right="1706" w:header="480" w:top="1400" w:footer="406" w:bottom="14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urier New">
    <w:charset w:val="00"/>
    <w:family w:val="modern"/>
    <w:pitch w:val="default"/>
  </w:font>
  <w:font w:name="Wingdings">
    <w:charset w:val="02"/>
    <w:family w:val="auto"/>
    <w:pitch w:val="variable"/>
  </w:font>
  <w:font w:name="Tahoma">
    <w:charset w:val="00"/>
    <w:family w:val="swiss"/>
    <w:pitch w:val="variable"/>
  </w:font>
  <w:font w:name="Times">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Fonts w:cs="Arial" w:ascii="Arial" w:hAnsi="Arial"/>
      </w:rPr>
      <w:t>Avenant à l’accord protection sociale complémentaire du 30 mars 2015 et de son avenant du</w:t>
    </w:r>
    <w:r>
      <w:rPr>
        <w:rFonts w:cs="Arial" w:ascii="Arial" w:hAnsi="Arial"/>
      </w:rPr>
      <w:t xml:space="preserve"> </w:t>
    </w:r>
    <w:r>
      <w:rPr>
        <w:rFonts w:cs="Arial" w:ascii="Arial" w:hAnsi="Arial"/>
      </w:rPr>
      <w:t>14</w:t>
    </w:r>
    <w:r>
      <w:rPr>
        <w:rFonts w:cs="Arial" w:ascii="Arial" w:hAnsi="Arial"/>
      </w:rPr>
      <w:t xml:space="preserve"> novembre 2016</w:t>
    </w:r>
    <w:r>
      <w:rPr/>
      <w:tab/>
      <w:tab/>
    </w:r>
    <w:r>
      <w:rPr>
        <w:rFonts w:cs="Arial" w:ascii="Arial" w:hAnsi="Arial"/>
      </w:rPr>
      <w:t xml:space="preserve">Page </w:t>
    </w:r>
    <w:r>
      <w:rPr>
        <w:rFonts w:cs="Arial" w:ascii="Arial" w:hAnsi="Arial"/>
      </w:rPr>
      <w:fldChar w:fldCharType="begin"/>
    </w:r>
    <w:r>
      <w:instrText> PAGE </w:instrText>
    </w:r>
    <w:r>
      <w:fldChar w:fldCharType="separate"/>
    </w:r>
    <w:r>
      <w:t>3</w:t>
    </w:r>
    <w:r>
      <w:fldChar w:fldCharType="end"/>
    </w:r>
    <w:r>
      <w:rPr>
        <w:rFonts w:cs="Arial" w:ascii="Arial" w:hAnsi="Arial"/>
      </w:rPr>
      <w:t xml:space="preserve"> sur </w:t>
    </w:r>
    <w:r>
      <w:rPr>
        <w:rFonts w:cs="Arial" w:ascii="Arial" w:hAnsi="Arial"/>
      </w:rPr>
      <w:fldChar w:fldCharType="begin"/>
    </w:r>
    <w:r>
      <w:instrText> NUMPAGES \* ARABIC </w:instrText>
    </w:r>
    <w:r>
      <w:fldChar w:fldCharType="separate"/>
    </w:r>
    <w:r>
      <w:t>3</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auto" w:line="48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Article %1"/>
      <w:lvlJc w:val="left"/>
      <w:pPr>
        <w:tabs>
          <w:tab w:val="num" w:pos="720"/>
        </w:tabs>
        <w:ind w:left="432" w:hanging="432"/>
      </w:pPr>
      <w:rPr/>
    </w:lvl>
    <w:lvl w:ilvl="1">
      <w:start w:val="1"/>
      <w:pStyle w:val="Heading2"/>
      <w:numFmt w:val="decimal"/>
      <w:lvlText w:val="%1.%2"/>
      <w:lvlJc w:val="left"/>
      <w:pPr>
        <w:tabs>
          <w:tab w:val="num" w:pos="576"/>
        </w:tabs>
        <w:ind w:left="576" w:hanging="576"/>
      </w:pPr>
      <w:rPr/>
    </w:lvl>
    <w:lvl w:ilvl="2">
      <w:start w:val="1"/>
      <w:pStyle w:val="Heading3"/>
      <w:numFmt w:val="decimal"/>
      <w:lvlText w:val="%1.%2.%3"/>
      <w:lvlJc w:val="left"/>
      <w:pPr>
        <w:tabs>
          <w:tab w:val="num" w:pos="2231"/>
        </w:tabs>
        <w:ind w:left="720" w:hanging="-1151"/>
      </w:pPr>
      <w:rPr/>
    </w:lvl>
    <w:lvl w:ilvl="3">
      <w:start w:val="1"/>
      <w:pStyle w:val="Heading4"/>
      <w:numFmt w:val="decimal"/>
      <w:lvlText w:val="%1.%2.%3.%4"/>
      <w:lvlJc w:val="left"/>
      <w:pPr>
        <w:tabs>
          <w:tab w:val="num" w:pos="3215"/>
        </w:tabs>
        <w:ind w:left="864" w:hanging="-1631"/>
      </w:pPr>
      <w:rPr/>
    </w:lvl>
    <w:lvl w:ilvl="4">
      <w:start w:val="1"/>
      <w:pStyle w:val="Heading5"/>
      <w:numFmt w:val="decimal"/>
      <w:lvlText w:val="%1.%2.%3.%4.%5"/>
      <w:lvlJc w:val="left"/>
      <w:pPr>
        <w:tabs>
          <w:tab w:val="num" w:pos="4009"/>
        </w:tabs>
        <w:ind w:left="1008" w:hanging="-2281"/>
      </w:pPr>
      <w:rPr/>
    </w:lvl>
    <w:lvl w:ilvl="5">
      <w:start w:val="1"/>
      <w:pStyle w:val="Heading6"/>
      <w:numFmt w:val="decimal"/>
      <w:lvlText w:val="%1.%2.%3.%4.%5.%6"/>
      <w:lvlJc w:val="left"/>
      <w:pPr>
        <w:tabs>
          <w:tab w:val="num" w:pos="1152"/>
        </w:tabs>
        <w:ind w:left="1152" w:hanging="1152"/>
      </w:pPr>
      <w:rPr/>
    </w:lvl>
    <w:lvl w:ilvl="6">
      <w:start w:val="1"/>
      <w:pStyle w:val="Heading7"/>
      <w:numFmt w:val="decimal"/>
      <w:lvlText w:val="%1.%2.%3.%4.%5.%6.%7"/>
      <w:lvlJc w:val="left"/>
      <w:pPr>
        <w:tabs>
          <w:tab w:val="num" w:pos="1296"/>
        </w:tabs>
        <w:ind w:left="1296" w:hanging="1296"/>
      </w:pPr>
      <w:rPr/>
    </w:lvl>
    <w:lvl w:ilvl="7">
      <w:start w:val="1"/>
      <w:pStyle w:val="Heading8"/>
      <w:numFmt w:val="decimal"/>
      <w:lvlText w:val="%1.%2.%3.%4.%5.%6.%7.%8"/>
      <w:lvlJc w:val="left"/>
      <w:pPr>
        <w:tabs>
          <w:tab w:val="num" w:pos="1440"/>
        </w:tabs>
        <w:ind w:left="1440" w:hanging="1440"/>
      </w:pPr>
      <w:rPr/>
    </w:lvl>
    <w:lvl w:ilvl="8">
      <w:start w:val="1"/>
      <w:pStyle w:val="Heading9"/>
      <w:numFmt w:val="decimal"/>
      <w:lvlText w:val="%1.%2.%3.%4.%5.%6.%7.%8.%9"/>
      <w:lvlJc w:val="left"/>
      <w:pPr>
        <w:tabs>
          <w:tab w:val="num" w:pos="1584"/>
        </w:tabs>
        <w:ind w:left="1584" w:hanging="1584"/>
      </w:pPr>
      <w:rPr/>
    </w:lvl>
  </w:abstractNum>
  <w:abstractNum w:abstractNumId="2">
    <w:lvl w:ilvl="0">
      <w:start w:val="1"/>
      <w:numFmt w:val="decimal"/>
      <w:lvlText w:val="%1."/>
      <w:lvlJc w:val="left"/>
      <w:pPr>
        <w:ind w:left="720" w:hanging="360"/>
      </w:pPr>
      <w:rPr/>
    </w:lvl>
  </w:abstractNum>
  <w:abstractNum w:abstractNumId="3">
    <w:lvl w:ilvl="0">
      <w:start w:val="1"/>
      <w:numFmt w:val="decimal"/>
      <w:lvlText w:val="%1."/>
      <w:lvlJc w:val="left"/>
      <w:pPr>
        <w:ind w:left="720" w:hanging="360"/>
      </w:pPr>
      <w:rPr/>
    </w:lvl>
  </w:abstractNum>
  <w:abstractNum w:abstractNumId="4">
    <w:lvl w:ilvl="0">
      <w:start w:val="1"/>
      <w:numFmt w:val="bullet"/>
      <w:lvlText w:val=""/>
      <w:lvlJc w:val="left"/>
      <w:pPr>
        <w:tabs>
          <w:tab w:val="num" w:pos="1068"/>
        </w:tabs>
        <w:ind w:left="1068" w:hanging="360"/>
      </w:pPr>
      <w:rPr>
        <w:rFonts w:ascii="Symbol" w:hAnsi="Symbol" w:cs="Symbol" w:hint="default"/>
        <w:rFonts w:cs="Symbol"/>
      </w:rPr>
    </w:lvl>
  </w:abstractNum>
  <w:abstractNum w:abstractNumId="5">
    <w:lvl w:ilvl="0">
      <w:start w:val="8"/>
      <w:numFmt w:val="bullet"/>
      <w:lvlText w:val="-"/>
      <w:lvlJc w:val="left"/>
      <w:pPr>
        <w:tabs>
          <w:tab w:val="num" w:pos="708"/>
        </w:tabs>
        <w:ind w:left="1636" w:hanging="360"/>
      </w:pPr>
      <w:rPr>
        <w:rFonts w:ascii="Arial" w:hAnsi="Arial" w:cs="Arial" w:hint="default"/>
        <w:sz w:val="20"/>
        <w:rFonts w:cs="Aria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fr-FR" w:bidi="ar-SA" w:eastAsia="zh-CN"/>
    </w:rPr>
  </w:style>
  <w:style w:type="paragraph" w:styleId="Heading1">
    <w:name w:val="Heading 1"/>
    <w:basedOn w:val="Normal"/>
    <w:next w:val="Normal"/>
    <w:qFormat/>
    <w:pPr>
      <w:keepNext w:val="true"/>
      <w:numPr>
        <w:ilvl w:val="0"/>
        <w:numId w:val="1"/>
      </w:numPr>
      <w:outlineLvl w:val="0"/>
    </w:pPr>
    <w:rPr>
      <w:rFonts w:ascii="Arial" w:hAnsi="Arial" w:cs="Arial"/>
      <w:b/>
      <w:bCs/>
      <w:sz w:val="16"/>
      <w:szCs w:val="16"/>
      <w:u w:val="single"/>
    </w:rPr>
  </w:style>
  <w:style w:type="paragraph" w:styleId="Heading2">
    <w:name w:val="Heading 2"/>
    <w:basedOn w:val="Normal"/>
    <w:next w:val="Normal"/>
    <w:qFormat/>
    <w:pPr>
      <w:keepNext w:val="true"/>
      <w:numPr>
        <w:ilvl w:val="1"/>
        <w:numId w:val="1"/>
      </w:numPr>
      <w:spacing w:lineRule="auto" w:line="360" w:before="120" w:after="0"/>
      <w:outlineLvl w:val="1"/>
    </w:pPr>
    <w:rPr>
      <w:rFonts w:ascii="Arial" w:hAnsi="Arial" w:cs="Arial"/>
      <w:b/>
      <w:sz w:val="22"/>
      <w:u w:val="single"/>
    </w:rPr>
  </w:style>
  <w:style w:type="paragraph" w:styleId="Heading3">
    <w:name w:val="Heading 3"/>
    <w:basedOn w:val="Normal"/>
    <w:next w:val="Normal"/>
    <w:qFormat/>
    <w:pPr>
      <w:keepNext w:val="true"/>
      <w:numPr>
        <w:ilvl w:val="2"/>
        <w:numId w:val="1"/>
      </w:numPr>
      <w:spacing w:lineRule="auto" w:line="360" w:before="120" w:after="0"/>
      <w:outlineLvl w:val="2"/>
    </w:pPr>
    <w:rPr>
      <w:rFonts w:ascii="Arial" w:hAnsi="Arial" w:cs="Arial"/>
      <w:sz w:val="22"/>
      <w:szCs w:val="24"/>
      <w:u w:val="single"/>
    </w:rPr>
  </w:style>
  <w:style w:type="paragraph" w:styleId="Heading4">
    <w:name w:val="Heading 4"/>
    <w:basedOn w:val="Normal"/>
    <w:next w:val="Normal"/>
    <w:qFormat/>
    <w:pPr>
      <w:keepNext w:val="true"/>
      <w:numPr>
        <w:ilvl w:val="3"/>
        <w:numId w:val="1"/>
      </w:numPr>
      <w:outlineLvl w:val="3"/>
    </w:pPr>
    <w:rPr>
      <w:i/>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keepNext w:val="true"/>
      <w:numPr>
        <w:ilvl w:val="5"/>
        <w:numId w:val="1"/>
      </w:numPr>
      <w:jc w:val="both"/>
      <w:outlineLvl w:val="5"/>
    </w:pPr>
    <w:rPr>
      <w:b/>
      <w:bCs/>
      <w:i/>
      <w:iCs/>
    </w:rPr>
  </w:style>
  <w:style w:type="paragraph" w:styleId="Heading7">
    <w:name w:val="Heading 7"/>
    <w:basedOn w:val="Normal"/>
    <w:next w:val="Normal"/>
    <w:qFormat/>
    <w:pPr>
      <w:keepNext w:val="true"/>
      <w:numPr>
        <w:ilvl w:val="6"/>
        <w:numId w:val="1"/>
      </w:numPr>
      <w:spacing w:lineRule="auto" w:line="360"/>
      <w:jc w:val="both"/>
      <w:outlineLvl w:val="6"/>
    </w:pPr>
    <w:rPr>
      <w:b/>
      <w:bCs/>
      <w:i/>
      <w:iCs/>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Symbol"/>
    </w:rPr>
  </w:style>
  <w:style w:type="character" w:styleId="WW8Num5z1">
    <w:name w:val="WW8Num5z1"/>
    <w:qFormat/>
    <w:rPr>
      <w:rFonts w:ascii="Arial" w:hAnsi="Arial" w:eastAsia="Times New Roman" w:cs="Arial"/>
    </w:rPr>
  </w:style>
  <w:style w:type="character" w:styleId="WW8Num5z2">
    <w:name w:val="WW8Num5z2"/>
    <w:qFormat/>
    <w:rPr>
      <w:rFonts w:ascii="Wingdings" w:hAnsi="Wingdings" w:cs="Wingdings"/>
    </w:rPr>
  </w:style>
  <w:style w:type="character" w:styleId="WW8Num5z4">
    <w:name w:val="WW8Num5z4"/>
    <w:qFormat/>
    <w:rPr>
      <w:rFonts w:ascii="Courier New" w:hAnsi="Courier New" w:cs="Courier New"/>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Arial" w:hAnsi="Arial" w:eastAsia="Times New Roman" w:cs="Arial"/>
      <w:sz w:val="20"/>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Arial" w:hAnsi="Arial" w:eastAsia="Times New Roman" w:cs="Aria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Policepardfaut">
    <w:name w:val="Police par défaut"/>
    <w:qFormat/>
    <w:rPr/>
  </w:style>
  <w:style w:type="character" w:styleId="PageNumber">
    <w:name w:val="Page Number"/>
    <w:basedOn w:val="Policepardfaut"/>
    <w:rPr/>
  </w:style>
  <w:style w:type="character" w:styleId="Marquedecommentaire">
    <w:name w:val="Marque de commentaire"/>
    <w:qFormat/>
    <w:rPr>
      <w:sz w:val="16"/>
      <w:szCs w:val="16"/>
    </w:rPr>
  </w:style>
  <w:style w:type="character" w:styleId="InternetLink">
    <w:name w:val="Internet Link"/>
    <w:rPr>
      <w:color w:val="5E89C1"/>
      <w:u w:val="single"/>
      <w:shd w:fill="auto" w:val="clear"/>
    </w:rPr>
  </w:style>
  <w:style w:type="character" w:styleId="Retraitcorpsdetexte2Car">
    <w:name w:val="Retrait corps de texte 2 Car"/>
    <w:qFormat/>
    <w:rPr>
      <w:rFonts w:ascii="Arial" w:hAnsi="Arial" w:cs="Arial"/>
      <w:b/>
      <w:bCs/>
    </w:rPr>
  </w:style>
  <w:style w:type="paragraph" w:styleId="Heading">
    <w:name w:val="Heading"/>
    <w:basedOn w:val="Normal"/>
    <w:next w:val="TextBody"/>
    <w:qFormat/>
    <w:pPr>
      <w:jc w:val="center"/>
    </w:pPr>
    <w:rPr>
      <w:rFonts w:ascii="Arial" w:hAnsi="Arial" w:cs="Arial"/>
      <w:b/>
      <w:bCs/>
    </w:rPr>
  </w:style>
  <w:style w:type="paragraph" w:styleId="TextBody">
    <w:name w:val="Body Text"/>
    <w:basedOn w:val="Normal"/>
    <w:pPr/>
    <w:rPr>
      <w:rFonts w:ascii="Arial" w:hAnsi="Arial" w:cs="Arial"/>
      <w:b/>
      <w:bCs/>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er">
    <w:name w:val="Footer"/>
    <w:basedOn w:val="Normal"/>
    <w:pPr>
      <w:tabs>
        <w:tab w:val="center" w:pos="4536" w:leader="none"/>
        <w:tab w:val="right" w:pos="9072" w:leader="none"/>
      </w:tabs>
    </w:pPr>
    <w:rPr/>
  </w:style>
  <w:style w:type="paragraph" w:styleId="TextBodyIndent">
    <w:name w:val="Body Text Indent"/>
    <w:basedOn w:val="Normal"/>
    <w:pPr/>
    <w:rPr>
      <w:rFonts w:ascii="Arial" w:hAnsi="Arial" w:cs="Arial"/>
      <w:sz w:val="18"/>
      <w:szCs w:val="18"/>
    </w:rPr>
  </w:style>
  <w:style w:type="paragraph" w:styleId="Retraitcorpsdetexte2">
    <w:name w:val="Retrait corps de texte 2"/>
    <w:basedOn w:val="Normal"/>
    <w:qFormat/>
    <w:pPr>
      <w:tabs>
        <w:tab w:val="left" w:pos="1134" w:leader="none"/>
      </w:tabs>
      <w:ind w:left="1134" w:hanging="1134"/>
    </w:pPr>
    <w:rPr>
      <w:rFonts w:ascii="Arial" w:hAnsi="Arial" w:cs="Arial"/>
      <w:b/>
      <w:bCs/>
    </w:rPr>
  </w:style>
  <w:style w:type="paragraph" w:styleId="Corpsdetexte3">
    <w:name w:val="Corps de texte 3"/>
    <w:basedOn w:val="Normal"/>
    <w:qFormat/>
    <w:pPr>
      <w:jc w:val="both"/>
    </w:pPr>
    <w:rPr>
      <w:rFonts w:ascii="Arial" w:hAnsi="Arial" w:cs="Arial"/>
    </w:rPr>
  </w:style>
  <w:style w:type="paragraph" w:styleId="Retraitcorpsdetexte3">
    <w:name w:val="Retrait corps de texte 3"/>
    <w:basedOn w:val="Normal"/>
    <w:qFormat/>
    <w:pPr>
      <w:ind w:left="567" w:hanging="0"/>
      <w:jc w:val="both"/>
    </w:pPr>
    <w:rPr>
      <w:rFonts w:ascii="Arial" w:hAnsi="Arial" w:cs="Arial"/>
      <w:sz w:val="18"/>
      <w:szCs w:val="18"/>
    </w:rPr>
  </w:style>
  <w:style w:type="paragraph" w:styleId="Commentaire">
    <w:name w:val="Commentaire"/>
    <w:basedOn w:val="Normal"/>
    <w:qFormat/>
    <w:pPr/>
    <w:rPr/>
  </w:style>
  <w:style w:type="paragraph" w:styleId="Objetducommentaire">
    <w:name w:val="Objet du commentaire"/>
    <w:basedOn w:val="Commentaire"/>
    <w:next w:val="Commentaire"/>
    <w:qFormat/>
    <w:pPr/>
    <w:rPr>
      <w:b/>
      <w:bCs/>
    </w:rPr>
  </w:style>
  <w:style w:type="paragraph" w:styleId="Textedebulles">
    <w:name w:val="Texte de bulles"/>
    <w:basedOn w:val="Normal"/>
    <w:qFormat/>
    <w:pPr/>
    <w:rPr>
      <w:rFonts w:ascii="Tahoma" w:hAnsi="Tahoma" w:cs="Tahoma"/>
      <w:sz w:val="16"/>
      <w:szCs w:val="16"/>
    </w:rPr>
  </w:style>
  <w:style w:type="paragraph" w:styleId="Corpsdetexte2">
    <w:name w:val="Corps de texte 2"/>
    <w:basedOn w:val="Normal"/>
    <w:qFormat/>
    <w:pPr/>
    <w:rPr>
      <w:rFonts w:ascii="Arial" w:hAnsi="Arial" w:cs="Arial"/>
      <w:sz w:val="18"/>
    </w:rPr>
  </w:style>
  <w:style w:type="paragraph" w:styleId="Header">
    <w:name w:val="Header"/>
    <w:basedOn w:val="Normal"/>
    <w:pPr>
      <w:tabs>
        <w:tab w:val="center" w:pos="4536" w:leader="none"/>
        <w:tab w:val="right" w:pos="9072" w:leader="none"/>
      </w:tabs>
    </w:pPr>
    <w:rPr/>
  </w:style>
  <w:style w:type="paragraph" w:styleId="Salutations">
    <w:name w:val="Salutations"/>
    <w:basedOn w:val="Normal"/>
    <w:next w:val="Normal"/>
    <w:qFormat/>
    <w:pPr/>
    <w:rPr>
      <w:sz w:val="24"/>
      <w:szCs w:val="24"/>
      <w:lang w:val="en-GB"/>
    </w:rPr>
  </w:style>
  <w:style w:type="paragraph" w:styleId="Textecourant">
    <w:name w:val="Texte courant"/>
    <w:qFormat/>
    <w:pPr>
      <w:widowControl/>
      <w:spacing w:lineRule="exact" w:line="280" w:before="100" w:after="0"/>
      <w:jc w:val="both"/>
    </w:pPr>
    <w:rPr>
      <w:rFonts w:ascii="Times" w:hAnsi="Times" w:eastAsia="Times New Roman" w:cs="Times"/>
      <w:color w:val="auto"/>
      <w:sz w:val="24"/>
      <w:szCs w:val="20"/>
      <w:lang w:val="fr-FR" w:bidi="ar-SA" w:eastAsia="zh-CN"/>
    </w:rPr>
  </w:style>
  <w:style w:type="paragraph" w:styleId="TEXTEAnglais">
    <w:name w:val="TEXTE Anglais"/>
    <w:basedOn w:val="Normal"/>
    <w:qFormat/>
    <w:pPr>
      <w:spacing w:lineRule="auto" w:line="288"/>
      <w:jc w:val="both"/>
    </w:pPr>
    <w:rPr>
      <w:sz w:val="22"/>
      <w:szCs w:val="24"/>
    </w:rPr>
  </w:style>
  <w:style w:type="paragraph" w:styleId="Textebrut">
    <w:name w:val="Texte brut"/>
    <w:basedOn w:val="Normal"/>
    <w:qFormat/>
    <w:pPr/>
    <w:rPr>
      <w:rFonts w:ascii="Courier New" w:hAnsi="Courier New" w:cs="Courier New"/>
      <w:lang w:val="en-GB"/>
    </w:rPr>
  </w:style>
  <w:style w:type="paragraph" w:styleId="Normalcentr">
    <w:name w:val="Normal centré"/>
    <w:basedOn w:val="Normal"/>
    <w:qFormat/>
    <w:pPr>
      <w:spacing w:lineRule="auto" w:line="288"/>
      <w:ind w:left="567" w:right="-143" w:firstLine="709"/>
      <w:jc w:val="both"/>
    </w:pPr>
    <w:rPr>
      <w:sz w:val="22"/>
    </w:rPr>
  </w:style>
  <w:style w:type="paragraph" w:styleId="NormalWeb">
    <w:name w:val="Normal (Web)"/>
    <w:basedOn w:val="Normal"/>
    <w:qFormat/>
    <w:pPr>
      <w:spacing w:before="100" w:after="100"/>
    </w:pPr>
    <w:rPr>
      <w:rFonts w:eastAsia="MS Mincho;ＭＳ 明朝"/>
      <w:sz w:val="24"/>
      <w:szCs w:val="24"/>
      <w:lang w:val="en-US" w:eastAsia="ja-JP"/>
    </w:rPr>
  </w:style>
  <w:style w:type="paragraph" w:styleId="Contents1">
    <w:name w:val="TOC 1"/>
    <w:basedOn w:val="Normal"/>
    <w:next w:val="Normal"/>
    <w:pPr>
      <w:tabs>
        <w:tab w:val="right" w:pos="8303" w:leader="dot"/>
      </w:tabs>
    </w:pPr>
    <w:rPr>
      <w:rFonts w:ascii="Arial" w:hAnsi="Arial" w:cs="Arial"/>
      <w:b/>
      <w:sz w:val="22"/>
      <w:szCs w:val="24"/>
    </w:rPr>
  </w:style>
  <w:style w:type="paragraph" w:styleId="Contents2">
    <w:name w:val="TOC 2"/>
    <w:basedOn w:val="Normal"/>
    <w:next w:val="Normal"/>
    <w:pPr>
      <w:ind w:left="200" w:hanging="0"/>
    </w:pPr>
    <w:rPr/>
  </w:style>
  <w:style w:type="paragraph" w:styleId="Contents3">
    <w:name w:val="TOC 3"/>
    <w:basedOn w:val="Normal"/>
    <w:next w:val="Normal"/>
    <w:pPr>
      <w:ind w:left="480" w:hanging="0"/>
    </w:pPr>
    <w:rPr>
      <w:sz w:val="24"/>
      <w:szCs w:val="24"/>
      <w:lang w:val="en-GB"/>
    </w:rPr>
  </w:style>
  <w:style w:type="paragraph" w:styleId="Contents4">
    <w:name w:val="TOC 4"/>
    <w:basedOn w:val="Normal"/>
    <w:next w:val="Normal"/>
    <w:pPr>
      <w:ind w:left="720" w:hanging="0"/>
    </w:pPr>
    <w:rPr>
      <w:sz w:val="24"/>
      <w:szCs w:val="24"/>
      <w:lang w:val="en-GB"/>
    </w:rPr>
  </w:style>
  <w:style w:type="paragraph" w:styleId="Contents5">
    <w:name w:val="TOC 5"/>
    <w:basedOn w:val="Normal"/>
    <w:next w:val="Normal"/>
    <w:pPr>
      <w:ind w:left="960" w:hanging="0"/>
    </w:pPr>
    <w:rPr>
      <w:sz w:val="24"/>
      <w:szCs w:val="24"/>
      <w:lang w:val="en-GB"/>
    </w:rPr>
  </w:style>
  <w:style w:type="paragraph" w:styleId="Contents6">
    <w:name w:val="TOC 6"/>
    <w:basedOn w:val="Normal"/>
    <w:next w:val="Normal"/>
    <w:pPr>
      <w:ind w:left="1200" w:hanging="0"/>
    </w:pPr>
    <w:rPr>
      <w:sz w:val="24"/>
      <w:szCs w:val="24"/>
      <w:lang w:val="en-GB"/>
    </w:rPr>
  </w:style>
  <w:style w:type="paragraph" w:styleId="Contents7">
    <w:name w:val="TOC 7"/>
    <w:basedOn w:val="Normal"/>
    <w:next w:val="Normal"/>
    <w:pPr>
      <w:ind w:left="1440" w:hanging="0"/>
    </w:pPr>
    <w:rPr>
      <w:sz w:val="24"/>
      <w:szCs w:val="24"/>
      <w:lang w:val="en-GB"/>
    </w:rPr>
  </w:style>
  <w:style w:type="paragraph" w:styleId="Contents8">
    <w:name w:val="TOC 8"/>
    <w:basedOn w:val="Normal"/>
    <w:next w:val="Normal"/>
    <w:pPr>
      <w:ind w:left="1680" w:hanging="0"/>
    </w:pPr>
    <w:rPr>
      <w:sz w:val="24"/>
      <w:szCs w:val="24"/>
      <w:lang w:val="en-GB"/>
    </w:rPr>
  </w:style>
  <w:style w:type="paragraph" w:styleId="Contents9">
    <w:name w:val="TOC 9"/>
    <w:basedOn w:val="Normal"/>
    <w:next w:val="Normal"/>
    <w:pPr>
      <w:ind w:left="1920" w:hanging="0"/>
    </w:pPr>
    <w:rPr>
      <w:sz w:val="24"/>
      <w:szCs w:val="24"/>
      <w:lang w:val="en-GB"/>
    </w:rPr>
  </w:style>
  <w:style w:type="paragraph" w:styleId="BalloonText1">
    <w:name w:val="Balloon Text1"/>
    <w:basedOn w:val="Normal"/>
    <w:qFormat/>
    <w:pPr/>
    <w:rPr>
      <w:rFonts w:ascii="Tahoma" w:hAnsi="Tahoma" w:cs="Tahoma"/>
      <w:sz w:val="16"/>
      <w:szCs w:val="16"/>
    </w:rPr>
  </w:style>
  <w:style w:type="paragraph" w:styleId="Paragraphedeliste">
    <w:name w:val="Paragraphe de liste"/>
    <w:basedOn w:val="Normal"/>
    <w:qFormat/>
    <w:pPr>
      <w:spacing w:before="0" w:after="0"/>
      <w:ind w:left="720" w:hanging="0"/>
      <w:contextualSpacing/>
    </w:pPr>
    <w:rPr>
      <w:sz w:val="24"/>
      <w:szCs w:val="24"/>
      <w:lang w:eastAsia="zh-C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LibreOffice/5.3.6.1$Linux_X86_64 LibreOffice_project/30$Build-1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2019-02-08T16:49:00Z</dcterms:created>
  <dc:creator/>
  <dc:description/>
  <dc:language>en-GB</dc:language>
  <cp:lastModifiedBy/>
  <cp:lastPrinted>2016-11-07T14:20:00Z</cp:lastPrinted>
  <dcterms:modified xsi:type="dcterms:W3CDTF">2019-02-08T16:49:00Z</dcterms:modified>
  <cp:revision>2</cp:revision>
  <dc:subject/>
  <dc:title>PROJET</dc:title>
</cp:coreProperties>
</file>