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2">
                <wp:simplePos x="0" y="0"/>
                <wp:positionH relativeFrom="column">
                  <wp:posOffset>114300</wp:posOffset>
                </wp:positionH>
                <wp:positionV relativeFrom="paragraph">
                  <wp:posOffset>124460</wp:posOffset>
                </wp:positionV>
                <wp:extent cx="5944235" cy="2160905"/>
                <wp:effectExtent l="0" t="0" r="0" b="0"/>
                <wp:wrapNone/>
                <wp:docPr id="1" name=""/>
                <a:graphic xmlns:a="http://schemas.openxmlformats.org/drawingml/2006/main">
                  <a:graphicData uri="http://schemas.microsoft.com/office/word/2010/wordprocessingShape">
                    <wps:wsp>
                      <wps:cNvSpPr/>
                      <wps:spPr>
                        <a:xfrm>
                          <a:off x="0" y="0"/>
                          <a:ext cx="5943600" cy="2160360"/>
                        </a:xfrm>
                        <a:custGeom>
                          <a:avLst/>
                          <a:gdLst/>
                          <a:ahLst/>
                          <a:rect l="0" t="0" r="r" b="b"/>
                          <a:pathLst>
                            <a:path w="9362" h="3404">
                              <a:moveTo>
                                <a:pt x="567" y="0"/>
                              </a:moveTo>
                              <a:cubicBezTo>
                                <a:pt x="283" y="0"/>
                                <a:pt x="0" y="283"/>
                                <a:pt x="0" y="567"/>
                              </a:cubicBezTo>
                              <a:lnTo>
                                <a:pt x="0" y="2835"/>
                              </a:lnTo>
                              <a:cubicBezTo>
                                <a:pt x="0" y="3119"/>
                                <a:pt x="283" y="3403"/>
                                <a:pt x="567" y="3403"/>
                              </a:cubicBezTo>
                              <a:lnTo>
                                <a:pt x="8793" y="3403"/>
                              </a:lnTo>
                              <a:cubicBezTo>
                                <a:pt x="9077" y="3403"/>
                                <a:pt x="9361" y="3119"/>
                                <a:pt x="9361" y="2835"/>
                              </a:cubicBezTo>
                              <a:lnTo>
                                <a:pt x="9361" y="567"/>
                              </a:lnTo>
                              <a:cubicBezTo>
                                <a:pt x="9361" y="283"/>
                                <a:pt x="9077" y="0"/>
                                <a:pt x="8793" y="0"/>
                              </a:cubicBezTo>
                              <a:lnTo>
                                <a:pt x="567"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Établissement secondaire de : AERM</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70.0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Établissement secondaire de : AERM</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AERM d’Orange, représentée par Monsieur en sa qualité de Directeur d’unité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p>
      <w:pPr>
        <w:pStyle w:val="Normal"/>
        <w:numPr>
          <w:ilvl w:val="0"/>
          <w:numId w:val="4"/>
        </w:numPr>
        <w:jc w:val="left"/>
        <w:rPr>
          <w:bCs/>
          <w:szCs w:val="28"/>
        </w:rPr>
      </w:pPr>
      <w:r>
        <w:rPr>
          <w:bCs/>
          <w:szCs w:val="28"/>
        </w:rPr>
        <w:t>pour la CFDT</w:t>
      </w:r>
    </w:p>
    <w:p>
      <w:pPr>
        <w:pStyle w:val="Normal"/>
        <w:jc w:val="left"/>
        <w:rPr>
          <w:bCs/>
          <w:szCs w:val="28"/>
        </w:rPr>
      </w:pPr>
      <w:r>
        <w:rPr>
          <w:bCs/>
          <w:szCs w:val="28"/>
        </w:rPr>
      </w:r>
    </w:p>
    <w:p>
      <w:pPr>
        <w:pStyle w:val="Normal"/>
        <w:numPr>
          <w:ilvl w:val="0"/>
          <w:numId w:val="3"/>
        </w:numPr>
        <w:jc w:val="left"/>
        <w:rPr>
          <w:bCs/>
          <w:szCs w:val="28"/>
        </w:rPr>
      </w:pPr>
      <w:r>
        <w:rPr>
          <w:bCs/>
          <w:szCs w:val="28"/>
        </w:rPr>
        <w:t>pour la CFE-CGC</w:t>
      </w:r>
    </w:p>
    <w:p>
      <w:pPr>
        <w:pStyle w:val="Normal"/>
        <w:jc w:val="left"/>
        <w:rPr>
          <w:bCs/>
          <w:szCs w:val="28"/>
        </w:rPr>
      </w:pPr>
      <w:r>
        <w:rPr>
          <w:bCs/>
          <w:szCs w:val="28"/>
        </w:rPr>
      </w:r>
    </w:p>
    <w:p>
      <w:pPr>
        <w:pStyle w:val="Normal"/>
        <w:numPr>
          <w:ilvl w:val="0"/>
          <w:numId w:val="3"/>
        </w:numPr>
        <w:jc w:val="left"/>
        <w:rPr>
          <w:bCs/>
          <w:szCs w:val="28"/>
        </w:rPr>
      </w:pPr>
      <w:r>
        <w:rPr>
          <w:bCs/>
          <w:szCs w:val="28"/>
        </w:rPr>
        <w:t>pour la CFTC</w:t>
      </w:r>
    </w:p>
    <w:p>
      <w:pPr>
        <w:pStyle w:val="Normal"/>
        <w:jc w:val="left"/>
        <w:rPr>
          <w:bCs/>
          <w:szCs w:val="28"/>
        </w:rPr>
      </w:pPr>
      <w:r>
        <w:rPr>
          <w:bCs/>
          <w:szCs w:val="28"/>
        </w:rPr>
      </w:r>
    </w:p>
    <w:p>
      <w:pPr>
        <w:pStyle w:val="Normal"/>
        <w:numPr>
          <w:ilvl w:val="0"/>
          <w:numId w:val="3"/>
        </w:numPr>
        <w:jc w:val="left"/>
        <w:rPr>
          <w:bCs/>
          <w:szCs w:val="28"/>
        </w:rPr>
      </w:pPr>
      <w:r>
        <w:rPr>
          <w:bCs/>
          <w:szCs w:val="28"/>
        </w:rPr>
        <w:t>pour la CGT</w:t>
      </w:r>
    </w:p>
    <w:p>
      <w:pPr>
        <w:pStyle w:val="Normal"/>
        <w:jc w:val="left"/>
        <w:rPr>
          <w:bCs/>
          <w:szCs w:val="28"/>
        </w:rPr>
      </w:pPr>
      <w:r>
        <w:rPr>
          <w:bCs/>
          <w:szCs w:val="28"/>
        </w:rPr>
      </w:r>
    </w:p>
    <w:p>
      <w:pPr>
        <w:pStyle w:val="Normal"/>
        <w:numPr>
          <w:ilvl w:val="0"/>
          <w:numId w:val="3"/>
        </w:numPr>
        <w:jc w:val="left"/>
        <w:rPr>
          <w:bCs/>
          <w:szCs w:val="28"/>
        </w:rPr>
      </w:pPr>
      <w:r>
        <w:rPr>
          <w:bCs/>
          <w:szCs w:val="28"/>
        </w:rPr>
        <w:t>pour FO</w:t>
      </w:r>
    </w:p>
    <w:p>
      <w:pPr>
        <w:pStyle w:val="Normal"/>
        <w:jc w:val="left"/>
        <w:rPr>
          <w:bCs/>
          <w:szCs w:val="28"/>
        </w:rPr>
      </w:pPr>
      <w:r>
        <w:rPr>
          <w:bCs/>
          <w:szCs w:val="28"/>
        </w:rPr>
      </w:r>
    </w:p>
    <w:p>
      <w:pPr>
        <w:pStyle w:val="Normal"/>
        <w:numPr>
          <w:ilvl w:val="0"/>
          <w:numId w:val="3"/>
        </w:numPr>
        <w:jc w:val="left"/>
        <w:rPr>
          <w:bCs/>
          <w:szCs w:val="28"/>
        </w:rPr>
      </w:pPr>
      <w:r>
        <w:rPr>
          <w:bCs/>
          <w:szCs w:val="28"/>
        </w:rPr>
        <w:t>pour SUD</w:t>
      </w:r>
    </w:p>
    <w:p>
      <w:pPr>
        <w:pStyle w:val="Normal"/>
        <w:jc w:val="left"/>
        <w:rPr>
          <w:bCs/>
          <w:szCs w:val="28"/>
        </w:rPr>
      </w:pPr>
      <w:r>
        <w:rPr>
          <w:bCs/>
          <w:szCs w:val="28"/>
        </w:rPr>
      </w:r>
    </w:p>
    <w:p>
      <w:pPr>
        <w:pStyle w:val="Normal"/>
        <w:numPr>
          <w:ilvl w:val="0"/>
          <w:numId w:val="3"/>
        </w:numPr>
        <w:jc w:val="left"/>
        <w:rPr>
          <w:bCs/>
          <w:szCs w:val="28"/>
        </w:rPr>
      </w:pPr>
      <w:r>
        <w:rPr>
          <w:bCs/>
          <w:szCs w:val="28"/>
        </w:rPr>
        <w:t>pour l’UNSA</w:t>
      </w:r>
    </w:p>
    <w:p>
      <w:pPr>
        <w:pStyle w:val="Normal"/>
        <w:jc w:val="left"/>
        <w:rPr>
          <w:bCs/>
          <w:szCs w:val="28"/>
        </w:rPr>
      </w:pPr>
      <w:r>
        <w:rPr>
          <w:bCs/>
          <w:szCs w:val="28"/>
        </w:rPr>
      </w:r>
    </w:p>
    <w:p>
      <w:pPr>
        <w:pStyle w:val="Normal"/>
        <w:numPr>
          <w:ilvl w:val="0"/>
          <w:numId w:val="3"/>
        </w:numPr>
        <w:jc w:val="left"/>
        <w:rPr>
          <w:bCs/>
          <w:szCs w:val="28"/>
        </w:rPr>
      </w:pPr>
      <w:r>
        <w:rPr>
          <w:bCs/>
          <w:szCs w:val="28"/>
        </w:rPr>
        <w:t>pour le SNE</w:t>
      </w:r>
    </w:p>
    <w:p>
      <w:pPr>
        <w:pStyle w:val="Normal"/>
        <w:jc w:val="left"/>
        <w:rPr>
          <w:bCs/>
          <w:szCs w:val="28"/>
        </w:rPr>
      </w:pPr>
      <w:r>
        <w:rPr>
          <w:bCs/>
          <w:szCs w:val="28"/>
        </w:rPr>
      </w:r>
    </w:p>
    <w:p>
      <w:pPr>
        <w:pStyle w:val="Normal"/>
        <w:numPr>
          <w:ilvl w:val="0"/>
          <w:numId w:val="3"/>
        </w:numPr>
        <w:jc w:val="left"/>
        <w:rPr>
          <w:bCs/>
          <w:szCs w:val="28"/>
        </w:rPr>
      </w:pPr>
      <w:r>
        <w:rPr>
          <w:bCs/>
          <w:szCs w:val="28"/>
        </w:rPr>
        <w:t>pour Orange Ensemble</w:t>
      </w:r>
    </w:p>
    <w:p>
      <w:pPr>
        <w:pStyle w:val="Normal"/>
        <w:jc w:val="left"/>
        <w:rPr>
          <w:bCs/>
          <w:szCs w:val="28"/>
        </w:rPr>
      </w:pPr>
      <w:r>
        <w:rPr>
          <w:bCs/>
          <w:szCs w:val="28"/>
        </w:rPr>
      </w:r>
    </w:p>
    <w:p>
      <w:pPr>
        <w:pStyle w:val="Normal"/>
        <w:rPr>
          <w:bCs/>
          <w:szCs w:val="28"/>
        </w:rPr>
      </w:pPr>
      <w:r>
        <w:rPr>
          <w:bCs/>
          <w:szCs w:val="28"/>
        </w:rPr>
      </w:r>
    </w:p>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Le présent accord concerne l’établissement secondaire AERM tel que défini dans l’accord sur l’architecture des Instances Représentatives du Personnel dans le cadre de l’UES du 7 juin 2017 (IRP) dans le cadre de l’Unité économique et sociale (UES).</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Les Parties s'entendent pour considérer que les accords DP conclus à l'occasion des précédentes élections concernant le périmètre AERM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rPr>
          <w:b/>
          <w:b/>
        </w:rPr>
      </w:pPr>
      <w:r>
        <w:rPr>
          <w:b/>
        </w:rPr>
      </w:r>
    </w:p>
    <w:p>
      <w:pPr>
        <w:pStyle w:val="Normal"/>
        <w:rPr/>
      </w:pPr>
      <w:r>
        <w:rPr/>
        <w:t>Il est rappelé qu’en application de l’article 3.1 de l’accord sur les moyens aux Instances représentatives du personnel d’Orange SA du 20 janvier 2017:</w:t>
      </w:r>
    </w:p>
    <w:p>
      <w:pPr>
        <w:pStyle w:val="Normal"/>
        <w:rPr/>
      </w:pPr>
      <w:r>
        <w:rPr/>
      </w:r>
    </w:p>
    <w:p>
      <w:pPr>
        <w:pStyle w:val="Normal"/>
        <w:spacing w:before="0" w:after="120"/>
        <w:rPr/>
      </w:pPr>
      <w:r>
        <w:rPr>
          <w:b/>
        </w:rPr>
        <w:t>1.1-</w:t>
      </w:r>
      <w:r>
        <w:rPr/>
        <w:t xml:space="preserve"> par principe, un EDP est créé :</w:t>
      </w:r>
    </w:p>
    <w:p>
      <w:pPr>
        <w:pStyle w:val="Normal"/>
        <w:spacing w:before="0" w:after="120"/>
        <w:rPr/>
      </w:pPr>
      <w:r>
        <w:rPr/>
        <w:tab/>
        <w:t xml:space="preserve">* sur chaque site dans lequel travaillent plus de 80 effectifs actifs relevant de </w:t>
        <w:tab/>
        <w:t>l’établissement secondaire AERM</w:t>
      </w:r>
    </w:p>
    <w:p>
      <w:pPr>
        <w:pStyle w:val="Normal"/>
        <w:rPr/>
      </w:pPr>
      <w:r>
        <w:rPr/>
        <w:tab/>
        <w:t xml:space="preserve">* dans tout département administratif dans lequel travaillent plus de 80 effectifs actifs </w:t>
        <w:tab/>
        <w:t>relevant de l’établissement secondaire AERM</w:t>
      </w:r>
    </w:p>
    <w:p>
      <w:pPr>
        <w:pStyle w:val="Normal"/>
        <w:rPr/>
      </w:pPr>
      <w:r>
        <w:rPr/>
      </w:r>
    </w:p>
    <w:p>
      <w:pPr>
        <w:pStyle w:val="Normal"/>
        <w:spacing w:before="0" w:after="120"/>
        <w:rPr/>
      </w:pPr>
      <w:r>
        <w:rPr>
          <w:b/>
        </w:rPr>
        <w:t>1.2-</w:t>
      </w:r>
      <w:r>
        <w:rPr/>
        <w:t xml:space="preserve"> par exception (et donc signature du présent accord) :</w:t>
      </w:r>
    </w:p>
    <w:p>
      <w:pPr>
        <w:pStyle w:val="Normal"/>
        <w:spacing w:before="0" w:after="120"/>
        <w:ind w:left="705" w:hanging="0"/>
        <w:rPr/>
      </w:pPr>
      <w:r>
        <w:rPr/>
        <w:t xml:space="preserve">* un seul et unique EDP pourra être créé, qui concernera plusieurs sites d’une même </w:t>
        <w:tab/>
        <w:t xml:space="preserve">commune regroupant chacun plus de 80 effectifs actifs appartenant tous à l’établissement </w:t>
        <w:tab/>
        <w:t>secondaire AERM (plutôt que de créer autant d’EDP que de sites existants occupant chacun plus de 80 effectifs actifs) ;</w:t>
      </w:r>
    </w:p>
    <w:p>
      <w:pPr>
        <w:pStyle w:val="Normal"/>
        <w:ind w:left="705" w:hanging="0"/>
        <w:jc w:val="left"/>
        <w:rPr/>
      </w:pPr>
      <w:r>
        <w:rPr/>
        <w:t xml:space="preserve">* les sites sur lesquels travaillent au maximum 80 effectifs actifs relevant de l’établissement </w:t>
        <w:tab/>
        <w:t>secondaire AERM pourront être rattachés à un EDP créé pour cet établissement secondaire, dans le même département administratif où se situe le site ou dans un département limitrophe ;</w:t>
      </w:r>
    </w:p>
    <w:p>
      <w:pPr>
        <w:pStyle w:val="Normal"/>
        <w:ind w:left="705" w:hanging="0"/>
        <w:rPr/>
      </w:pPr>
      <w:r>
        <w:rPr/>
        <w:t xml:space="preserve">* lorsqu’aucun rattachement à un EDP créé pour l’établissement secondaire AERM ne sera possible en application des règles ci-dessus rappelées, alors un EDP pourra être créé, qui </w:t>
        <w:tab/>
        <w:t>concernera 80 effectifs actifs au maximum.</w:t>
      </w:r>
    </w:p>
    <w:p>
      <w:pPr>
        <w:pStyle w:val="Normal"/>
        <w:rPr>
          <w:i/>
          <w:i/>
          <w:iCs/>
        </w:rPr>
      </w:pPr>
      <w:r>
        <w:rPr>
          <w:i/>
          <w:iCs/>
        </w:rPr>
      </w:r>
    </w:p>
    <w:p>
      <w:pPr>
        <w:pStyle w:val="Header"/>
        <w:rPr>
          <w:i/>
          <w:i/>
          <w:iCs/>
        </w:rPr>
      </w:pPr>
      <w:r>
        <w:rPr>
          <w:i/>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ing1"/>
        <w:rPr/>
      </w:pPr>
      <w:r>
        <w:rPr/>
        <w:t>Article 2 :</w:t>
        <w:tab/>
        <w:t xml:space="preserve"> Liste des EDP de l’établissement secondaire AERM créés en application des principes visés à l’article 1.1 du présent accord</w:t>
      </w:r>
    </w:p>
    <w:p>
      <w:pPr>
        <w:pStyle w:val="Normal"/>
        <w:rPr/>
      </w:pPr>
      <w:r>
        <w:rPr/>
      </w:r>
    </w:p>
    <w:p>
      <w:pPr>
        <w:pStyle w:val="Normal"/>
        <w:rPr/>
      </w:pPr>
      <w: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18"/>
        <w:gridCol w:w="3260"/>
        <w:gridCol w:w="1560"/>
        <w:gridCol w:w="1427"/>
        <w:gridCol w:w="1099"/>
      </w:tblGrid>
      <w:tr>
        <w:trPr>
          <w:cantSplit w:val="true"/>
        </w:trPr>
        <w:tc>
          <w:tcPr>
            <w:tcW w:w="251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rPr>
            </w:pPr>
            <w:r>
              <w:rPr>
                <w:b/>
                <w:bCs/>
              </w:rPr>
              <w:t>Établissement EDP</w:t>
            </w:r>
          </w:p>
        </w:tc>
        <w:tc>
          <w:tcPr>
            <w:tcW w:w="32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rPr>
            </w:pPr>
            <w:r>
              <w:rPr>
                <w:b/>
                <w:bCs/>
              </w:rPr>
              <w:t>Adresses rattachées (+ ETP)</w:t>
            </w:r>
          </w:p>
        </w:tc>
        <w:tc>
          <w:tcPr>
            <w:tcW w:w="40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rPr>
            </w:pPr>
            <w:r>
              <w:rPr>
                <w:b/>
                <w:bCs/>
              </w:rPr>
              <w:t>Total effectifs établissement</w:t>
            </w:r>
          </w:p>
        </w:tc>
      </w:tr>
      <w:tr>
        <w:trPr>
          <w:cantSplit w:val="true"/>
        </w:trPr>
        <w:tc>
          <w:tcPr>
            <w:tcW w:w="251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rPr>
            </w:pPr>
            <w:r>
              <w:rPr>
                <w:b/>
                <w:bCs/>
              </w:rPr>
            </w:r>
          </w:p>
        </w:tc>
        <w:tc>
          <w:tcPr>
            <w:tcW w:w="32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rPr>
            </w:pPr>
            <w:r>
              <w:rPr>
                <w:b/>
                <w:bCs/>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sz w:val="20"/>
              </w:rPr>
              <w:t>collège 1</w:t>
            </w:r>
          </w:p>
        </w:tc>
        <w:tc>
          <w:tcPr>
            <w:tcW w:w="1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sz w:val="20"/>
              </w:rPr>
              <w:t>collège 2</w:t>
            </w:r>
          </w:p>
        </w:tc>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Total</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sz w:val="18"/>
              </w:rPr>
            </w:pPr>
            <w:r>
              <w:rPr>
                <w:b/>
                <w:bCs/>
                <w:sz w:val="18"/>
              </w:rPr>
            </w:r>
          </w:p>
          <w:p>
            <w:pPr>
              <w:pStyle w:val="Normal"/>
              <w:jc w:val="center"/>
              <w:rPr>
                <w:b/>
                <w:b/>
                <w:bCs/>
                <w:sz w:val="18"/>
              </w:rPr>
            </w:pPr>
            <w:r>
              <w:rPr>
                <w:b/>
                <w:bCs/>
                <w:sz w:val="18"/>
              </w:rPr>
              <w:t>Établissement n°1</w:t>
            </w:r>
          </w:p>
          <w:p>
            <w:pPr>
              <w:pStyle w:val="Normal"/>
              <w:jc w:val="center"/>
              <w:rPr>
                <w:b/>
                <w:b/>
                <w:bCs/>
                <w:sz w:val="18"/>
              </w:rPr>
            </w:pPr>
            <w:r>
              <w:rPr>
                <w:b/>
                <w:bCs/>
                <w:sz w:val="18"/>
              </w:rPr>
              <w:t>Marseille Vallée du Rhône</w:t>
            </w:r>
          </w:p>
          <w:p>
            <w:pPr>
              <w:pStyle w:val="Normal"/>
              <w:jc w:val="center"/>
              <w:rPr>
                <w:b/>
                <w:b/>
                <w:bCs/>
                <w:sz w:val="18"/>
              </w:rPr>
            </w:pPr>
            <w:r>
              <w:rPr>
                <w:b/>
                <w:bCs/>
                <w:sz w:val="18"/>
              </w:rPr>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18"/>
              </w:rPr>
            </w:pPr>
            <w:r>
              <w:rPr>
                <w:sz w:val="18"/>
              </w:rPr>
            </w:r>
          </w:p>
          <w:p>
            <w:pPr>
              <w:pStyle w:val="Normal"/>
              <w:jc w:val="center"/>
              <w:rPr>
                <w:sz w:val="18"/>
              </w:rPr>
            </w:pPr>
            <w:r>
              <w:rPr>
                <w:sz w:val="18"/>
              </w:rPr>
              <w:t>2 rue Jules Ferry</w:t>
            </w:r>
          </w:p>
          <w:p>
            <w:pPr>
              <w:pStyle w:val="Normal"/>
              <w:jc w:val="center"/>
              <w:rPr>
                <w:sz w:val="18"/>
              </w:rPr>
            </w:pPr>
            <w:r>
              <w:rPr>
                <w:sz w:val="18"/>
              </w:rPr>
              <w:t>13003 Marseille</w:t>
            </w:r>
          </w:p>
          <w:p>
            <w:pPr>
              <w:pStyle w:val="Normal"/>
              <w:rPr>
                <w:sz w:val="18"/>
              </w:rPr>
            </w:pPr>
            <w:r>
              <w:rPr>
                <w:sz w:val="18"/>
              </w:rPr>
            </w:r>
          </w:p>
        </w:tc>
        <w:tc>
          <w:tcPr>
            <w:tcW w:w="1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18"/>
              </w:rPr>
            </w:pPr>
            <w:r>
              <w:rPr>
                <w:sz w:val="18"/>
              </w:rPr>
            </w:r>
          </w:p>
          <w:p>
            <w:pPr>
              <w:pStyle w:val="Normal"/>
              <w:jc w:val="center"/>
              <w:rPr>
                <w:sz w:val="18"/>
              </w:rPr>
            </w:pPr>
            <w:r>
              <w:rPr>
                <w:sz w:val="18"/>
              </w:rPr>
              <w:t>109,67</w:t>
            </w:r>
          </w:p>
        </w:tc>
        <w:tc>
          <w:tcPr>
            <w:tcW w:w="1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18"/>
              </w:rPr>
            </w:pPr>
            <w:r>
              <w:rPr>
                <w:sz w:val="18"/>
              </w:rPr>
            </w:r>
          </w:p>
          <w:p>
            <w:pPr>
              <w:pStyle w:val="Normal"/>
              <w:jc w:val="center"/>
              <w:rPr>
                <w:sz w:val="18"/>
              </w:rPr>
            </w:pPr>
            <w:r>
              <w:rPr>
                <w:sz w:val="18"/>
              </w:rPr>
              <w:t>203,30</w:t>
            </w:r>
          </w:p>
        </w:tc>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18"/>
              </w:rPr>
            </w:pPr>
            <w:r>
              <w:rPr>
                <w:sz w:val="18"/>
              </w:rPr>
            </w:r>
          </w:p>
          <w:p>
            <w:pPr>
              <w:pStyle w:val="Normal"/>
              <w:jc w:val="center"/>
              <w:rPr>
                <w:sz w:val="18"/>
              </w:rPr>
            </w:pPr>
            <w:r>
              <w:rPr>
                <w:sz w:val="18"/>
              </w:rPr>
              <w:t>312,97</w:t>
            </w:r>
          </w:p>
        </w:tc>
      </w:tr>
    </w:tbl>
    <w:p>
      <w:pPr>
        <w:pStyle w:val="Normal"/>
        <w:rPr/>
      </w:pPr>
      <w:r>
        <w:rPr/>
      </w:r>
    </w:p>
    <w:p>
      <w:pPr>
        <w:pStyle w:val="Heading1"/>
        <w:rPr/>
      </w:pPr>
      <w:r>
        <w:rPr/>
        <w:t>Article 3 :</w:t>
        <w:tab/>
        <w:t xml:space="preserve">Liste des EDP de l’établissement secondaire AERM créés en application des règles visées à l’article 1.2 du présent accord </w:t>
      </w:r>
    </w:p>
    <w:p>
      <w:pPr>
        <w:pStyle w:val="Normal"/>
        <w:rPr/>
      </w:pPr>
      <w:r>
        <w:rPr/>
      </w:r>
    </w:p>
    <w:p>
      <w:pPr>
        <w:pStyle w:val="Normal"/>
        <w:rPr/>
      </w:pPr>
      <w: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809"/>
        <w:gridCol w:w="4820"/>
        <w:gridCol w:w="1134"/>
        <w:gridCol w:w="1134"/>
        <w:gridCol w:w="967"/>
      </w:tblGrid>
      <w:tr>
        <w:trPr>
          <w:cantSplit w:val="true"/>
        </w:trPr>
        <w:tc>
          <w:tcPr>
            <w:tcW w:w="18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rPr>
            </w:pPr>
            <w:r>
              <w:rPr>
                <w:b/>
                <w:bCs/>
              </w:rPr>
              <w:t>Établissement EDP</w:t>
            </w:r>
          </w:p>
        </w:tc>
        <w:tc>
          <w:tcPr>
            <w:tcW w:w="482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rPr>
            </w:pPr>
            <w:r>
              <w:rPr>
                <w:b/>
                <w:bCs/>
              </w:rPr>
              <w:t>Adresses rattachées (+ ETP)</w:t>
            </w:r>
          </w:p>
        </w:tc>
        <w:tc>
          <w:tcPr>
            <w:tcW w:w="32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rPr>
            </w:pPr>
            <w:r>
              <w:rPr>
                <w:b/>
                <w:bCs/>
              </w:rPr>
              <w:t>Total effectifs établissement</w:t>
            </w:r>
          </w:p>
        </w:tc>
      </w:tr>
      <w:tr>
        <w:trPr>
          <w:cantSplit w:val="true"/>
        </w:trPr>
        <w:tc>
          <w:tcPr>
            <w:tcW w:w="18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rPr>
            </w:pPr>
            <w:r>
              <w:rPr>
                <w:b/>
                <w:bCs/>
              </w:rPr>
            </w:r>
          </w:p>
        </w:tc>
        <w:tc>
          <w:tcPr>
            <w:tcW w:w="482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rPr>
            </w:pPr>
            <w:r>
              <w:rPr>
                <w:b/>
                <w:bCs/>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sz w:val="20"/>
              </w:rPr>
              <w:t>collège 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sz w:val="20"/>
              </w:rPr>
              <w:t>collège 2</w:t>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Total</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18"/>
              </w:rPr>
            </w:pPr>
            <w:r>
              <w:rPr>
                <w:b/>
                <w:bCs/>
                <w:sz w:val="18"/>
              </w:rPr>
              <w:t>Établissement n°1</w:t>
            </w:r>
          </w:p>
          <w:p>
            <w:pPr>
              <w:pStyle w:val="Normal"/>
              <w:jc w:val="center"/>
              <w:rPr>
                <w:b/>
                <w:b/>
                <w:bCs/>
                <w:sz w:val="18"/>
              </w:rPr>
            </w:pPr>
            <w:r>
              <w:rPr>
                <w:b/>
                <w:bCs/>
                <w:sz w:val="18"/>
              </w:rPr>
              <w:t>Marseille - Vallée du Rhône</w:t>
            </w:r>
          </w:p>
          <w:p>
            <w:pPr>
              <w:pStyle w:val="Normal"/>
              <w:jc w:val="center"/>
              <w:rPr>
                <w:b/>
                <w:b/>
                <w:bCs/>
                <w:sz w:val="18"/>
              </w:rPr>
            </w:pPr>
            <w:r>
              <w:rPr>
                <w:b/>
                <w:bCs/>
                <w:sz w:val="18"/>
              </w:rPr>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szCs w:val="18"/>
              </w:rPr>
            </w:pPr>
            <w:r>
              <w:rPr>
                <w:sz w:val="18"/>
                <w:szCs w:val="18"/>
              </w:rPr>
              <w:t>2 rue jules Ferry 13003 Marseille</w:t>
            </w:r>
          </w:p>
          <w:p>
            <w:pPr>
              <w:pStyle w:val="Normal"/>
              <w:jc w:val="center"/>
              <w:rPr>
                <w:sz w:val="18"/>
                <w:szCs w:val="18"/>
              </w:rPr>
            </w:pPr>
            <w:r>
              <w:rPr>
                <w:sz w:val="18"/>
                <w:szCs w:val="18"/>
              </w:rPr>
              <w:t>93 rue Félix Pyat 13003 Marseille</w:t>
            </w:r>
          </w:p>
          <w:p>
            <w:pPr>
              <w:pStyle w:val="Normal"/>
              <w:jc w:val="center"/>
              <w:rPr>
                <w:sz w:val="18"/>
                <w:szCs w:val="18"/>
              </w:rPr>
            </w:pPr>
            <w:r>
              <w:rPr>
                <w:sz w:val="18"/>
                <w:szCs w:val="18"/>
              </w:rPr>
              <w:t>2 place de la Joliette 13002 Marseille</w:t>
            </w:r>
          </w:p>
          <w:p>
            <w:pPr>
              <w:pStyle w:val="Normal"/>
              <w:jc w:val="center"/>
              <w:rPr>
                <w:sz w:val="18"/>
                <w:szCs w:val="18"/>
              </w:rPr>
            </w:pPr>
            <w:r>
              <w:rPr>
                <w:sz w:val="18"/>
                <w:szCs w:val="18"/>
              </w:rPr>
              <w:t>305 rue Maurice Aicardi Lejard 13100 Aix en Provence</w:t>
            </w:r>
          </w:p>
          <w:p>
            <w:pPr>
              <w:pStyle w:val="Normal"/>
              <w:jc w:val="center"/>
              <w:rPr>
                <w:sz w:val="18"/>
                <w:szCs w:val="18"/>
              </w:rPr>
            </w:pPr>
            <w:r>
              <w:rPr>
                <w:sz w:val="18"/>
                <w:szCs w:val="18"/>
              </w:rPr>
              <w:t>rue Gaspard Monge- ZI Sud 13200 Arles</w:t>
            </w:r>
          </w:p>
          <w:p>
            <w:pPr>
              <w:pStyle w:val="Normal"/>
              <w:jc w:val="center"/>
              <w:rPr>
                <w:sz w:val="18"/>
                <w:szCs w:val="18"/>
              </w:rPr>
            </w:pPr>
            <w:r>
              <w:rPr>
                <w:sz w:val="18"/>
                <w:szCs w:val="18"/>
              </w:rPr>
              <w:t>Avenue du Roi Soleil 84000 Avignon</w:t>
            </w:r>
          </w:p>
          <w:p>
            <w:pPr>
              <w:pStyle w:val="Normal"/>
              <w:jc w:val="center"/>
              <w:rPr>
                <w:sz w:val="18"/>
                <w:szCs w:val="18"/>
              </w:rPr>
            </w:pPr>
            <w:r>
              <w:rPr>
                <w:sz w:val="18"/>
                <w:szCs w:val="18"/>
              </w:rPr>
              <w:t>10 rue de la Cécile 26000 Valence</w:t>
            </w:r>
          </w:p>
          <w:p>
            <w:pPr>
              <w:pStyle w:val="Normal"/>
              <w:rPr>
                <w:sz w:val="18"/>
                <w:szCs w:val="18"/>
              </w:rPr>
            </w:pPr>
            <w:r>
              <w:rPr>
                <w:sz w:val="18"/>
                <w:szCs w:val="1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109,67</w:t>
            </w:r>
          </w:p>
          <w:p>
            <w:pPr>
              <w:pStyle w:val="Normal"/>
              <w:jc w:val="center"/>
              <w:rPr>
                <w:sz w:val="18"/>
              </w:rPr>
            </w:pPr>
            <w:r>
              <w:rPr>
                <w:sz w:val="18"/>
              </w:rPr>
              <w:t>15,50</w:t>
            </w:r>
          </w:p>
          <w:p>
            <w:pPr>
              <w:pStyle w:val="Normal"/>
              <w:jc w:val="center"/>
              <w:rPr>
                <w:sz w:val="18"/>
              </w:rPr>
            </w:pPr>
            <w:r>
              <w:rPr>
                <w:sz w:val="18"/>
              </w:rPr>
              <w:t>0,00</w:t>
            </w:r>
          </w:p>
          <w:p>
            <w:pPr>
              <w:pStyle w:val="Normal"/>
              <w:jc w:val="center"/>
              <w:rPr>
                <w:sz w:val="18"/>
              </w:rPr>
            </w:pPr>
            <w:r>
              <w:rPr>
                <w:sz w:val="18"/>
              </w:rPr>
              <w:t>2,00</w:t>
            </w:r>
          </w:p>
          <w:p>
            <w:pPr>
              <w:pStyle w:val="Normal"/>
              <w:jc w:val="center"/>
              <w:rPr>
                <w:sz w:val="18"/>
              </w:rPr>
            </w:pPr>
            <w:r>
              <w:rPr>
                <w:sz w:val="18"/>
              </w:rPr>
              <w:t>4,00</w:t>
            </w:r>
          </w:p>
          <w:p>
            <w:pPr>
              <w:pStyle w:val="Normal"/>
              <w:jc w:val="center"/>
              <w:rPr>
                <w:sz w:val="18"/>
              </w:rPr>
            </w:pPr>
            <w:r>
              <w:rPr>
                <w:sz w:val="18"/>
              </w:rPr>
              <w:t>1,00</w:t>
            </w:r>
          </w:p>
          <w:p>
            <w:pPr>
              <w:pStyle w:val="Normal"/>
              <w:jc w:val="center"/>
              <w:rPr>
                <w:sz w:val="18"/>
              </w:rPr>
            </w:pPr>
            <w:r>
              <w:rPr>
                <w:sz w:val="18"/>
              </w:rPr>
              <w:t>2,00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203,30</w:t>
            </w:r>
          </w:p>
          <w:p>
            <w:pPr>
              <w:pStyle w:val="Normal"/>
              <w:jc w:val="center"/>
              <w:rPr>
                <w:sz w:val="18"/>
              </w:rPr>
            </w:pPr>
            <w:r>
              <w:rPr>
                <w:sz w:val="18"/>
              </w:rPr>
              <w:t>2,80</w:t>
            </w:r>
          </w:p>
          <w:p>
            <w:pPr>
              <w:pStyle w:val="Normal"/>
              <w:jc w:val="center"/>
              <w:rPr>
                <w:sz w:val="18"/>
              </w:rPr>
            </w:pPr>
            <w:r>
              <w:rPr>
                <w:sz w:val="18"/>
              </w:rPr>
              <w:t>1,00</w:t>
            </w:r>
          </w:p>
          <w:p>
            <w:pPr>
              <w:pStyle w:val="Normal"/>
              <w:jc w:val="center"/>
              <w:rPr>
                <w:sz w:val="18"/>
              </w:rPr>
            </w:pPr>
            <w:r>
              <w:rPr>
                <w:sz w:val="18"/>
              </w:rPr>
              <w:t>0,00</w:t>
            </w:r>
          </w:p>
          <w:p>
            <w:pPr>
              <w:pStyle w:val="Normal"/>
              <w:jc w:val="center"/>
              <w:rPr>
                <w:sz w:val="18"/>
              </w:rPr>
            </w:pPr>
            <w:r>
              <w:rPr>
                <w:sz w:val="18"/>
              </w:rPr>
              <w:t>0,00</w:t>
            </w:r>
          </w:p>
          <w:p>
            <w:pPr>
              <w:pStyle w:val="Normal"/>
              <w:jc w:val="center"/>
              <w:rPr>
                <w:sz w:val="18"/>
              </w:rPr>
            </w:pPr>
            <w:r>
              <w:rPr>
                <w:sz w:val="18"/>
              </w:rPr>
              <w:t>14,60</w:t>
            </w:r>
          </w:p>
          <w:p>
            <w:pPr>
              <w:pStyle w:val="Normal"/>
              <w:jc w:val="center"/>
              <w:rPr>
                <w:sz w:val="18"/>
              </w:rPr>
            </w:pPr>
            <w:r>
              <w:rPr>
                <w:sz w:val="18"/>
              </w:rPr>
              <w:t>17,40</w:t>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18"/>
              </w:rPr>
            </w:pPr>
            <w:r>
              <w:rPr>
                <w:sz w:val="18"/>
              </w:rPr>
              <w:t>312,97</w:t>
            </w:r>
          </w:p>
          <w:p>
            <w:pPr>
              <w:pStyle w:val="Normal"/>
              <w:jc w:val="center"/>
              <w:rPr>
                <w:sz w:val="18"/>
              </w:rPr>
            </w:pPr>
            <w:r>
              <w:rPr>
                <w:sz w:val="18"/>
              </w:rPr>
              <w:t>18,30</w:t>
            </w:r>
          </w:p>
          <w:p>
            <w:pPr>
              <w:pStyle w:val="Normal"/>
              <w:jc w:val="center"/>
              <w:rPr>
                <w:sz w:val="18"/>
              </w:rPr>
            </w:pPr>
            <w:r>
              <w:rPr>
                <w:sz w:val="18"/>
              </w:rPr>
              <w:t>1,00</w:t>
            </w:r>
          </w:p>
          <w:p>
            <w:pPr>
              <w:pStyle w:val="Normal"/>
              <w:jc w:val="center"/>
              <w:rPr>
                <w:sz w:val="18"/>
              </w:rPr>
            </w:pPr>
            <w:r>
              <w:rPr>
                <w:sz w:val="18"/>
              </w:rPr>
              <w:t>2,00</w:t>
            </w:r>
          </w:p>
          <w:p>
            <w:pPr>
              <w:pStyle w:val="Normal"/>
              <w:jc w:val="center"/>
              <w:rPr>
                <w:sz w:val="18"/>
              </w:rPr>
            </w:pPr>
            <w:r>
              <w:rPr>
                <w:sz w:val="18"/>
              </w:rPr>
              <w:t>4,00</w:t>
            </w:r>
          </w:p>
          <w:p>
            <w:pPr>
              <w:pStyle w:val="Normal"/>
              <w:jc w:val="center"/>
              <w:rPr>
                <w:sz w:val="18"/>
              </w:rPr>
            </w:pPr>
            <w:r>
              <w:rPr>
                <w:sz w:val="18"/>
              </w:rPr>
              <w:t>15,60</w:t>
            </w:r>
          </w:p>
          <w:p>
            <w:pPr>
              <w:pStyle w:val="Normal"/>
              <w:jc w:val="center"/>
              <w:rPr>
                <w:sz w:val="18"/>
              </w:rPr>
            </w:pPr>
            <w:r>
              <w:rPr>
                <w:sz w:val="18"/>
              </w:rPr>
              <w:t>19,40</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18"/>
              </w:rPr>
            </w:pPr>
            <w:r>
              <w:rPr>
                <w:b/>
                <w:bCs/>
                <w:sz w:val="18"/>
              </w:rPr>
              <w:t>Établissement n°2</w:t>
            </w:r>
          </w:p>
          <w:p>
            <w:pPr>
              <w:pStyle w:val="Normal"/>
              <w:jc w:val="center"/>
              <w:rPr>
                <w:b/>
                <w:b/>
                <w:bCs/>
                <w:sz w:val="18"/>
              </w:rPr>
            </w:pPr>
            <w:r>
              <w:rPr>
                <w:b/>
                <w:bCs/>
                <w:sz w:val="18"/>
              </w:rPr>
              <w:t>Côte d’Azur</w:t>
            </w:r>
          </w:p>
          <w:p>
            <w:pPr>
              <w:pStyle w:val="Normal"/>
              <w:jc w:val="center"/>
              <w:rPr>
                <w:b/>
                <w:b/>
                <w:bCs/>
                <w:sz w:val="18"/>
              </w:rPr>
            </w:pPr>
            <w:r>
              <w:rPr>
                <w:b/>
                <w:bCs/>
                <w:sz w:val="18"/>
              </w:rPr>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45 allée des Ormes – Espace Park bat B 06250 Mougins</w:t>
            </w:r>
          </w:p>
          <w:p>
            <w:pPr>
              <w:pStyle w:val="Normal"/>
              <w:jc w:val="center"/>
              <w:rPr>
                <w:sz w:val="18"/>
              </w:rPr>
            </w:pPr>
            <w:r>
              <w:rPr>
                <w:sz w:val="18"/>
              </w:rPr>
              <w:t>44 avenue Cyrille Besset 06100 Nice</w:t>
            </w:r>
          </w:p>
          <w:p>
            <w:pPr>
              <w:pStyle w:val="Normal"/>
              <w:jc w:val="center"/>
              <w:rPr>
                <w:sz w:val="18"/>
              </w:rPr>
            </w:pPr>
            <w:r>
              <w:rPr>
                <w:sz w:val="18"/>
              </w:rPr>
              <w:t>286 rés du Faron 83130 La Garde</w:t>
            </w:r>
          </w:p>
          <w:p>
            <w:pPr>
              <w:pStyle w:val="Normal"/>
              <w:jc w:val="center"/>
              <w:rPr>
                <w:sz w:val="18"/>
              </w:rPr>
            </w:pPr>
            <w:r>
              <w:rPr>
                <w:sz w:val="1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9,63</w:t>
            </w:r>
          </w:p>
          <w:p>
            <w:pPr>
              <w:pStyle w:val="Normal"/>
              <w:jc w:val="center"/>
              <w:rPr>
                <w:sz w:val="18"/>
              </w:rPr>
            </w:pPr>
            <w:r>
              <w:rPr>
                <w:sz w:val="18"/>
              </w:rPr>
              <w:t>7,40</w:t>
            </w:r>
          </w:p>
          <w:p>
            <w:pPr>
              <w:pStyle w:val="Normal"/>
              <w:jc w:val="center"/>
              <w:rPr>
                <w:sz w:val="18"/>
              </w:rPr>
            </w:pPr>
            <w:r>
              <w:rPr>
                <w:sz w:val="18"/>
              </w:rPr>
              <w:t>1,00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50,10</w:t>
            </w:r>
          </w:p>
          <w:p>
            <w:pPr>
              <w:pStyle w:val="Normal"/>
              <w:jc w:val="center"/>
              <w:rPr>
                <w:sz w:val="18"/>
              </w:rPr>
            </w:pPr>
            <w:r>
              <w:rPr>
                <w:sz w:val="18"/>
              </w:rPr>
              <w:t>8,50</w:t>
            </w:r>
          </w:p>
          <w:p>
            <w:pPr>
              <w:pStyle w:val="Normal"/>
              <w:jc w:val="center"/>
              <w:rPr>
                <w:sz w:val="18"/>
              </w:rPr>
            </w:pPr>
            <w:r>
              <w:rPr>
                <w:sz w:val="18"/>
              </w:rPr>
              <w:t>8,60</w:t>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18"/>
              </w:rPr>
            </w:pPr>
            <w:r>
              <w:rPr>
                <w:sz w:val="18"/>
              </w:rPr>
              <w:t>59,73</w:t>
            </w:r>
          </w:p>
          <w:p>
            <w:pPr>
              <w:pStyle w:val="Normal"/>
              <w:jc w:val="center"/>
              <w:rPr>
                <w:sz w:val="18"/>
              </w:rPr>
            </w:pPr>
            <w:r>
              <w:rPr>
                <w:sz w:val="18"/>
              </w:rPr>
              <w:t>15,90</w:t>
            </w:r>
          </w:p>
          <w:p>
            <w:pPr>
              <w:pStyle w:val="Normal"/>
              <w:jc w:val="center"/>
              <w:rPr>
                <w:sz w:val="18"/>
              </w:rPr>
            </w:pPr>
            <w:r>
              <w:rPr>
                <w:sz w:val="18"/>
              </w:rPr>
              <w:t>9,60</w:t>
            </w:r>
          </w:p>
        </w:tc>
      </w:tr>
      <w:tr>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18"/>
              </w:rPr>
            </w:pPr>
            <w:r>
              <w:rPr>
                <w:b/>
                <w:bCs/>
                <w:sz w:val="18"/>
              </w:rPr>
              <w:t>Établissement n°3</w:t>
            </w:r>
          </w:p>
          <w:p>
            <w:pPr>
              <w:pStyle w:val="Normal"/>
              <w:jc w:val="center"/>
              <w:rPr>
                <w:b/>
                <w:b/>
                <w:sz w:val="18"/>
              </w:rPr>
            </w:pPr>
            <w:r>
              <w:rPr>
                <w:b/>
                <w:sz w:val="18"/>
              </w:rPr>
              <w:t>COA La Garde</w:t>
            </w:r>
          </w:p>
          <w:p>
            <w:pPr>
              <w:pStyle w:val="Normal"/>
              <w:jc w:val="center"/>
              <w:rPr>
                <w:b/>
                <w:b/>
                <w:sz w:val="20"/>
              </w:rPr>
            </w:pPr>
            <w:r>
              <w:rPr>
                <w:b/>
                <w:sz w:val="20"/>
              </w:rPr>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286 rés du Faron 83130 La Garde</w:t>
            </w:r>
          </w:p>
          <w:p>
            <w:pPr>
              <w:pStyle w:val="Normal"/>
              <w:jc w:val="center"/>
              <w:rPr>
                <w:sz w:val="18"/>
              </w:rPr>
            </w:pPr>
            <w:r>
              <w:rPr>
                <w:sz w:val="18"/>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54,26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18"/>
              </w:rPr>
            </w:pPr>
            <w:r>
              <w:rPr>
                <w:sz w:val="18"/>
              </w:rPr>
              <w:t>14,30</w:t>
            </w:r>
          </w:p>
        </w:tc>
        <w:tc>
          <w:tcPr>
            <w:tcW w:w="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18"/>
              </w:rPr>
            </w:pPr>
            <w:r>
              <w:rPr>
                <w:sz w:val="18"/>
              </w:rPr>
              <w:t>68,56</w:t>
            </w:r>
          </w:p>
        </w:tc>
      </w:tr>
    </w:tbl>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pPr>
      <w:r>
        <w:rPr>
          <w:rFonts w:cs="Arial"/>
          <w:iCs/>
        </w:rPr>
        <w:t>Les parties proposent, pour validation nationale par les négociateurs centraux, l’augmentation conventionnelle du nombre de sièges référencé ci-après pour tenir compte de situations particulières sur certains sites DP :</w:t>
      </w:r>
    </w:p>
    <w:p>
      <w:pPr>
        <w:pStyle w:val="Normal"/>
        <w:rPr>
          <w:rFonts w:cs="Arial"/>
        </w:rPr>
      </w:pPr>
      <w:r>
        <w:rPr>
          <w:rFonts w:cs="Arial"/>
        </w:rPr>
      </w:r>
    </w:p>
    <w:p>
      <w:pPr>
        <w:pStyle w:val="Normal"/>
        <w:rPr>
          <w:rFonts w:cs="Arial"/>
        </w:rPr>
      </w:pPr>
      <w:r>
        <w:rPr>
          <w:rFonts w:cs="Arial"/>
        </w:rPr>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283"/>
        <w:gridCol w:w="1560"/>
        <w:gridCol w:w="1417"/>
        <w:gridCol w:w="1418"/>
        <w:gridCol w:w="1417"/>
        <w:gridCol w:w="1296"/>
      </w:tblGrid>
      <w:tr>
        <w:trPr>
          <w:trHeight w:val="885" w:hRule="atLeast"/>
          <w:cantSplit w:val="true"/>
        </w:trPr>
        <w:tc>
          <w:tcPr>
            <w:tcW w:w="2283"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977"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titulaires règlementaire</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b/>
                <w:i w:val="false"/>
              </w:rPr>
              <w:t>Nombre de sièges titulaires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b/>
                <w:bCs/>
                <w:color w:val="000000"/>
                <w:szCs w:val="22"/>
              </w:rPr>
              <w:t>Total sièges titulaires</w:t>
            </w:r>
          </w:p>
        </w:tc>
      </w:tr>
      <w:tr>
        <w:trPr>
          <w:trHeight w:val="315" w:hRule="atLeast"/>
          <w:cantSplit w:val="true"/>
        </w:trPr>
        <w:tc>
          <w:tcPr>
            <w:tcW w:w="2283"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b/>
                <w:i w:val="false"/>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b/>
                <w:i w:val="false"/>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i w:val="false"/>
                <w:i w:val="false"/>
                <w:color w:val="000000"/>
                <w:szCs w:val="22"/>
              </w:rPr>
            </w:pPr>
            <w:r>
              <w:rPr/>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18"/>
                <w:szCs w:val="18"/>
              </w:rPr>
            </w:pPr>
            <w:r>
              <w:rPr>
                <w:b/>
                <w:bCs/>
                <w:sz w:val="18"/>
                <w:szCs w:val="18"/>
              </w:rPr>
              <w:t>Établissement n°1</w:t>
            </w:r>
          </w:p>
          <w:p>
            <w:pPr>
              <w:pStyle w:val="Normal"/>
              <w:jc w:val="center"/>
              <w:rPr>
                <w:b/>
                <w:b/>
                <w:bCs/>
                <w:sz w:val="18"/>
                <w:szCs w:val="18"/>
              </w:rPr>
            </w:pPr>
            <w:r>
              <w:rPr>
                <w:b/>
                <w:bCs/>
                <w:sz w:val="18"/>
                <w:szCs w:val="18"/>
              </w:rPr>
              <w:t>Marseille Vallée du Rhône</w:t>
            </w:r>
          </w:p>
          <w:p>
            <w:pPr>
              <w:pStyle w:val="Normal"/>
              <w:jc w:val="center"/>
              <w:rPr>
                <w:b/>
                <w:b/>
                <w:bCs/>
                <w:sz w:val="18"/>
                <w:szCs w:val="18"/>
              </w:rPr>
            </w:pPr>
            <w:r>
              <w:rPr>
                <w:b/>
                <w:bCs/>
                <w:sz w:val="18"/>
                <w:szCs w:val="18"/>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4</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rPr>
            </w:pPr>
            <w:r>
              <w:rPr>
                <w:rStyle w:val="Emphasis"/>
                <w:i w:val="false"/>
              </w:rPr>
              <w:t>2</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rPr>
            </w:pPr>
            <w:r>
              <w:rPr>
                <w:rStyle w:val="Emphasis"/>
                <w:i w:val="false"/>
              </w:rPr>
              <w:t>2</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11</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18"/>
                <w:szCs w:val="18"/>
              </w:rPr>
            </w:pPr>
            <w:r>
              <w:rPr>
                <w:b/>
                <w:bCs/>
                <w:sz w:val="18"/>
                <w:szCs w:val="18"/>
              </w:rPr>
              <w:t>Établissement n°2</w:t>
            </w:r>
          </w:p>
          <w:p>
            <w:pPr>
              <w:pStyle w:val="Normal"/>
              <w:jc w:val="center"/>
              <w:rPr>
                <w:b/>
                <w:b/>
                <w:bCs/>
                <w:sz w:val="18"/>
                <w:szCs w:val="18"/>
              </w:rPr>
            </w:pPr>
            <w:r>
              <w:rPr>
                <w:b/>
                <w:bCs/>
                <w:sz w:val="18"/>
                <w:szCs w:val="18"/>
              </w:rPr>
              <w:t>Côte d’Azur</w:t>
            </w:r>
          </w:p>
          <w:p>
            <w:pPr>
              <w:pStyle w:val="Normal"/>
              <w:jc w:val="center"/>
              <w:rPr>
                <w:rFonts w:cs="Arial"/>
                <w:b/>
                <w:b/>
                <w:bCs/>
                <w:color w:val="000000"/>
                <w:sz w:val="18"/>
                <w:szCs w:val="22"/>
              </w:rPr>
            </w:pPr>
            <w:r>
              <w:rPr>
                <w:rFonts w:cs="Arial"/>
                <w:b/>
                <w:bCs/>
                <w:color w:val="000000"/>
                <w:sz w:val="18"/>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rPr>
            </w:pPr>
            <w:r>
              <w:rPr>
                <w:rStyle w:val="Emphasis"/>
                <w:i w:val="false"/>
              </w:rPr>
              <w:t>0</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rPr>
            </w:pPr>
            <w:r>
              <w:rPr>
                <w:rStyle w:val="Emphasis"/>
                <w:i w:val="false"/>
              </w:rPr>
              <w:t>0</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18"/>
                <w:szCs w:val="18"/>
              </w:rPr>
            </w:pPr>
            <w:r>
              <w:rPr>
                <w:b/>
                <w:bCs/>
                <w:sz w:val="18"/>
                <w:szCs w:val="18"/>
              </w:rPr>
              <w:t>Établissement n°3</w:t>
            </w:r>
          </w:p>
          <w:p>
            <w:pPr>
              <w:pStyle w:val="Normal"/>
              <w:jc w:val="center"/>
              <w:rPr>
                <w:b/>
                <w:b/>
                <w:bCs/>
                <w:sz w:val="18"/>
                <w:szCs w:val="18"/>
              </w:rPr>
            </w:pPr>
            <w:r>
              <w:rPr>
                <w:b/>
                <w:bCs/>
                <w:sz w:val="18"/>
                <w:szCs w:val="18"/>
              </w:rPr>
              <w:t>COA La Garde</w:t>
            </w:r>
          </w:p>
          <w:p>
            <w:pPr>
              <w:pStyle w:val="Normal"/>
              <w:jc w:val="center"/>
              <w:rPr>
                <w:rFonts w:cs="Arial"/>
                <w:b/>
                <w:b/>
                <w:bCs/>
                <w:color w:val="000000"/>
                <w:sz w:val="18"/>
                <w:szCs w:val="22"/>
              </w:rPr>
            </w:pPr>
            <w:r>
              <w:rPr>
                <w:rFonts w:cs="Arial"/>
                <w:b/>
                <w:bCs/>
                <w:color w:val="000000"/>
                <w:sz w:val="18"/>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rPr>
            </w:pPr>
            <w:r>
              <w:rPr>
                <w:rStyle w:val="Emphasis"/>
                <w:i w:val="false"/>
              </w:rPr>
              <w:t>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rPr>
            </w:pPr>
            <w:r>
              <w:rPr>
                <w:rStyle w:val="Emphasis"/>
                <w:i w:val="false"/>
              </w:rPr>
              <w:t>0</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r>
    </w:tbl>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pPr>
      <w:r>
        <w:rPr/>
      </w:r>
    </w:p>
    <w:p>
      <w:pPr>
        <w:pStyle w:val="Normal"/>
        <w:rPr/>
      </w:pPr>
      <w:r>
        <w:rPr/>
      </w:r>
    </w:p>
    <w:p>
      <w:pPr>
        <w:pStyle w:val="Heading1"/>
        <w:rPr/>
      </w:pPr>
      <w:r>
        <w:rPr/>
        <w:t>Article 6 :</w:t>
        <w:tab/>
        <w:t xml:space="preserve">Dépôt – Publicité </w:t>
      </w:r>
    </w:p>
    <w:p>
      <w:pPr>
        <w:pStyle w:val="Normal"/>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w:t>
      </w:r>
      <w:r>
        <w:rPr>
          <w:rFonts w:cs="Arial"/>
          <w:szCs w:val="22"/>
        </w:rPr>
        <w:t>Marseille.</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Marseille.</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t>Fait à Marseille en 13 exemplaires, le 11 septembre 2017.</w:t>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t xml:space="preserve">Le Directeur </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r>
    </w:tbl>
    <w:p>
      <w:pPr>
        <w:pStyle w:val="Normal"/>
        <w:rPr/>
      </w:pPr>
      <w:r>
        <w:rPr/>
      </w:r>
    </w:p>
    <w:sectPr>
      <w:footerReference w:type="default" r:id="rId2"/>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infra-DP 2017 du 11 septembre 2017</w:t>
    </w:r>
    <w:r>
      <w:rPr/>
      <w:tab/>
      <w:tab/>
    </w:r>
    <w:r>
      <w:rPr>
        <w:rStyle w:val="PageNumber"/>
        <w:sz w:val="16"/>
        <w:szCs w:val="16"/>
      </w:rPr>
      <w:fldChar w:fldCharType="begin"/>
    </w:r>
    <w:r>
      <w:instrText> PAGE </w:instrText>
    </w:r>
    <w:r>
      <w:fldChar w:fldCharType="separate"/>
    </w:r>
    <w:r>
      <w:t>4</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numFmt w:val="bullet"/>
      <w:lvlText w:val="-"/>
      <w:lvlJc w:val="left"/>
      <w:pPr>
        <w:ind w:left="720" w:hanging="360"/>
      </w:pPr>
      <w:rPr>
        <w:rFonts w:ascii="Times New Roman" w:hAnsi="Times New Roman" w:cs="Times New Roman" w:hint="default"/>
        <w:szCs w:val="28"/>
        <w:rFonts w:cs="Times New Roman"/>
      </w:rPr>
    </w:lvl>
  </w:abstractNum>
  <w:abstractNum w:abstractNumId="4">
    <w:lvl w:ilvl="0">
      <w:numFmt w:val="bullet"/>
      <w:lvlText w:val="-"/>
      <w:lvlJc w:val="left"/>
      <w:pPr>
        <w:ind w:left="720" w:hanging="360"/>
      </w:pPr>
      <w:rPr>
        <w:rFonts w:ascii="Times New Roman" w:hAnsi="Times New Roman" w:cs="Times New Roman" w:hint="default"/>
        <w:szCs w:val="28"/>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Times New Roman" w:hAnsi="Times New Roman" w:eastAsia="Times New Roman" w:cs="Times New Roman"/>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Times New Roman" w:hAnsi="Times New Roman" w:eastAsia="Times New Roman" w:cs="Times New Roman"/>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2"/>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2017-09-11T13:43:00Z</cp:lastPrinted>
  <dcterms:created xsi:type="dcterms:W3CDTF">2017-07-11T17:08:00Z</dcterms:created>
  <dcterms:modified xsi:type="dcterms:W3CDTF">2017-11-03T13:48:00Z</dcterms:modified>
</cp:coreProperties>
</file>

<file path=docProps/custom.xml><?xml version="1.0" encoding="utf-8"?>
<Properties xmlns="http://schemas.openxmlformats.org/officeDocument/2006/custom-properties" xmlns:vt="http://schemas.openxmlformats.org/officeDocument/2006/docPropsVTypes"/>
</file>