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436EF" w14:textId="77777777" w:rsidR="00FC23F4" w:rsidRDefault="00FC23F4" w:rsidP="00FC23F4">
      <w:pPr>
        <w:jc w:val="center"/>
        <w:rPr>
          <w:rFonts w:ascii="Arial" w:hAnsi="Arial" w:cs="Arial"/>
          <w:sz w:val="22"/>
          <w:szCs w:val="22"/>
        </w:rPr>
      </w:pPr>
      <w:r>
        <w:rPr>
          <w:rFonts w:ascii="Arial" w:hAnsi="Arial" w:cs="Arial"/>
          <w:noProof/>
          <w:sz w:val="22"/>
          <w:szCs w:val="22"/>
        </w:rPr>
        <w:drawing>
          <wp:inline distT="0" distB="0" distL="0" distR="0" wp14:anchorId="08AD8E5E" wp14:editId="053B5A15">
            <wp:extent cx="5756910" cy="1367697"/>
            <wp:effectExtent l="0" t="0" r="889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1367697"/>
                    </a:xfrm>
                    <a:prstGeom prst="rect">
                      <a:avLst/>
                    </a:prstGeom>
                    <a:noFill/>
                    <a:ln>
                      <a:noFill/>
                    </a:ln>
                  </pic:spPr>
                </pic:pic>
              </a:graphicData>
            </a:graphic>
          </wp:inline>
        </w:drawing>
      </w:r>
    </w:p>
    <w:p w14:paraId="481C582C" w14:textId="77777777" w:rsidR="00FC23F4" w:rsidRDefault="00FC23F4" w:rsidP="00FC23F4">
      <w:pPr>
        <w:jc w:val="center"/>
        <w:rPr>
          <w:rFonts w:ascii="Arial" w:hAnsi="Arial" w:cs="Arial"/>
          <w:sz w:val="22"/>
          <w:szCs w:val="22"/>
        </w:rPr>
      </w:pPr>
    </w:p>
    <w:p w14:paraId="026F78AA" w14:textId="77777777" w:rsidR="00FC23F4" w:rsidRDefault="00FC23F4" w:rsidP="00FC23F4">
      <w:pPr>
        <w:jc w:val="center"/>
        <w:rPr>
          <w:rFonts w:ascii="Arial" w:hAnsi="Arial" w:cs="Arial"/>
          <w:sz w:val="22"/>
          <w:szCs w:val="22"/>
        </w:rPr>
      </w:pPr>
    </w:p>
    <w:p w14:paraId="0974BBB9" w14:textId="77777777" w:rsidR="00FC23F4" w:rsidRDefault="00FC23F4" w:rsidP="00FC23F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E5250E5" w14:textId="77777777" w:rsidR="00FC23F4" w:rsidRDefault="00FC23F4" w:rsidP="00FC23F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6F643DE" w14:textId="77777777" w:rsidR="00FC23F4" w:rsidRDefault="00FC23F4" w:rsidP="00FC23F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096484F" w14:textId="7236E4C9" w:rsidR="00FC23F4" w:rsidRDefault="00FC23F4" w:rsidP="00FC23F4">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 xml:space="preserve">ACCORD D’ENTREPRISE </w:t>
      </w:r>
      <w:r w:rsidR="00FA03A3">
        <w:rPr>
          <w:rFonts w:ascii="Arial" w:hAnsi="Arial" w:cs="Arial"/>
          <w:b/>
          <w:sz w:val="44"/>
          <w:szCs w:val="44"/>
        </w:rPr>
        <w:br/>
      </w:r>
      <w:r>
        <w:rPr>
          <w:rFonts w:ascii="Arial" w:hAnsi="Arial" w:cs="Arial"/>
          <w:b/>
          <w:sz w:val="44"/>
          <w:szCs w:val="44"/>
        </w:rPr>
        <w:t xml:space="preserve">DU </w:t>
      </w:r>
      <w:r w:rsidR="00C46774">
        <w:rPr>
          <w:rFonts w:ascii="Arial" w:hAnsi="Arial" w:cs="Arial"/>
          <w:b/>
          <w:sz w:val="44"/>
          <w:szCs w:val="44"/>
        </w:rPr>
        <w:t>11 SEPTEMBRE</w:t>
      </w:r>
      <w:r>
        <w:rPr>
          <w:rFonts w:ascii="Arial" w:hAnsi="Arial" w:cs="Arial"/>
          <w:b/>
          <w:sz w:val="44"/>
          <w:szCs w:val="44"/>
        </w:rPr>
        <w:t xml:space="preserve"> 2017</w:t>
      </w:r>
    </w:p>
    <w:p w14:paraId="2060BC11" w14:textId="77777777" w:rsidR="00FC23F4" w:rsidRDefault="00FC23F4" w:rsidP="00FC23F4">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SUITE A NEGOCIATION ANNUELLE OBLIGATOIRE (NAO)</w:t>
      </w:r>
    </w:p>
    <w:p w14:paraId="3A1BA8F3" w14:textId="77777777" w:rsidR="00FC23F4" w:rsidRDefault="00FC23F4" w:rsidP="00FC23F4">
      <w:pPr>
        <w:pBdr>
          <w:top w:val="single" w:sz="4" w:space="1" w:color="auto"/>
          <w:left w:val="single" w:sz="4" w:space="4" w:color="auto"/>
          <w:bottom w:val="single" w:sz="4" w:space="1" w:color="auto"/>
          <w:right w:val="single" w:sz="4" w:space="4" w:color="auto"/>
        </w:pBdr>
        <w:rPr>
          <w:rFonts w:ascii="Arial" w:hAnsi="Arial" w:cs="Arial"/>
          <w:b/>
          <w:sz w:val="44"/>
          <w:szCs w:val="44"/>
        </w:rPr>
      </w:pPr>
    </w:p>
    <w:p w14:paraId="522D5046" w14:textId="77777777" w:rsidR="00FC23F4" w:rsidRPr="00FC23F4" w:rsidRDefault="00FC23F4" w:rsidP="00FC23F4">
      <w:pPr>
        <w:pBdr>
          <w:top w:val="single" w:sz="4" w:space="1" w:color="auto"/>
          <w:left w:val="single" w:sz="4" w:space="4" w:color="auto"/>
          <w:bottom w:val="single" w:sz="4" w:space="1" w:color="auto"/>
          <w:right w:val="single" w:sz="4" w:space="4" w:color="auto"/>
        </w:pBdr>
        <w:rPr>
          <w:rFonts w:ascii="Arial" w:hAnsi="Arial" w:cs="Arial"/>
          <w:b/>
          <w:sz w:val="44"/>
          <w:szCs w:val="44"/>
        </w:rPr>
      </w:pPr>
    </w:p>
    <w:p w14:paraId="2F6D756E" w14:textId="77777777" w:rsidR="00FC23F4" w:rsidRDefault="00FC23F4" w:rsidP="00FC23F4">
      <w:pPr>
        <w:rPr>
          <w:rFonts w:ascii="Arial" w:hAnsi="Arial" w:cs="Arial"/>
          <w:sz w:val="22"/>
          <w:szCs w:val="22"/>
        </w:rPr>
      </w:pPr>
    </w:p>
    <w:p w14:paraId="153EDB4C" w14:textId="77777777" w:rsidR="00FC23F4" w:rsidRPr="00FC23F4" w:rsidRDefault="00FC23F4" w:rsidP="00FC23F4">
      <w:pPr>
        <w:jc w:val="center"/>
        <w:rPr>
          <w:rFonts w:ascii="Arial" w:hAnsi="Arial" w:cs="Arial"/>
          <w:sz w:val="22"/>
          <w:szCs w:val="22"/>
        </w:rPr>
      </w:pPr>
    </w:p>
    <w:p w14:paraId="276FC063" w14:textId="77777777" w:rsidR="00FC23F4" w:rsidRDefault="00FC23F4" w:rsidP="00FC23F4">
      <w:pPr>
        <w:rPr>
          <w:rFonts w:ascii="Arial" w:hAnsi="Arial"/>
        </w:rPr>
      </w:pPr>
    </w:p>
    <w:p w14:paraId="05345E46" w14:textId="77777777" w:rsidR="00FC23F4" w:rsidRPr="00FC23F4" w:rsidRDefault="00FC23F4" w:rsidP="00FC23F4">
      <w:pPr>
        <w:rPr>
          <w:rFonts w:ascii="Arial" w:hAnsi="Arial"/>
          <w:b/>
        </w:rPr>
      </w:pPr>
      <w:r>
        <w:rPr>
          <w:rFonts w:ascii="Arial" w:hAnsi="Arial"/>
          <w:b/>
        </w:rPr>
        <w:t>ENTRE</w:t>
      </w:r>
    </w:p>
    <w:p w14:paraId="451161C5" w14:textId="77777777" w:rsidR="00FC23F4" w:rsidRDefault="00FC23F4" w:rsidP="00FC23F4">
      <w:pPr>
        <w:jc w:val="both"/>
        <w:rPr>
          <w:rFonts w:ascii="Arial" w:hAnsi="Arial"/>
        </w:rPr>
      </w:pPr>
    </w:p>
    <w:p w14:paraId="46E0A133" w14:textId="2E480A7C" w:rsidR="00FC23F4" w:rsidRPr="00FC23F4" w:rsidRDefault="00FC23F4" w:rsidP="00FC23F4">
      <w:pPr>
        <w:jc w:val="both"/>
        <w:rPr>
          <w:rFonts w:ascii="Calibri" w:hAnsi="Calibri"/>
        </w:rPr>
      </w:pPr>
      <w:r w:rsidRPr="00FC23F4">
        <w:rPr>
          <w:rFonts w:ascii="Calibri" w:hAnsi="Calibri"/>
        </w:rPr>
        <w:t xml:space="preserve">La Société Publique Locale Mobilité et Stationnement du Pays Ajaccien « MUVITARRA » au capital de 1 000 000 €, dont le siège social est situé à Ajaccio, Zone Industrielle du </w:t>
      </w:r>
      <w:proofErr w:type="spellStart"/>
      <w:r w:rsidRPr="00FC23F4">
        <w:rPr>
          <w:rFonts w:ascii="Calibri" w:hAnsi="Calibri"/>
        </w:rPr>
        <w:t>Vazzio</w:t>
      </w:r>
      <w:proofErr w:type="spellEnd"/>
      <w:r w:rsidRPr="00FC23F4">
        <w:rPr>
          <w:rFonts w:ascii="Calibri" w:hAnsi="Calibri"/>
        </w:rPr>
        <w:t>, inscrite au registre du commerce d’Ajaccio sous le numéro 822 167 748, rep</w:t>
      </w:r>
      <w:r w:rsidR="0075311E">
        <w:rPr>
          <w:rFonts w:ascii="Calibri" w:hAnsi="Calibri"/>
        </w:rPr>
        <w:t>résentée XXXXXXXXXXXXXXXXXXX, XXXXXXXXXXXXXXXXXXXX</w:t>
      </w:r>
      <w:r w:rsidRPr="00FC23F4">
        <w:rPr>
          <w:rFonts w:ascii="Calibri" w:hAnsi="Calibri"/>
        </w:rPr>
        <w:t>,</w:t>
      </w:r>
    </w:p>
    <w:p w14:paraId="32950B2D" w14:textId="77777777" w:rsidR="00FC23F4" w:rsidRPr="00FC23F4" w:rsidRDefault="00FC23F4" w:rsidP="00FC23F4">
      <w:pPr>
        <w:jc w:val="both"/>
        <w:rPr>
          <w:rFonts w:ascii="Calibri" w:hAnsi="Calibri"/>
        </w:rPr>
      </w:pPr>
    </w:p>
    <w:p w14:paraId="1ADA9B89" w14:textId="77777777" w:rsidR="00FC23F4" w:rsidRPr="00FC23F4" w:rsidRDefault="00FC23F4" w:rsidP="00FC23F4">
      <w:pPr>
        <w:jc w:val="both"/>
        <w:rPr>
          <w:rFonts w:ascii="Calibri" w:hAnsi="Calibri"/>
        </w:rPr>
      </w:pPr>
      <w:r w:rsidRPr="00FC23F4">
        <w:rPr>
          <w:rFonts w:ascii="Calibri" w:hAnsi="Calibri"/>
        </w:rPr>
        <w:tab/>
      </w:r>
      <w:r w:rsidRPr="00FC23F4">
        <w:rPr>
          <w:rFonts w:ascii="Calibri" w:hAnsi="Calibri"/>
        </w:rPr>
        <w:tab/>
      </w:r>
      <w:r w:rsidRPr="00FC23F4">
        <w:rPr>
          <w:rFonts w:ascii="Calibri" w:hAnsi="Calibri"/>
        </w:rPr>
        <w:tab/>
      </w:r>
      <w:r w:rsidRPr="00FC23F4">
        <w:rPr>
          <w:rFonts w:ascii="Calibri" w:hAnsi="Calibri"/>
        </w:rPr>
        <w:tab/>
      </w:r>
      <w:r w:rsidRPr="00FC23F4">
        <w:rPr>
          <w:rFonts w:ascii="Calibri" w:hAnsi="Calibri"/>
        </w:rPr>
        <w:tab/>
      </w:r>
      <w:r w:rsidRPr="00FC23F4">
        <w:rPr>
          <w:rFonts w:ascii="Calibri" w:hAnsi="Calibri"/>
        </w:rPr>
        <w:tab/>
        <w:t>Ci-après dénommée « SPL MUVITARRA »,</w:t>
      </w:r>
    </w:p>
    <w:p w14:paraId="4F8D969C" w14:textId="77777777" w:rsidR="001702F0" w:rsidRDefault="001702F0"/>
    <w:p w14:paraId="05D7AF39" w14:textId="77777777" w:rsidR="00FC23F4" w:rsidRDefault="00FC23F4" w:rsidP="00FC23F4">
      <w:pPr>
        <w:jc w:val="right"/>
      </w:pPr>
      <w:r>
        <w:t>D’une part,</w:t>
      </w:r>
    </w:p>
    <w:p w14:paraId="3E69DB4C" w14:textId="77777777" w:rsidR="00F27270" w:rsidRDefault="00F27270" w:rsidP="00FC23F4">
      <w:pPr>
        <w:jc w:val="right"/>
      </w:pPr>
    </w:p>
    <w:p w14:paraId="7E0ED849" w14:textId="77777777" w:rsidR="00FC23F4" w:rsidRPr="00FC23F4" w:rsidRDefault="00FC23F4" w:rsidP="00FC23F4">
      <w:pPr>
        <w:rPr>
          <w:rFonts w:ascii="Arial" w:hAnsi="Arial"/>
          <w:b/>
        </w:rPr>
      </w:pPr>
      <w:r>
        <w:rPr>
          <w:rFonts w:ascii="Arial" w:hAnsi="Arial"/>
          <w:b/>
        </w:rPr>
        <w:t>ET</w:t>
      </w:r>
    </w:p>
    <w:p w14:paraId="1A8C5505" w14:textId="77777777" w:rsidR="00FC23F4" w:rsidRDefault="00FC23F4"/>
    <w:p w14:paraId="14A654E5" w14:textId="77777777" w:rsidR="00FC23F4" w:rsidRDefault="00FC23F4">
      <w:r>
        <w:t>Les Organisations syndicales représentatives de l’entreprise :</w:t>
      </w:r>
    </w:p>
    <w:p w14:paraId="4C1391E2" w14:textId="77777777" w:rsidR="00FC23F4" w:rsidRDefault="00FC23F4"/>
    <w:p w14:paraId="25D069E3" w14:textId="18483F5E" w:rsidR="00FC23F4" w:rsidRDefault="00FC23F4" w:rsidP="00FC23F4">
      <w:pPr>
        <w:jc w:val="both"/>
      </w:pPr>
      <w:r>
        <w:t>F.O représe</w:t>
      </w:r>
      <w:r w:rsidR="0075311E">
        <w:t>ntée par Monsieur XXXXXXXXXXXX</w:t>
      </w:r>
      <w:r>
        <w:t>I, agissant en qualité de Délégué Syndical,</w:t>
      </w:r>
    </w:p>
    <w:p w14:paraId="477AFAB0" w14:textId="77777777" w:rsidR="00FA03A3" w:rsidRDefault="00FA03A3" w:rsidP="00FC23F4">
      <w:pPr>
        <w:jc w:val="both"/>
      </w:pPr>
    </w:p>
    <w:p w14:paraId="53F007E1" w14:textId="19300448" w:rsidR="00FC23F4" w:rsidRDefault="00FC23F4" w:rsidP="00FC23F4">
      <w:pPr>
        <w:jc w:val="both"/>
      </w:pPr>
      <w:r>
        <w:t>STC représe</w:t>
      </w:r>
      <w:r w:rsidR="0075311E">
        <w:t>ntée par Monsieur XXXXXXXXXXXXXXX</w:t>
      </w:r>
      <w:r>
        <w:t>, agissant en qualité de Délégué Syndical,</w:t>
      </w:r>
    </w:p>
    <w:p w14:paraId="3A6B29B1" w14:textId="77777777" w:rsidR="00FA03A3" w:rsidRDefault="00FA03A3" w:rsidP="00FC23F4">
      <w:pPr>
        <w:jc w:val="both"/>
      </w:pPr>
    </w:p>
    <w:p w14:paraId="3C2B34CE" w14:textId="2CF4B524" w:rsidR="00FC23F4" w:rsidRDefault="00FC23F4" w:rsidP="00FC23F4">
      <w:pPr>
        <w:jc w:val="both"/>
      </w:pPr>
      <w:r>
        <w:t>CGC-CFE représenté</w:t>
      </w:r>
      <w:r w:rsidR="0075311E">
        <w:t>e par Monsieur XXXXXXXXXXXXXXXX</w:t>
      </w:r>
      <w:r>
        <w:t>, agissant en qualité de Délégué Syndical,</w:t>
      </w:r>
    </w:p>
    <w:p w14:paraId="6095A3F1" w14:textId="77777777" w:rsidR="00FC23F4" w:rsidRDefault="00FC23F4"/>
    <w:p w14:paraId="67BF3DF9" w14:textId="77777777" w:rsidR="00FC23F4" w:rsidRDefault="00FC23F4"/>
    <w:p w14:paraId="2EB9691A" w14:textId="77777777" w:rsidR="00FC23F4" w:rsidRDefault="00FC23F4" w:rsidP="00FC23F4">
      <w:pPr>
        <w:jc w:val="right"/>
      </w:pPr>
      <w:r>
        <w:lastRenderedPageBreak/>
        <w:t>D’autre part,</w:t>
      </w:r>
    </w:p>
    <w:p w14:paraId="1A01D6A6" w14:textId="77777777" w:rsidR="007C55AC" w:rsidRDefault="007C55AC" w:rsidP="00FC23F4">
      <w:pPr>
        <w:jc w:val="both"/>
        <w:rPr>
          <w:rFonts w:ascii="Arial" w:hAnsi="Arial"/>
          <w:b/>
        </w:rPr>
      </w:pPr>
    </w:p>
    <w:p w14:paraId="53946DBA" w14:textId="77777777" w:rsidR="00FC23F4" w:rsidRDefault="00FC23F4" w:rsidP="00FC23F4">
      <w:pPr>
        <w:jc w:val="both"/>
        <w:rPr>
          <w:rFonts w:ascii="Arial" w:hAnsi="Arial"/>
          <w:b/>
        </w:rPr>
      </w:pPr>
      <w:r>
        <w:rPr>
          <w:rFonts w:ascii="Arial" w:hAnsi="Arial"/>
          <w:b/>
        </w:rPr>
        <w:t>PREAMBULE</w:t>
      </w:r>
    </w:p>
    <w:p w14:paraId="00426718" w14:textId="77777777" w:rsidR="00FC23F4" w:rsidRDefault="00FC23F4" w:rsidP="00FC23F4">
      <w:pPr>
        <w:jc w:val="both"/>
        <w:rPr>
          <w:rFonts w:ascii="Calibri" w:hAnsi="Calibri"/>
          <w:sz w:val="22"/>
          <w:szCs w:val="22"/>
        </w:rPr>
      </w:pPr>
    </w:p>
    <w:p w14:paraId="0E79B420" w14:textId="77777777" w:rsidR="00D04951" w:rsidRDefault="00D04951" w:rsidP="00FC23F4">
      <w:pPr>
        <w:jc w:val="both"/>
        <w:rPr>
          <w:rFonts w:ascii="Calibri" w:hAnsi="Calibri"/>
        </w:rPr>
      </w:pPr>
      <w:r>
        <w:rPr>
          <w:rFonts w:ascii="Calibri" w:hAnsi="Calibri"/>
        </w:rPr>
        <w:t>Préalablement à l’ouverture des négociations, l’</w:t>
      </w:r>
      <w:r w:rsidR="00E53682">
        <w:rPr>
          <w:rFonts w:ascii="Calibri" w:hAnsi="Calibri"/>
        </w:rPr>
        <w:t>employeur a informé par courrier du 24 avril 2017</w:t>
      </w:r>
      <w:r>
        <w:rPr>
          <w:rFonts w:ascii="Calibri" w:hAnsi="Calibri"/>
        </w:rPr>
        <w:t>, les organisations syndicales de la société de sa décision d’engager les négociations annuelles obligatoires.</w:t>
      </w:r>
    </w:p>
    <w:p w14:paraId="6DFFF023" w14:textId="77777777" w:rsidR="00D04951" w:rsidRDefault="00D04951" w:rsidP="00FC23F4">
      <w:pPr>
        <w:jc w:val="both"/>
        <w:rPr>
          <w:rFonts w:ascii="Calibri" w:hAnsi="Calibri"/>
        </w:rPr>
      </w:pPr>
    </w:p>
    <w:p w14:paraId="0EAC65FC" w14:textId="77777777" w:rsidR="009E3341" w:rsidRDefault="00E840AD" w:rsidP="00FC23F4">
      <w:pPr>
        <w:jc w:val="both"/>
        <w:rPr>
          <w:rFonts w:ascii="Calibri" w:hAnsi="Calibri"/>
        </w:rPr>
      </w:pPr>
      <w:r>
        <w:rPr>
          <w:rFonts w:ascii="Calibri" w:hAnsi="Calibri"/>
        </w:rPr>
        <w:t>Conformément aux dispositions des article</w:t>
      </w:r>
      <w:r w:rsidR="00D1654C">
        <w:rPr>
          <w:rFonts w:ascii="Calibri" w:hAnsi="Calibri"/>
        </w:rPr>
        <w:t>s</w:t>
      </w:r>
      <w:r>
        <w:rPr>
          <w:rFonts w:ascii="Calibri" w:hAnsi="Calibri"/>
        </w:rPr>
        <w:t xml:space="preserve"> L2242-1 du Code du Travail, l</w:t>
      </w:r>
      <w:r w:rsidR="00294D07">
        <w:rPr>
          <w:rFonts w:ascii="Calibri" w:hAnsi="Calibri"/>
        </w:rPr>
        <w:t>es</w:t>
      </w:r>
      <w:r w:rsidR="009E3341">
        <w:rPr>
          <w:rFonts w:ascii="Calibri" w:hAnsi="Calibri"/>
        </w:rPr>
        <w:t xml:space="preserve"> Négociation</w:t>
      </w:r>
      <w:r w:rsidR="00294D07">
        <w:rPr>
          <w:rFonts w:ascii="Calibri" w:hAnsi="Calibri"/>
        </w:rPr>
        <w:t>s</w:t>
      </w:r>
      <w:r w:rsidR="009E3341">
        <w:rPr>
          <w:rFonts w:ascii="Calibri" w:hAnsi="Calibri"/>
        </w:rPr>
        <w:t xml:space="preserve"> Annuelle</w:t>
      </w:r>
      <w:r w:rsidR="00294D07">
        <w:rPr>
          <w:rFonts w:ascii="Calibri" w:hAnsi="Calibri"/>
        </w:rPr>
        <w:t>s</w:t>
      </w:r>
      <w:r w:rsidR="009E3341">
        <w:rPr>
          <w:rFonts w:ascii="Calibri" w:hAnsi="Calibri"/>
        </w:rPr>
        <w:t xml:space="preserve"> Obligatoire</w:t>
      </w:r>
      <w:r w:rsidR="00294D07">
        <w:rPr>
          <w:rFonts w:ascii="Calibri" w:hAnsi="Calibri"/>
        </w:rPr>
        <w:t>s</w:t>
      </w:r>
      <w:r w:rsidR="009E3341">
        <w:rPr>
          <w:rFonts w:ascii="Calibri" w:hAnsi="Calibri"/>
        </w:rPr>
        <w:t xml:space="preserve"> (NAO) s</w:t>
      </w:r>
      <w:r w:rsidR="00294D07">
        <w:rPr>
          <w:rFonts w:ascii="Calibri" w:hAnsi="Calibri"/>
        </w:rPr>
        <w:t xml:space="preserve">e sont </w:t>
      </w:r>
      <w:r w:rsidR="009E3341">
        <w:rPr>
          <w:rFonts w:ascii="Calibri" w:hAnsi="Calibri"/>
        </w:rPr>
        <w:t>déroulée</w:t>
      </w:r>
      <w:r w:rsidR="00294D07">
        <w:rPr>
          <w:rFonts w:ascii="Calibri" w:hAnsi="Calibri"/>
        </w:rPr>
        <w:t>s</w:t>
      </w:r>
      <w:r w:rsidR="009E3341">
        <w:rPr>
          <w:rFonts w:ascii="Calibri" w:hAnsi="Calibri"/>
        </w:rPr>
        <w:t xml:space="preserve"> au sein de la</w:t>
      </w:r>
      <w:r w:rsidR="009E3341" w:rsidRPr="00FC23F4">
        <w:rPr>
          <w:rFonts w:ascii="Calibri" w:hAnsi="Calibri"/>
        </w:rPr>
        <w:t xml:space="preserve"> Société Publique Locale Mobilité et Stationnement du Pays Ajaccien « MUVITARRA </w:t>
      </w:r>
      <w:r w:rsidR="009E3341" w:rsidRPr="00D1654C">
        <w:rPr>
          <w:rFonts w:ascii="Calibri" w:hAnsi="Calibri"/>
        </w:rPr>
        <w:t>»</w:t>
      </w:r>
      <w:r w:rsidR="00D25469" w:rsidRPr="00D1654C">
        <w:rPr>
          <w:rFonts w:ascii="Calibri" w:hAnsi="Calibri"/>
        </w:rPr>
        <w:t xml:space="preserve"> les 27 avril 2017,</w:t>
      </w:r>
      <w:r w:rsidR="00D25469">
        <w:rPr>
          <w:rFonts w:ascii="Calibri" w:hAnsi="Calibri"/>
        </w:rPr>
        <w:t xml:space="preserve"> 12 mai 2017, 18 mai 2017, 24 mai 2017, 1</w:t>
      </w:r>
      <w:r w:rsidR="00D25469" w:rsidRPr="00D25469">
        <w:rPr>
          <w:rFonts w:ascii="Calibri" w:hAnsi="Calibri"/>
          <w:vertAlign w:val="superscript"/>
        </w:rPr>
        <w:t>er</w:t>
      </w:r>
      <w:r w:rsidR="00D25469">
        <w:rPr>
          <w:rFonts w:ascii="Calibri" w:hAnsi="Calibri"/>
        </w:rPr>
        <w:t xml:space="preserve"> juin 2017, 6 juin 2017, 20 juin 2017, 7 juillet 2017</w:t>
      </w:r>
      <w:r w:rsidR="000F68C4">
        <w:rPr>
          <w:rFonts w:ascii="Calibri" w:hAnsi="Calibri"/>
        </w:rPr>
        <w:t>.</w:t>
      </w:r>
    </w:p>
    <w:p w14:paraId="06D13690" w14:textId="77777777" w:rsidR="00D04951" w:rsidRDefault="00D04951" w:rsidP="00FC23F4">
      <w:pPr>
        <w:jc w:val="both"/>
        <w:rPr>
          <w:rFonts w:ascii="Calibri" w:hAnsi="Calibri"/>
        </w:rPr>
      </w:pPr>
    </w:p>
    <w:p w14:paraId="2326E6C4" w14:textId="77777777" w:rsidR="00D04951" w:rsidRDefault="00D04951" w:rsidP="00FC23F4">
      <w:pPr>
        <w:jc w:val="both"/>
        <w:rPr>
          <w:rFonts w:ascii="Calibri" w:hAnsi="Calibri"/>
        </w:rPr>
      </w:pPr>
      <w:r>
        <w:rPr>
          <w:rFonts w:ascii="Calibri" w:hAnsi="Calibri"/>
        </w:rPr>
        <w:t>Lors de</w:t>
      </w:r>
      <w:r w:rsidRPr="00D1654C">
        <w:rPr>
          <w:rFonts w:ascii="Calibri" w:hAnsi="Calibri"/>
        </w:rPr>
        <w:t xml:space="preserve"> </w:t>
      </w:r>
      <w:r w:rsidR="00D1654C" w:rsidRPr="00D1654C">
        <w:rPr>
          <w:rFonts w:ascii="Calibri" w:hAnsi="Calibri"/>
        </w:rPr>
        <w:t xml:space="preserve">la </w:t>
      </w:r>
      <w:r w:rsidR="00D25469">
        <w:rPr>
          <w:rFonts w:ascii="Calibri" w:hAnsi="Calibri"/>
        </w:rPr>
        <w:t xml:space="preserve">réunion en date </w:t>
      </w:r>
      <w:r w:rsidR="00D25469" w:rsidRPr="00D1654C">
        <w:rPr>
          <w:rFonts w:ascii="Calibri" w:hAnsi="Calibri"/>
        </w:rPr>
        <w:t>du 12 mai</w:t>
      </w:r>
      <w:r w:rsidRPr="00D1654C">
        <w:rPr>
          <w:rFonts w:ascii="Calibri" w:hAnsi="Calibri"/>
        </w:rPr>
        <w:t xml:space="preserve"> 2017,</w:t>
      </w:r>
      <w:r>
        <w:rPr>
          <w:rFonts w:ascii="Calibri" w:hAnsi="Calibri"/>
        </w:rPr>
        <w:t xml:space="preserve"> la Direction a remis aux organisations syndicales les informations </w:t>
      </w:r>
      <w:r w:rsidRPr="00D04951">
        <w:rPr>
          <w:rFonts w:ascii="Calibri" w:hAnsi="Calibri" w:cs="Arial"/>
          <w:color w:val="000000"/>
        </w:rPr>
        <w:t>permettant une analyse comparée de la situation des hommes et des femmes concernant les emplois et les qualifications, les salaires payés, les horaires effectués et l'organisation du temps de travail</w:t>
      </w:r>
    </w:p>
    <w:p w14:paraId="266FA660" w14:textId="77777777" w:rsidR="000F68C4" w:rsidRDefault="000F68C4" w:rsidP="00FC23F4">
      <w:pPr>
        <w:jc w:val="both"/>
        <w:rPr>
          <w:rFonts w:ascii="Calibri" w:hAnsi="Calibri"/>
        </w:rPr>
      </w:pPr>
    </w:p>
    <w:p w14:paraId="244E7B0E" w14:textId="6A08995C" w:rsidR="00D04951" w:rsidRPr="00D04951" w:rsidRDefault="00D04951" w:rsidP="00D04951">
      <w:pPr>
        <w:numPr>
          <w:ilvl w:val="12"/>
          <w:numId w:val="0"/>
        </w:numPr>
        <w:tabs>
          <w:tab w:val="left" w:pos="0"/>
          <w:tab w:val="left" w:pos="543"/>
        </w:tabs>
        <w:jc w:val="both"/>
        <w:rPr>
          <w:rFonts w:ascii="Calibri" w:hAnsi="Calibri"/>
        </w:rPr>
      </w:pPr>
      <w:r w:rsidRPr="00D04951">
        <w:rPr>
          <w:rFonts w:ascii="Calibri" w:hAnsi="Calibri"/>
        </w:rPr>
        <w:t>Dans le cadre de la pr</w:t>
      </w:r>
      <w:r>
        <w:rPr>
          <w:rFonts w:ascii="Calibri" w:hAnsi="Calibri"/>
        </w:rPr>
        <w:t>ésente négociation, la Société Publique Locale Mobilité et Stationnement du Pays Ajaccien et les Organisations Syndicales</w:t>
      </w:r>
      <w:r w:rsidRPr="00D04951">
        <w:rPr>
          <w:rFonts w:ascii="Calibri" w:hAnsi="Calibri"/>
        </w:rPr>
        <w:t xml:space="preserve"> </w:t>
      </w:r>
      <w:r w:rsidR="00D1654C">
        <w:rPr>
          <w:rFonts w:ascii="Calibri" w:hAnsi="Calibri"/>
        </w:rPr>
        <w:t>ont notamment respecté l</w:t>
      </w:r>
      <w:r w:rsidRPr="00D04951">
        <w:rPr>
          <w:rFonts w:ascii="Calibri" w:hAnsi="Calibri"/>
        </w:rPr>
        <w:t>es règles suivantes :</w:t>
      </w:r>
    </w:p>
    <w:p w14:paraId="71D39B2E" w14:textId="77777777" w:rsidR="00D04951" w:rsidRPr="00D04951" w:rsidRDefault="00D04951" w:rsidP="00D04951">
      <w:pPr>
        <w:pStyle w:val="Article1annexe"/>
        <w:rPr>
          <w:rFonts w:ascii="Calibri" w:hAnsi="Calibri"/>
          <w:b w:val="0"/>
          <w:sz w:val="24"/>
          <w:szCs w:val="24"/>
        </w:rPr>
      </w:pPr>
      <w:r w:rsidRPr="00D04951">
        <w:rPr>
          <w:rFonts w:ascii="Calibri" w:hAnsi="Calibri"/>
          <w:b w:val="0"/>
          <w:sz w:val="24"/>
          <w:szCs w:val="24"/>
        </w:rPr>
        <w:t>1°</w:t>
      </w:r>
      <w:r w:rsidR="00D47099">
        <w:rPr>
          <w:rFonts w:ascii="Calibri" w:hAnsi="Calibri"/>
          <w:b w:val="0"/>
          <w:sz w:val="24"/>
          <w:szCs w:val="24"/>
        </w:rPr>
        <w:t>/</w:t>
      </w:r>
      <w:r w:rsidRPr="00D04951">
        <w:rPr>
          <w:rFonts w:ascii="Calibri" w:hAnsi="Calibri"/>
          <w:b w:val="0"/>
          <w:sz w:val="24"/>
          <w:szCs w:val="24"/>
        </w:rPr>
        <w:t xml:space="preserve"> Indépendance des négociat</w:t>
      </w:r>
      <w:r w:rsidR="00D47099">
        <w:rPr>
          <w:rFonts w:ascii="Calibri" w:hAnsi="Calibri"/>
          <w:b w:val="0"/>
          <w:sz w:val="24"/>
          <w:szCs w:val="24"/>
        </w:rPr>
        <w:t>eurs vis-à-vis de l'employeur ;</w:t>
      </w:r>
    </w:p>
    <w:p w14:paraId="5DF51E68" w14:textId="77777777" w:rsidR="00D04951" w:rsidRPr="00D04951" w:rsidRDefault="00D04951" w:rsidP="00D04951">
      <w:pPr>
        <w:pStyle w:val="Article1annexe"/>
        <w:rPr>
          <w:rFonts w:ascii="Calibri" w:hAnsi="Calibri"/>
          <w:b w:val="0"/>
          <w:sz w:val="24"/>
          <w:szCs w:val="24"/>
        </w:rPr>
      </w:pPr>
      <w:r w:rsidRPr="00D04951">
        <w:rPr>
          <w:rFonts w:ascii="Calibri" w:hAnsi="Calibri"/>
          <w:b w:val="0"/>
          <w:sz w:val="24"/>
          <w:szCs w:val="24"/>
        </w:rPr>
        <w:t>2°</w:t>
      </w:r>
      <w:r w:rsidR="00D47099">
        <w:rPr>
          <w:rFonts w:ascii="Calibri" w:hAnsi="Calibri"/>
          <w:b w:val="0"/>
          <w:sz w:val="24"/>
          <w:szCs w:val="24"/>
        </w:rPr>
        <w:t>/</w:t>
      </w:r>
      <w:r w:rsidRPr="00D04951">
        <w:rPr>
          <w:rFonts w:ascii="Calibri" w:hAnsi="Calibri"/>
          <w:b w:val="0"/>
          <w:sz w:val="24"/>
          <w:szCs w:val="24"/>
        </w:rPr>
        <w:t xml:space="preserve"> Elaboration conjointe du projet </w:t>
      </w:r>
      <w:r w:rsidR="00D47099">
        <w:rPr>
          <w:rFonts w:ascii="Calibri" w:hAnsi="Calibri"/>
          <w:b w:val="0"/>
          <w:sz w:val="24"/>
          <w:szCs w:val="24"/>
        </w:rPr>
        <w:t>d'accord par les négociateurs ;</w:t>
      </w:r>
    </w:p>
    <w:p w14:paraId="1F9C6ECC" w14:textId="77777777" w:rsidR="00D04951" w:rsidRPr="00D47099" w:rsidRDefault="00D04951" w:rsidP="00D47099">
      <w:pPr>
        <w:pStyle w:val="Article1annexe"/>
        <w:rPr>
          <w:rFonts w:ascii="Calibri" w:hAnsi="Calibri"/>
          <w:b w:val="0"/>
          <w:sz w:val="24"/>
          <w:szCs w:val="24"/>
        </w:rPr>
      </w:pPr>
      <w:r w:rsidRPr="00D04951">
        <w:rPr>
          <w:rFonts w:ascii="Calibri" w:hAnsi="Calibri"/>
          <w:b w:val="0"/>
          <w:sz w:val="24"/>
          <w:szCs w:val="24"/>
        </w:rPr>
        <w:t>3°</w:t>
      </w:r>
      <w:r w:rsidR="00D47099">
        <w:rPr>
          <w:rFonts w:ascii="Calibri" w:hAnsi="Calibri"/>
          <w:b w:val="0"/>
          <w:sz w:val="24"/>
          <w:szCs w:val="24"/>
        </w:rPr>
        <w:t>/</w:t>
      </w:r>
      <w:r w:rsidRPr="00D04951">
        <w:rPr>
          <w:rFonts w:ascii="Calibri" w:hAnsi="Calibri"/>
          <w:b w:val="0"/>
          <w:sz w:val="24"/>
          <w:szCs w:val="24"/>
        </w:rPr>
        <w:t xml:space="preserve"> Concertation avec les salariés</w:t>
      </w:r>
      <w:r w:rsidR="00D1654C">
        <w:rPr>
          <w:rFonts w:ascii="Calibri" w:hAnsi="Calibri"/>
          <w:b w:val="0"/>
          <w:sz w:val="24"/>
          <w:szCs w:val="24"/>
        </w:rPr>
        <w:t>.</w:t>
      </w:r>
    </w:p>
    <w:p w14:paraId="4F535AFB" w14:textId="77777777" w:rsidR="007F51D3" w:rsidRDefault="007F51D3" w:rsidP="007F51D3">
      <w:pPr>
        <w:jc w:val="both"/>
      </w:pPr>
      <w:r>
        <w:t xml:space="preserve">Les </w:t>
      </w:r>
      <w:r w:rsidRPr="007A4ECC">
        <w:t>négociations ont abouti à la signature du présent accord.</w:t>
      </w:r>
    </w:p>
    <w:p w14:paraId="4BD624FA" w14:textId="77777777" w:rsidR="007F51D3" w:rsidRPr="007A4ECC" w:rsidRDefault="007F51D3" w:rsidP="007F51D3">
      <w:pPr>
        <w:jc w:val="both"/>
      </w:pPr>
    </w:p>
    <w:p w14:paraId="715563D5" w14:textId="77777777" w:rsidR="000F68C4" w:rsidRDefault="000F68C4" w:rsidP="00FC23F4">
      <w:pPr>
        <w:jc w:val="both"/>
        <w:rPr>
          <w:rFonts w:ascii="Calibri" w:hAnsi="Calibri"/>
        </w:rPr>
      </w:pPr>
      <w:r>
        <w:rPr>
          <w:rFonts w:ascii="Calibri" w:hAnsi="Calibri"/>
        </w:rPr>
        <w:t>Par cet accord d’entreprise, les parties améliorent les dispositions légales et conventionnelles ainsi que les politiques de rémunération en vigueur dans l</w:t>
      </w:r>
      <w:r w:rsidR="00043C09">
        <w:rPr>
          <w:rFonts w:ascii="Calibri" w:hAnsi="Calibri"/>
        </w:rPr>
        <w:t>a société</w:t>
      </w:r>
      <w:r>
        <w:rPr>
          <w:rFonts w:ascii="Calibri" w:hAnsi="Calibri"/>
        </w:rPr>
        <w:t>.</w:t>
      </w:r>
    </w:p>
    <w:p w14:paraId="73E3DA7C" w14:textId="77777777" w:rsidR="000F68C4" w:rsidRDefault="00D1654C" w:rsidP="00FC23F4">
      <w:pPr>
        <w:jc w:val="both"/>
        <w:rPr>
          <w:rFonts w:ascii="Calibri" w:hAnsi="Calibri"/>
        </w:rPr>
      </w:pPr>
      <w:r>
        <w:rPr>
          <w:rFonts w:ascii="Calibri" w:hAnsi="Calibri"/>
        </w:rPr>
        <w:t>Le présent accord contient des mesure</w:t>
      </w:r>
      <w:r w:rsidR="003E5E0A">
        <w:rPr>
          <w:rFonts w:ascii="Calibri" w:hAnsi="Calibri"/>
        </w:rPr>
        <w:t>s</w:t>
      </w:r>
      <w:r>
        <w:rPr>
          <w:rFonts w:ascii="Calibri" w:hAnsi="Calibri"/>
        </w:rPr>
        <w:t xml:space="preserve"> de nature à faire </w:t>
      </w:r>
      <w:r w:rsidR="003E5E0A">
        <w:rPr>
          <w:rFonts w:ascii="Calibri" w:hAnsi="Calibri"/>
        </w:rPr>
        <w:t>progresser</w:t>
      </w:r>
      <w:r>
        <w:rPr>
          <w:rFonts w:ascii="Calibri" w:hAnsi="Calibri"/>
        </w:rPr>
        <w:t xml:space="preserve"> le pouvoir d’achat des salariés de l’entreprise dès 2017 </w:t>
      </w:r>
      <w:r w:rsidR="003E5E0A">
        <w:rPr>
          <w:rFonts w:ascii="Calibri" w:hAnsi="Calibri"/>
        </w:rPr>
        <w:t xml:space="preserve">et </w:t>
      </w:r>
      <w:r w:rsidR="007F51D3">
        <w:rPr>
          <w:rFonts w:ascii="Calibri" w:hAnsi="Calibri"/>
        </w:rPr>
        <w:t>fixe</w:t>
      </w:r>
      <w:r>
        <w:rPr>
          <w:rFonts w:ascii="Calibri" w:hAnsi="Calibri"/>
        </w:rPr>
        <w:t xml:space="preserve"> les orientations pour </w:t>
      </w:r>
      <w:r w:rsidR="003E5E0A">
        <w:rPr>
          <w:rFonts w:ascii="Calibri" w:hAnsi="Calibri"/>
        </w:rPr>
        <w:t xml:space="preserve">la poursuite de l’évolution du statut collectif sur </w:t>
      </w:r>
      <w:r>
        <w:rPr>
          <w:rFonts w:ascii="Calibri" w:hAnsi="Calibri"/>
        </w:rPr>
        <w:t>2018</w:t>
      </w:r>
      <w:r w:rsidR="003E5E0A">
        <w:rPr>
          <w:rFonts w:ascii="Calibri" w:hAnsi="Calibri"/>
        </w:rPr>
        <w:t>, tout en garantissant un fonctionnement efficace et équilibré à l’entreprise.</w:t>
      </w:r>
    </w:p>
    <w:p w14:paraId="0741CDD9" w14:textId="77777777" w:rsidR="003E5E0A" w:rsidRDefault="003E5E0A" w:rsidP="00FC23F4">
      <w:pPr>
        <w:jc w:val="both"/>
        <w:rPr>
          <w:rFonts w:ascii="Calibri" w:hAnsi="Calibri"/>
        </w:rPr>
      </w:pPr>
    </w:p>
    <w:p w14:paraId="0282A89F" w14:textId="409AF069" w:rsidR="00317190" w:rsidRDefault="009B0B1F" w:rsidP="007F51D3">
      <w:pPr>
        <w:jc w:val="both"/>
      </w:pPr>
      <w:r>
        <w:rPr>
          <w:rFonts w:ascii="Calibri" w:hAnsi="Calibri"/>
        </w:rPr>
        <w:t xml:space="preserve">Il emporte reprise par la </w:t>
      </w:r>
      <w:r w:rsidRPr="00FC23F4">
        <w:rPr>
          <w:rFonts w:ascii="Calibri" w:hAnsi="Calibri"/>
        </w:rPr>
        <w:t>Société Publique Locale Mobilité et S</w:t>
      </w:r>
      <w:r>
        <w:rPr>
          <w:rFonts w:ascii="Calibri" w:hAnsi="Calibri"/>
        </w:rPr>
        <w:t xml:space="preserve">tationnement du Pays Ajaccien </w:t>
      </w:r>
      <w:r w:rsidRPr="00FC23F4">
        <w:rPr>
          <w:rFonts w:ascii="Calibri" w:hAnsi="Calibri"/>
        </w:rPr>
        <w:t>MUVITARRA</w:t>
      </w:r>
      <w:r w:rsidR="008D4FA4">
        <w:rPr>
          <w:rFonts w:ascii="Calibri" w:hAnsi="Calibri"/>
        </w:rPr>
        <w:t xml:space="preserve"> </w:t>
      </w:r>
      <w:r>
        <w:rPr>
          <w:rFonts w:ascii="Calibri" w:hAnsi="Calibri"/>
        </w:rPr>
        <w:t xml:space="preserve">des accords collectifs </w:t>
      </w:r>
      <w:r w:rsidR="007F51D3">
        <w:rPr>
          <w:rFonts w:ascii="Calibri" w:hAnsi="Calibri"/>
        </w:rPr>
        <w:t xml:space="preserve">qu’il vise </w:t>
      </w:r>
      <w:r w:rsidR="007F51D3">
        <w:t xml:space="preserve">et révision de certaines </w:t>
      </w:r>
      <w:r w:rsidR="00317190">
        <w:t xml:space="preserve">leurs </w:t>
      </w:r>
      <w:r w:rsidR="007F51D3">
        <w:t>dispositions</w:t>
      </w:r>
      <w:r w:rsidR="00317190">
        <w:t>.</w:t>
      </w:r>
    </w:p>
    <w:p w14:paraId="698B845F" w14:textId="77777777" w:rsidR="007F51D3" w:rsidRDefault="007F51D3" w:rsidP="007F51D3">
      <w:pPr>
        <w:jc w:val="both"/>
      </w:pPr>
    </w:p>
    <w:p w14:paraId="28621B97" w14:textId="77777777" w:rsidR="007F51D3" w:rsidRPr="007A4ECC" w:rsidRDefault="007F51D3" w:rsidP="007F51D3">
      <w:pPr>
        <w:jc w:val="both"/>
        <w:rPr>
          <w:color w:val="1F4E79"/>
        </w:rPr>
      </w:pPr>
      <w:r>
        <w:t xml:space="preserve">D’une manière générale, le présent accord emporte révision de toutes dispositions </w:t>
      </w:r>
      <w:r w:rsidRPr="007A4ECC">
        <w:t xml:space="preserve">antérieurement applicables </w:t>
      </w:r>
      <w:r>
        <w:t xml:space="preserve">dans l’entreprise, </w:t>
      </w:r>
      <w:r w:rsidRPr="007A4ECC">
        <w:t>quelle que soit leur source (accord, décision unilatérale, usage)</w:t>
      </w:r>
      <w:r>
        <w:t>,</w:t>
      </w:r>
      <w:r w:rsidRPr="007A4ECC">
        <w:t xml:space="preserve"> ayant le même objet</w:t>
      </w:r>
      <w:r>
        <w:t xml:space="preserve"> que celles qui suivent</w:t>
      </w:r>
      <w:r w:rsidRPr="007A4ECC">
        <w:t xml:space="preserve">. </w:t>
      </w:r>
    </w:p>
    <w:p w14:paraId="56C929A0" w14:textId="77777777" w:rsidR="007F51D3" w:rsidRPr="007A4ECC" w:rsidRDefault="007F51D3" w:rsidP="007F51D3">
      <w:pPr>
        <w:jc w:val="both"/>
      </w:pPr>
    </w:p>
    <w:p w14:paraId="7E4EBAAF" w14:textId="77777777" w:rsidR="007F51D3" w:rsidRDefault="007F51D3" w:rsidP="00FC23F4">
      <w:pPr>
        <w:jc w:val="both"/>
        <w:rPr>
          <w:rFonts w:ascii="Calibri" w:hAnsi="Calibri"/>
        </w:rPr>
      </w:pPr>
    </w:p>
    <w:p w14:paraId="2D5CCA6E" w14:textId="32E5C9F9" w:rsidR="00942F6A" w:rsidRDefault="00942F6A" w:rsidP="00FC23F4">
      <w:pPr>
        <w:jc w:val="both"/>
        <w:rPr>
          <w:rFonts w:ascii="Calibri" w:hAnsi="Calibri"/>
        </w:rPr>
      </w:pPr>
    </w:p>
    <w:p w14:paraId="348211A0" w14:textId="7CEAFB7E" w:rsidR="00C212F2" w:rsidRDefault="00C212F2" w:rsidP="00FC23F4">
      <w:pPr>
        <w:jc w:val="both"/>
        <w:rPr>
          <w:rFonts w:ascii="Calibri" w:hAnsi="Calibri"/>
        </w:rPr>
      </w:pPr>
    </w:p>
    <w:p w14:paraId="5DBEFED7" w14:textId="034377DE" w:rsidR="00C212F2" w:rsidRDefault="00C212F2" w:rsidP="00FC23F4">
      <w:pPr>
        <w:jc w:val="both"/>
        <w:rPr>
          <w:rFonts w:ascii="Calibri" w:hAnsi="Calibri"/>
        </w:rPr>
      </w:pPr>
    </w:p>
    <w:p w14:paraId="4E5A397E" w14:textId="765C794E" w:rsidR="00C212F2" w:rsidRDefault="00C212F2" w:rsidP="00FC23F4">
      <w:pPr>
        <w:jc w:val="both"/>
        <w:rPr>
          <w:rFonts w:ascii="Calibri" w:hAnsi="Calibri"/>
        </w:rPr>
      </w:pPr>
    </w:p>
    <w:p w14:paraId="48654A7E" w14:textId="70E798D0" w:rsidR="00C212F2" w:rsidRPr="009E3341" w:rsidRDefault="00C212F2" w:rsidP="00FC23F4">
      <w:pPr>
        <w:jc w:val="both"/>
        <w:rPr>
          <w:rFonts w:ascii="Calibri" w:hAnsi="Calibri"/>
        </w:rPr>
      </w:pPr>
    </w:p>
    <w:p w14:paraId="5BCEA55E" w14:textId="77777777" w:rsidR="00FC23F4" w:rsidRDefault="00FC23F4" w:rsidP="00FC23F4">
      <w:pPr>
        <w:jc w:val="both"/>
        <w:rPr>
          <w:rFonts w:ascii="Arial" w:hAnsi="Arial"/>
          <w:b/>
        </w:rPr>
      </w:pPr>
      <w:r>
        <w:rPr>
          <w:rFonts w:ascii="Arial" w:hAnsi="Arial"/>
          <w:b/>
        </w:rPr>
        <w:t xml:space="preserve">IL A </w:t>
      </w:r>
      <w:r w:rsidR="007F51D3">
        <w:rPr>
          <w:rFonts w:ascii="Arial" w:hAnsi="Arial"/>
          <w:b/>
        </w:rPr>
        <w:t xml:space="preserve">AINSI </w:t>
      </w:r>
      <w:r>
        <w:rPr>
          <w:rFonts w:ascii="Arial" w:hAnsi="Arial"/>
          <w:b/>
        </w:rPr>
        <w:t>ETE CONVENU CE QUI SUIT :</w:t>
      </w:r>
    </w:p>
    <w:p w14:paraId="21AAE4F6" w14:textId="77777777" w:rsidR="008B77C4" w:rsidRDefault="008B77C4" w:rsidP="00FC23F4">
      <w:pPr>
        <w:jc w:val="both"/>
        <w:rPr>
          <w:rFonts w:ascii="Arial" w:hAnsi="Arial"/>
          <w:b/>
        </w:rPr>
      </w:pPr>
      <w:r>
        <w:rPr>
          <w:rFonts w:ascii="Arial" w:hAnsi="Arial"/>
          <w:b/>
        </w:rPr>
        <w:t xml:space="preserve"> </w:t>
      </w:r>
    </w:p>
    <w:p w14:paraId="341E74BB" w14:textId="77777777" w:rsidR="003E5E0A" w:rsidRDefault="003E5E0A" w:rsidP="00FC23F4">
      <w:pPr>
        <w:jc w:val="both"/>
        <w:rPr>
          <w:rFonts w:ascii="Arial" w:hAnsi="Arial"/>
          <w:b/>
        </w:rPr>
      </w:pPr>
    </w:p>
    <w:p w14:paraId="0F70E8BA" w14:textId="77777777" w:rsidR="008B77C4" w:rsidRPr="0029254F" w:rsidRDefault="008B77C4" w:rsidP="00FC23F4">
      <w:pPr>
        <w:pStyle w:val="Paragraphedeliste"/>
        <w:numPr>
          <w:ilvl w:val="0"/>
          <w:numId w:val="1"/>
        </w:numPr>
        <w:jc w:val="both"/>
        <w:rPr>
          <w:b/>
        </w:rPr>
      </w:pPr>
      <w:r w:rsidRPr="0029254F">
        <w:rPr>
          <w:b/>
        </w:rPr>
        <w:t>CHAMP D’APPLICATION</w:t>
      </w:r>
    </w:p>
    <w:p w14:paraId="799CE349" w14:textId="77777777" w:rsidR="008B77C4" w:rsidRDefault="008B77C4" w:rsidP="008B77C4">
      <w:pPr>
        <w:jc w:val="both"/>
      </w:pPr>
    </w:p>
    <w:p w14:paraId="12C85ECF" w14:textId="6B13D2DE" w:rsidR="008B77C4" w:rsidRDefault="007F0412" w:rsidP="008B77C4">
      <w:pPr>
        <w:jc w:val="both"/>
      </w:pPr>
      <w:r>
        <w:t xml:space="preserve">Sauf précision différente mentionnée dans les articles qui suivent, le </w:t>
      </w:r>
      <w:r w:rsidR="008B77C4">
        <w:t xml:space="preserve">présent accord s’applique à l’ensemble du personnel </w:t>
      </w:r>
      <w:r w:rsidR="003E5E0A">
        <w:t xml:space="preserve">salarié de </w:t>
      </w:r>
      <w:r w:rsidR="008B77C4">
        <w:t>la Société Publique Locale Mobilité et Stationnement du Pays Ajaccien.</w:t>
      </w:r>
    </w:p>
    <w:p w14:paraId="2BE9E545" w14:textId="77777777" w:rsidR="008B77C4" w:rsidRDefault="008B77C4" w:rsidP="008B77C4">
      <w:pPr>
        <w:jc w:val="both"/>
      </w:pPr>
    </w:p>
    <w:p w14:paraId="470D5924" w14:textId="77777777" w:rsidR="003E5E0A" w:rsidRDefault="003E5E0A" w:rsidP="008B77C4">
      <w:pPr>
        <w:jc w:val="both"/>
      </w:pPr>
    </w:p>
    <w:p w14:paraId="66218215" w14:textId="77777777" w:rsidR="00FC23F4" w:rsidRPr="0029254F" w:rsidRDefault="00FC23F4" w:rsidP="00FC23F4">
      <w:pPr>
        <w:pStyle w:val="Paragraphedeliste"/>
        <w:numPr>
          <w:ilvl w:val="0"/>
          <w:numId w:val="1"/>
        </w:numPr>
        <w:jc w:val="both"/>
        <w:rPr>
          <w:b/>
        </w:rPr>
      </w:pPr>
      <w:r w:rsidRPr="0029254F">
        <w:rPr>
          <w:b/>
        </w:rPr>
        <w:t>MESURES EN FAVEUR DU POUVOIR D’ACHAT</w:t>
      </w:r>
    </w:p>
    <w:p w14:paraId="2E884ED3" w14:textId="77777777" w:rsidR="00E840AD" w:rsidRDefault="00E840AD" w:rsidP="00E840AD">
      <w:pPr>
        <w:pStyle w:val="Paragraphedeliste"/>
        <w:jc w:val="both"/>
      </w:pPr>
    </w:p>
    <w:p w14:paraId="14F2F8CE" w14:textId="2001AC11" w:rsidR="00067790" w:rsidRPr="0029254F" w:rsidRDefault="00067790" w:rsidP="00067790">
      <w:pPr>
        <w:pStyle w:val="Paragraphedeliste"/>
        <w:numPr>
          <w:ilvl w:val="1"/>
          <w:numId w:val="1"/>
        </w:numPr>
        <w:jc w:val="both"/>
        <w:rPr>
          <w:u w:val="single"/>
        </w:rPr>
      </w:pPr>
      <w:r w:rsidRPr="0029254F">
        <w:rPr>
          <w:u w:val="single"/>
        </w:rPr>
        <w:t xml:space="preserve">Grille d’ancienneté </w:t>
      </w:r>
    </w:p>
    <w:p w14:paraId="4CE5D733" w14:textId="6D781013" w:rsidR="004B2E3A" w:rsidRDefault="004B2E3A" w:rsidP="00067790">
      <w:pPr>
        <w:jc w:val="both"/>
      </w:pPr>
    </w:p>
    <w:p w14:paraId="559964BB" w14:textId="7B32CE4E" w:rsidR="009B0B1F" w:rsidRDefault="009B0B1F" w:rsidP="00067790">
      <w:pPr>
        <w:jc w:val="both"/>
      </w:pPr>
      <w:r>
        <w:t xml:space="preserve">L’accord d’entreprise </w:t>
      </w:r>
      <w:r w:rsidR="00067790">
        <w:t xml:space="preserve">du 6 juin 2007 </w:t>
      </w:r>
      <w:r w:rsidR="00317190">
        <w:t>(accord annuel 2007 sur les salaires) a instauré</w:t>
      </w:r>
      <w:r>
        <w:t xml:space="preserve"> une grille de majoration de salaire pour ancienneté spécifique à la catégorie des conducteurs-receveurs.</w:t>
      </w:r>
    </w:p>
    <w:p w14:paraId="416E4559" w14:textId="6BF4961D" w:rsidR="00494DFC" w:rsidRDefault="00494DFC" w:rsidP="00067790">
      <w:pPr>
        <w:jc w:val="both"/>
      </w:pPr>
    </w:p>
    <w:p w14:paraId="1D18A54F" w14:textId="6F5797CE" w:rsidR="00067790" w:rsidRDefault="00317190" w:rsidP="00067790">
      <w:pPr>
        <w:jc w:val="both"/>
      </w:pPr>
      <w:r>
        <w:t xml:space="preserve">A </w:t>
      </w:r>
      <w:r w:rsidR="00067790">
        <w:t>compter du 1</w:t>
      </w:r>
      <w:r w:rsidR="00067790" w:rsidRPr="00067790">
        <w:rPr>
          <w:vertAlign w:val="superscript"/>
        </w:rPr>
        <w:t>er</w:t>
      </w:r>
      <w:r w:rsidR="004B2E3A">
        <w:t xml:space="preserve"> octobre 2017</w:t>
      </w:r>
      <w:r w:rsidR="003503B9">
        <w:t xml:space="preserve"> </w:t>
      </w:r>
      <w:r w:rsidR="009B0B1F">
        <w:t>le bénéfice de cette grille est étendu</w:t>
      </w:r>
      <w:r w:rsidR="0059688C">
        <w:t>e</w:t>
      </w:r>
      <w:r w:rsidR="009B0B1F">
        <w:t xml:space="preserve"> </w:t>
      </w:r>
      <w:r w:rsidR="002005B7">
        <w:t>aux employés et aux agents de maîtrise</w:t>
      </w:r>
      <w:r w:rsidR="004B2E3A">
        <w:t xml:space="preserve"> de la Société Publique Locale Mobilité et Stationnement du Pays Ajaccien</w:t>
      </w:r>
      <w:r w:rsidR="0059688C">
        <w:t xml:space="preserve"> dans les conditions suivantes</w:t>
      </w:r>
      <w:r w:rsidR="00067790">
        <w:t> :</w:t>
      </w:r>
    </w:p>
    <w:p w14:paraId="558A7AE0" w14:textId="77777777" w:rsidR="007C55AC" w:rsidRDefault="007C55AC" w:rsidP="00067790">
      <w:pPr>
        <w:jc w:val="both"/>
      </w:pPr>
    </w:p>
    <w:p w14:paraId="3C98BF8A" w14:textId="77777777" w:rsidR="004B2E3A" w:rsidRDefault="004B2E3A" w:rsidP="00067790">
      <w:pPr>
        <w:jc w:val="both"/>
      </w:pPr>
      <w:r w:rsidRPr="004B2E3A">
        <w:t>Anc</w:t>
      </w:r>
      <w:r>
        <w:t>ienneté</w:t>
      </w:r>
      <w:r w:rsidRPr="004B2E3A">
        <w:t xml:space="preserve"> 0 à 6mo</w:t>
      </w:r>
      <w:r>
        <w:t xml:space="preserve">is=0% </w:t>
      </w:r>
    </w:p>
    <w:p w14:paraId="4AF8D4A5" w14:textId="77777777" w:rsidR="004B2E3A" w:rsidRDefault="004B2E3A" w:rsidP="00067790">
      <w:pPr>
        <w:jc w:val="both"/>
      </w:pPr>
      <w:r w:rsidRPr="004B2E3A">
        <w:t>Anc</w:t>
      </w:r>
      <w:r>
        <w:t>ienneté</w:t>
      </w:r>
      <w:r w:rsidRPr="004B2E3A">
        <w:t xml:space="preserve"> 6 mois à </w:t>
      </w:r>
      <w:r>
        <w:t>1an=3%</w:t>
      </w:r>
    </w:p>
    <w:p w14:paraId="47028AAB" w14:textId="77777777" w:rsidR="004B2E3A" w:rsidRDefault="004B2E3A" w:rsidP="00067790">
      <w:pPr>
        <w:jc w:val="both"/>
      </w:pPr>
      <w:r w:rsidRPr="004B2E3A">
        <w:t>Anc</w:t>
      </w:r>
      <w:r>
        <w:t>ienneté</w:t>
      </w:r>
      <w:r w:rsidRPr="004B2E3A">
        <w:t xml:space="preserve"> 1 à 3 ans</w:t>
      </w:r>
      <w:r>
        <w:t>=7%</w:t>
      </w:r>
    </w:p>
    <w:p w14:paraId="478E9BF6" w14:textId="77777777" w:rsidR="004B2E3A" w:rsidRDefault="004B2E3A" w:rsidP="00067790">
      <w:pPr>
        <w:jc w:val="both"/>
      </w:pPr>
      <w:r w:rsidRPr="004B2E3A">
        <w:t>Anc</w:t>
      </w:r>
      <w:r>
        <w:t>ienneté</w:t>
      </w:r>
      <w:r w:rsidRPr="004B2E3A">
        <w:t xml:space="preserve"> 3 à </w:t>
      </w:r>
      <w:r>
        <w:t>5ans=14,5%</w:t>
      </w:r>
    </w:p>
    <w:p w14:paraId="4501FE0A" w14:textId="77777777" w:rsidR="004B2E3A" w:rsidRDefault="004B2E3A" w:rsidP="00067790">
      <w:pPr>
        <w:jc w:val="both"/>
      </w:pPr>
      <w:r w:rsidRPr="004B2E3A">
        <w:t>Anc</w:t>
      </w:r>
      <w:r>
        <w:t>ienneté</w:t>
      </w:r>
      <w:r w:rsidRPr="004B2E3A">
        <w:t xml:space="preserve"> 5 à 10an</w:t>
      </w:r>
      <w:r>
        <w:t>s=16,5%</w:t>
      </w:r>
    </w:p>
    <w:p w14:paraId="787B9F05" w14:textId="77777777" w:rsidR="004B2E3A" w:rsidRDefault="004B2E3A" w:rsidP="00067790">
      <w:pPr>
        <w:jc w:val="both"/>
      </w:pPr>
      <w:r w:rsidRPr="004B2E3A">
        <w:t>Anc</w:t>
      </w:r>
      <w:r>
        <w:t>ienneté</w:t>
      </w:r>
      <w:r w:rsidRPr="004B2E3A">
        <w:t xml:space="preserve"> 10</w:t>
      </w:r>
      <w:r>
        <w:t xml:space="preserve"> à 15 ans=18,5%</w:t>
      </w:r>
    </w:p>
    <w:p w14:paraId="39907768" w14:textId="77777777" w:rsidR="004B2E3A" w:rsidRDefault="004B2E3A" w:rsidP="00067790">
      <w:pPr>
        <w:jc w:val="both"/>
      </w:pPr>
      <w:r w:rsidRPr="004B2E3A">
        <w:t>Anc</w:t>
      </w:r>
      <w:r>
        <w:t>ienneté</w:t>
      </w:r>
      <w:r w:rsidRPr="004B2E3A">
        <w:t xml:space="preserve"> 1</w:t>
      </w:r>
      <w:r>
        <w:t xml:space="preserve">5 à 20ans= 22% </w:t>
      </w:r>
    </w:p>
    <w:p w14:paraId="76419C88" w14:textId="77777777" w:rsidR="004B2E3A" w:rsidRDefault="004B2E3A" w:rsidP="00067790">
      <w:pPr>
        <w:jc w:val="both"/>
      </w:pPr>
      <w:r w:rsidRPr="004B2E3A">
        <w:t>Anc</w:t>
      </w:r>
      <w:r>
        <w:t>ienneté</w:t>
      </w:r>
      <w:r w:rsidRPr="004B2E3A">
        <w:t xml:space="preserve"> 20 à </w:t>
      </w:r>
      <w:r>
        <w:t>25 ans=24,5%</w:t>
      </w:r>
    </w:p>
    <w:p w14:paraId="4E1EFFBF" w14:textId="77777777" w:rsidR="004B2E3A" w:rsidRDefault="004B2E3A" w:rsidP="00067790">
      <w:pPr>
        <w:jc w:val="both"/>
      </w:pPr>
      <w:r w:rsidRPr="004B2E3A">
        <w:t>Anc</w:t>
      </w:r>
      <w:r>
        <w:t>ienneté</w:t>
      </w:r>
      <w:r w:rsidRPr="004B2E3A">
        <w:t xml:space="preserve"> 25 </w:t>
      </w:r>
      <w:r>
        <w:t>à 28ans=28%</w:t>
      </w:r>
    </w:p>
    <w:p w14:paraId="1646236C" w14:textId="77777777" w:rsidR="004B2E3A" w:rsidRDefault="004B2E3A" w:rsidP="00067790">
      <w:pPr>
        <w:jc w:val="both"/>
      </w:pPr>
      <w:r w:rsidRPr="004B2E3A">
        <w:t>Anc</w:t>
      </w:r>
      <w:r>
        <w:t>ienneté</w:t>
      </w:r>
      <w:r w:rsidRPr="004B2E3A">
        <w:t xml:space="preserve"> 28 à 30</w:t>
      </w:r>
      <w:r>
        <w:t xml:space="preserve">ans=30% </w:t>
      </w:r>
    </w:p>
    <w:p w14:paraId="1BC9A254" w14:textId="77777777" w:rsidR="004B2E3A" w:rsidRDefault="004B2E3A" w:rsidP="00067790">
      <w:pPr>
        <w:jc w:val="both"/>
      </w:pPr>
      <w:r w:rsidRPr="004B2E3A">
        <w:t>Anc</w:t>
      </w:r>
      <w:r>
        <w:t>ienneté</w:t>
      </w:r>
      <w:r w:rsidRPr="004B2E3A">
        <w:t xml:space="preserve"> +30ans=35%</w:t>
      </w:r>
    </w:p>
    <w:p w14:paraId="21653DEB" w14:textId="77777777" w:rsidR="00067790" w:rsidRDefault="00067790" w:rsidP="00067790">
      <w:pPr>
        <w:jc w:val="both"/>
      </w:pPr>
    </w:p>
    <w:p w14:paraId="4184D6E5" w14:textId="1AF1BA18" w:rsidR="00494DFC" w:rsidRDefault="00084553" w:rsidP="00067790">
      <w:pPr>
        <w:jc w:val="both"/>
      </w:pPr>
      <w:r>
        <w:t>L’article 4</w:t>
      </w:r>
      <w:r w:rsidR="00494DFC">
        <w:t xml:space="preserve"> de l’accord d’entreprise du 14 décembre 2000 a créé deux références d’ancienneté sur la grille conventionnelle des salaires pour les salariés passant à 28 ans d’ancienneté et à 30 ans d’ancienneté.</w:t>
      </w:r>
    </w:p>
    <w:p w14:paraId="1A410528" w14:textId="467CF319" w:rsidR="00494DFC" w:rsidRDefault="00494DFC" w:rsidP="00067790">
      <w:pPr>
        <w:jc w:val="both"/>
      </w:pPr>
    </w:p>
    <w:p w14:paraId="44052C33" w14:textId="59E601D0" w:rsidR="00E77A19" w:rsidRDefault="00084553" w:rsidP="00067790">
      <w:pPr>
        <w:jc w:val="both"/>
      </w:pPr>
      <w:r>
        <w:t xml:space="preserve">La grille d’ancienneté prévue par l’accord du 14 décembre 2000 </w:t>
      </w:r>
      <w:r w:rsidR="00CF7CA9">
        <w:t>ne sera donc plus appliquée à compter du 1</w:t>
      </w:r>
      <w:r w:rsidR="00CF7CA9" w:rsidRPr="00CF7CA9">
        <w:rPr>
          <w:vertAlign w:val="superscript"/>
        </w:rPr>
        <w:t>er</w:t>
      </w:r>
      <w:r w:rsidR="00CF7CA9">
        <w:t xml:space="preserve"> octobre 2017 et sera remplacée par</w:t>
      </w:r>
      <w:r>
        <w:t xml:space="preserve"> de l’application de la grille ci-dessus.</w:t>
      </w:r>
    </w:p>
    <w:p w14:paraId="1BB60C90" w14:textId="77777777" w:rsidR="00494DFC" w:rsidRDefault="00494DFC" w:rsidP="00067790">
      <w:pPr>
        <w:jc w:val="both"/>
      </w:pPr>
    </w:p>
    <w:p w14:paraId="157D737A" w14:textId="47FF4FE4" w:rsidR="00BF71CC" w:rsidRDefault="00067790" w:rsidP="00067790">
      <w:pPr>
        <w:pStyle w:val="Paragraphedeliste"/>
        <w:numPr>
          <w:ilvl w:val="1"/>
          <w:numId w:val="1"/>
        </w:numPr>
        <w:jc w:val="both"/>
        <w:rPr>
          <w:u w:val="single"/>
        </w:rPr>
      </w:pPr>
      <w:r w:rsidRPr="0029254F">
        <w:rPr>
          <w:u w:val="single"/>
        </w:rPr>
        <w:t>Augmentation d</w:t>
      </w:r>
      <w:r w:rsidR="00380E1C">
        <w:rPr>
          <w:u w:val="single"/>
        </w:rPr>
        <w:t>es</w:t>
      </w:r>
      <w:r w:rsidRPr="0029254F">
        <w:rPr>
          <w:u w:val="single"/>
        </w:rPr>
        <w:t xml:space="preserve"> coefficient</w:t>
      </w:r>
      <w:r w:rsidR="00E77A19">
        <w:rPr>
          <w:u w:val="single"/>
        </w:rPr>
        <w:t>s</w:t>
      </w:r>
      <w:r w:rsidRPr="0029254F">
        <w:rPr>
          <w:u w:val="single"/>
        </w:rPr>
        <w:t xml:space="preserve"> </w:t>
      </w:r>
    </w:p>
    <w:p w14:paraId="08C3C5B9" w14:textId="77777777" w:rsidR="00BF71CC" w:rsidRDefault="00BF71CC" w:rsidP="00BF71CC">
      <w:pPr>
        <w:jc w:val="both"/>
        <w:rPr>
          <w:u w:val="single"/>
        </w:rPr>
      </w:pPr>
    </w:p>
    <w:p w14:paraId="7EED10AD" w14:textId="43CBA116" w:rsidR="002005B7" w:rsidRDefault="00BF71CC" w:rsidP="00BF71CC">
      <w:pPr>
        <w:jc w:val="both"/>
        <w:rPr>
          <w:u w:val="single"/>
        </w:rPr>
      </w:pPr>
      <w:r>
        <w:lastRenderedPageBreak/>
        <w:t xml:space="preserve">Les parties conviennent d’établir une nouvelle grille de classification pour favoriser la </w:t>
      </w:r>
      <w:r w:rsidRPr="002005B7">
        <w:t xml:space="preserve">reconnaissance des métiers dans l’entreprise d’ici </w:t>
      </w:r>
      <w:r>
        <w:t>le 31 décembre 2017</w:t>
      </w:r>
      <w:r w:rsidR="0080604F">
        <w:t xml:space="preserve"> et notamment les métiers de</w:t>
      </w:r>
      <w:r w:rsidR="00CF7CA9">
        <w:t xml:space="preserve"> </w:t>
      </w:r>
      <w:r w:rsidR="00084553">
        <w:t>vérificateurs et de contrôleurs.</w:t>
      </w:r>
    </w:p>
    <w:p w14:paraId="5D473CC8" w14:textId="77777777" w:rsidR="00BF71CC" w:rsidRDefault="00BF71CC" w:rsidP="00BF71CC">
      <w:pPr>
        <w:jc w:val="both"/>
      </w:pPr>
    </w:p>
    <w:p w14:paraId="10F3A17F" w14:textId="1F5D7FCE" w:rsidR="00BF71CC" w:rsidRPr="005574AB" w:rsidRDefault="00BF71CC" w:rsidP="00BF71CC">
      <w:pPr>
        <w:jc w:val="both"/>
      </w:pPr>
      <w:r w:rsidRPr="00552705">
        <w:t>Dans l’attente de la mise en œuvre de cette nouvelle grille</w:t>
      </w:r>
      <w:r w:rsidR="00B87AE2" w:rsidRPr="00552705">
        <w:t xml:space="preserve">, pour prendre en compte l’évolution des métiers dans l’entreprise </w:t>
      </w:r>
      <w:r w:rsidRPr="00552705">
        <w:t xml:space="preserve">il est </w:t>
      </w:r>
      <w:r w:rsidR="00B87AE2" w:rsidRPr="00552705">
        <w:t xml:space="preserve">d’ores et déjà </w:t>
      </w:r>
      <w:r w:rsidRPr="00552705">
        <w:t xml:space="preserve">convenu que </w:t>
      </w:r>
      <w:r w:rsidR="006F12EE" w:rsidRPr="00552705">
        <w:t>les emplois relatifs à</w:t>
      </w:r>
      <w:r w:rsidR="00F0707E" w:rsidRPr="00552705">
        <w:t xml:space="preserve"> l’exécution</w:t>
      </w:r>
      <w:r w:rsidR="006F12EE" w:rsidRPr="00552705">
        <w:t xml:space="preserve"> et au contrôle de l’exploitation, existants dans l’entreprise</w:t>
      </w:r>
      <w:r w:rsidR="006F12EE" w:rsidRPr="00552705">
        <w:rPr>
          <w:i/>
        </w:rPr>
        <w:t>,</w:t>
      </w:r>
      <w:r w:rsidR="00B87AE2" w:rsidRPr="00552705">
        <w:t xml:space="preserve"> </w:t>
      </w:r>
      <w:r w:rsidR="00BC7130" w:rsidRPr="00552705">
        <w:t>se</w:t>
      </w:r>
      <w:r w:rsidR="00B87AE2" w:rsidRPr="00552705">
        <w:t xml:space="preserve"> verront attribuer</w:t>
      </w:r>
      <w:r w:rsidRPr="00552705">
        <w:t xml:space="preserve"> </w:t>
      </w:r>
      <w:r w:rsidR="00B87AE2" w:rsidRPr="00552705">
        <w:t xml:space="preserve">un coefficient </w:t>
      </w:r>
      <w:r w:rsidR="006F12EE" w:rsidRPr="00552705">
        <w:t xml:space="preserve">augmenté de </w:t>
      </w:r>
      <w:r w:rsidR="00F0707E" w:rsidRPr="00552705">
        <w:t xml:space="preserve">10 points </w:t>
      </w:r>
      <w:r w:rsidRPr="005574AB">
        <w:t>à compter du 1</w:t>
      </w:r>
      <w:r w:rsidRPr="005574AB">
        <w:rPr>
          <w:vertAlign w:val="superscript"/>
        </w:rPr>
        <w:t>er</w:t>
      </w:r>
      <w:r w:rsidRPr="005574AB">
        <w:t xml:space="preserve"> octobre 2017</w:t>
      </w:r>
      <w:r w:rsidR="0068094A" w:rsidRPr="005574AB">
        <w:t>.</w:t>
      </w:r>
    </w:p>
    <w:p w14:paraId="77E14D36" w14:textId="77777777" w:rsidR="0068094A" w:rsidRPr="005574AB" w:rsidRDefault="0068094A" w:rsidP="00BF71CC">
      <w:pPr>
        <w:jc w:val="both"/>
      </w:pPr>
    </w:p>
    <w:p w14:paraId="195C1445" w14:textId="574DEC31" w:rsidR="00067790" w:rsidRPr="00BF71CC" w:rsidRDefault="0068094A" w:rsidP="00BF71CC">
      <w:pPr>
        <w:jc w:val="both"/>
        <w:rPr>
          <w:u w:val="single"/>
        </w:rPr>
      </w:pPr>
      <w:r>
        <w:rPr>
          <w:u w:val="single"/>
        </w:rPr>
        <w:t>2.2.1 L</w:t>
      </w:r>
      <w:r w:rsidR="00067790" w:rsidRPr="00BF71CC">
        <w:rPr>
          <w:u w:val="single"/>
        </w:rPr>
        <w:t>es conducteurs-receveurs</w:t>
      </w:r>
    </w:p>
    <w:p w14:paraId="7C825415" w14:textId="77777777" w:rsidR="004B70C1" w:rsidRDefault="004B70C1" w:rsidP="004B70C1">
      <w:pPr>
        <w:jc w:val="both"/>
      </w:pPr>
    </w:p>
    <w:p w14:paraId="2EE0B299" w14:textId="77777777" w:rsidR="0059688C" w:rsidRDefault="0059688C" w:rsidP="004B70C1">
      <w:pPr>
        <w:jc w:val="both"/>
      </w:pPr>
      <w:r>
        <w:t>L’accord d’entreprise du 18 avril 2005 (accord annuel 2005 sur les salaires) a attribué le coefficient 210 aux conducteurs-receveurs.</w:t>
      </w:r>
    </w:p>
    <w:p w14:paraId="7D3072EB" w14:textId="77777777" w:rsidR="00E77A19" w:rsidRDefault="00E77A19" w:rsidP="004B70C1">
      <w:pPr>
        <w:jc w:val="both"/>
      </w:pPr>
    </w:p>
    <w:p w14:paraId="46B58B52" w14:textId="5E3D03B1" w:rsidR="0068094A" w:rsidRDefault="004B70C1" w:rsidP="004B70C1">
      <w:pPr>
        <w:jc w:val="both"/>
      </w:pPr>
      <w:r>
        <w:t xml:space="preserve">Les conducteurs – receveurs </w:t>
      </w:r>
      <w:r w:rsidR="002A0F2D">
        <w:t xml:space="preserve">et les vérificateurs </w:t>
      </w:r>
      <w:r w:rsidR="00E53682">
        <w:t>se verront</w:t>
      </w:r>
      <w:r w:rsidR="009376A5">
        <w:t xml:space="preserve"> attribuer le coefficient 220 à compter du 1</w:t>
      </w:r>
      <w:r w:rsidR="009376A5" w:rsidRPr="009376A5">
        <w:rPr>
          <w:vertAlign w:val="superscript"/>
        </w:rPr>
        <w:t>er</w:t>
      </w:r>
      <w:r w:rsidR="009376A5">
        <w:t xml:space="preserve"> octobre 2017</w:t>
      </w:r>
      <w:r w:rsidR="0068094A">
        <w:t>.</w:t>
      </w:r>
    </w:p>
    <w:p w14:paraId="37210308" w14:textId="188AA8AD" w:rsidR="003503B9" w:rsidRDefault="003503B9" w:rsidP="0068094A">
      <w:pPr>
        <w:jc w:val="both"/>
        <w:rPr>
          <w:u w:val="single"/>
        </w:rPr>
      </w:pPr>
    </w:p>
    <w:p w14:paraId="521B33A5" w14:textId="77777777" w:rsidR="005574AB" w:rsidRPr="00552705" w:rsidRDefault="003503B9" w:rsidP="002B2EBC">
      <w:pPr>
        <w:jc w:val="both"/>
        <w:rPr>
          <w:u w:val="single"/>
        </w:rPr>
      </w:pPr>
      <w:r w:rsidRPr="005574AB">
        <w:rPr>
          <w:u w:val="single"/>
        </w:rPr>
        <w:t>2.2.2 Les contrôleurs</w:t>
      </w:r>
    </w:p>
    <w:p w14:paraId="69B56D7D" w14:textId="77777777" w:rsidR="006F12EE" w:rsidRPr="005574AB" w:rsidRDefault="006F12EE" w:rsidP="002B2EBC">
      <w:pPr>
        <w:jc w:val="both"/>
        <w:rPr>
          <w:u w:val="single"/>
        </w:rPr>
      </w:pPr>
    </w:p>
    <w:p w14:paraId="6E92E323" w14:textId="659746B2" w:rsidR="002B2EBC" w:rsidRPr="002B2EBC" w:rsidRDefault="002B2EBC" w:rsidP="002B2EBC">
      <w:pPr>
        <w:jc w:val="both"/>
        <w:rPr>
          <w:u w:val="single"/>
        </w:rPr>
      </w:pPr>
      <w:bookmarkStart w:id="0" w:name="_Hlk487450510"/>
      <w:r w:rsidRPr="005574AB">
        <w:t xml:space="preserve">Les </w:t>
      </w:r>
      <w:r w:rsidR="005574AB" w:rsidRPr="00552705">
        <w:t xml:space="preserve">contrôleurs </w:t>
      </w:r>
      <w:r w:rsidRPr="005574AB">
        <w:t xml:space="preserve">actuellement </w:t>
      </w:r>
      <w:r>
        <w:t>au coefficient 220 se verront attribuer le coefficient 230 à compter du 1</w:t>
      </w:r>
      <w:r w:rsidRPr="002B2EBC">
        <w:rPr>
          <w:vertAlign w:val="superscript"/>
        </w:rPr>
        <w:t>er</w:t>
      </w:r>
      <w:r>
        <w:t xml:space="preserve"> octobre 2017.</w:t>
      </w:r>
      <w:bookmarkEnd w:id="0"/>
    </w:p>
    <w:p w14:paraId="0A07154A" w14:textId="77777777" w:rsidR="00131100" w:rsidRPr="00131100" w:rsidRDefault="00131100" w:rsidP="00131100">
      <w:pPr>
        <w:jc w:val="both"/>
        <w:rPr>
          <w:u w:val="single"/>
        </w:rPr>
      </w:pPr>
    </w:p>
    <w:p w14:paraId="4CC860F1" w14:textId="606E11B0" w:rsidR="002B2EBC" w:rsidRDefault="002B2EBC" w:rsidP="00067790">
      <w:pPr>
        <w:pStyle w:val="Paragraphedeliste"/>
        <w:numPr>
          <w:ilvl w:val="1"/>
          <w:numId w:val="1"/>
        </w:numPr>
        <w:jc w:val="both"/>
        <w:rPr>
          <w:u w:val="single"/>
        </w:rPr>
      </w:pPr>
      <w:r>
        <w:rPr>
          <w:u w:val="single"/>
        </w:rPr>
        <w:t>Su</w:t>
      </w:r>
      <w:r w:rsidR="00CF7CA9">
        <w:rPr>
          <w:u w:val="single"/>
        </w:rPr>
        <w:t>spension</w:t>
      </w:r>
      <w:r>
        <w:rPr>
          <w:u w:val="single"/>
        </w:rPr>
        <w:t xml:space="preserve"> de la prime de non accident</w:t>
      </w:r>
    </w:p>
    <w:p w14:paraId="3E3BEC12" w14:textId="77777777" w:rsidR="00A5294E" w:rsidRDefault="00A5294E" w:rsidP="002B2EBC">
      <w:pPr>
        <w:jc w:val="both"/>
      </w:pPr>
    </w:p>
    <w:p w14:paraId="1BDC454F" w14:textId="1B47D22C" w:rsidR="002B2EBC" w:rsidRDefault="00A5294E" w:rsidP="002B2EBC">
      <w:pPr>
        <w:jc w:val="both"/>
      </w:pPr>
      <w:r>
        <w:t>Les parties conviennent de su</w:t>
      </w:r>
      <w:r w:rsidR="00CF7CA9">
        <w:t>spendre le paiement</w:t>
      </w:r>
      <w:r>
        <w:t xml:space="preserve"> la prime de non accident prévu</w:t>
      </w:r>
      <w:r w:rsidR="00415028">
        <w:t>e</w:t>
      </w:r>
      <w:r>
        <w:t xml:space="preserve"> par </w:t>
      </w:r>
      <w:r w:rsidR="005574AB">
        <w:t xml:space="preserve">les </w:t>
      </w:r>
      <w:r>
        <w:t>accord</w:t>
      </w:r>
      <w:r w:rsidR="005574AB">
        <w:t>s</w:t>
      </w:r>
      <w:r>
        <w:t xml:space="preserve"> d</w:t>
      </w:r>
      <w:r w:rsidR="00415028">
        <w:t>u 19 octobre 1973</w:t>
      </w:r>
      <w:r w:rsidR="005574AB">
        <w:t>,</w:t>
      </w:r>
      <w:r>
        <w:t xml:space="preserve"> et </w:t>
      </w:r>
      <w:r w:rsidR="00415028">
        <w:t xml:space="preserve">dont le montant a été </w:t>
      </w:r>
      <w:r>
        <w:t>majoré par l</w:t>
      </w:r>
      <w:r w:rsidR="00415028">
        <w:t xml:space="preserve">es accords de négociations annuelles sur les salaires et notamment les </w:t>
      </w:r>
      <w:r>
        <w:t>accord</w:t>
      </w:r>
      <w:r w:rsidR="00415028">
        <w:t>s des</w:t>
      </w:r>
      <w:r>
        <w:t xml:space="preserve"> </w:t>
      </w:r>
      <w:r w:rsidR="00415028">
        <w:t xml:space="preserve">24 novembre 1978, </w:t>
      </w:r>
      <w:r>
        <w:t xml:space="preserve">12 </w:t>
      </w:r>
      <w:r w:rsidR="00415028">
        <w:t xml:space="preserve">et 19 </w:t>
      </w:r>
      <w:r>
        <w:t>février 1985</w:t>
      </w:r>
      <w:r w:rsidR="00CF7CA9">
        <w:t>, à compter du 1</w:t>
      </w:r>
      <w:r w:rsidR="00CF7CA9" w:rsidRPr="00CF7CA9">
        <w:rPr>
          <w:vertAlign w:val="superscript"/>
        </w:rPr>
        <w:t>er</w:t>
      </w:r>
      <w:r w:rsidR="00CF7CA9">
        <w:t xml:space="preserve"> octobre 2017</w:t>
      </w:r>
      <w:r>
        <w:t>.</w:t>
      </w:r>
    </w:p>
    <w:p w14:paraId="6C5BA836" w14:textId="77777777" w:rsidR="00A5294E" w:rsidRDefault="00A5294E" w:rsidP="002B2EBC">
      <w:pPr>
        <w:jc w:val="both"/>
      </w:pPr>
    </w:p>
    <w:p w14:paraId="13510885" w14:textId="79EAF436" w:rsidR="00A5294E" w:rsidRDefault="00A5294E" w:rsidP="002B2EBC">
      <w:pPr>
        <w:jc w:val="both"/>
      </w:pPr>
      <w:r>
        <w:t>L</w:t>
      </w:r>
      <w:r w:rsidR="00084553">
        <w:t>ors de</w:t>
      </w:r>
      <w:r w:rsidR="00C43F98">
        <w:t>s</w:t>
      </w:r>
      <w:r w:rsidR="00084553">
        <w:t xml:space="preserve"> NAO 2018, l</w:t>
      </w:r>
      <w:r>
        <w:t xml:space="preserve">es parties conviennent </w:t>
      </w:r>
      <w:r w:rsidR="001427ED">
        <w:t xml:space="preserve">de </w:t>
      </w:r>
      <w:r w:rsidR="00084553">
        <w:t>mettre</w:t>
      </w:r>
      <w:r w:rsidR="001427ED">
        <w:t xml:space="preserve"> en place un mécanisme incitatif sous forme de prime annuelle visant d’une part à réduire de manière significative le nombre de sinistre et d’autre part à valoriser l’absence de sinistres</w:t>
      </w:r>
      <w:r w:rsidR="00084553">
        <w:t xml:space="preserve"> par une prime annuelle qui sera revalorisée.</w:t>
      </w:r>
    </w:p>
    <w:p w14:paraId="502C1845" w14:textId="29DC3111" w:rsidR="00792E60" w:rsidRDefault="00792E60" w:rsidP="002B2EBC">
      <w:pPr>
        <w:jc w:val="both"/>
      </w:pPr>
    </w:p>
    <w:p w14:paraId="30B375F5" w14:textId="5780BF64" w:rsidR="00792E60" w:rsidRDefault="006746D6" w:rsidP="002B2EBC">
      <w:pPr>
        <w:jc w:val="both"/>
      </w:pPr>
      <w:r>
        <w:t>Toutefois, ce mécanisme intégrera une base de 21 euros fixe correspondant à un engagement des conducteurs receveurs d’effectuer les formalités requises par la procédure en cas d’accident.</w:t>
      </w:r>
    </w:p>
    <w:p w14:paraId="013B5412" w14:textId="77777777" w:rsidR="006746D6" w:rsidRPr="00A5294E" w:rsidRDefault="006746D6" w:rsidP="002B2EBC">
      <w:pPr>
        <w:jc w:val="both"/>
      </w:pPr>
    </w:p>
    <w:p w14:paraId="4527EEC3" w14:textId="77777777" w:rsidR="00FC23F4" w:rsidRPr="0029254F" w:rsidRDefault="00FC23F4" w:rsidP="00067790">
      <w:pPr>
        <w:pStyle w:val="Paragraphedeliste"/>
        <w:numPr>
          <w:ilvl w:val="1"/>
          <w:numId w:val="1"/>
        </w:numPr>
        <w:jc w:val="both"/>
        <w:rPr>
          <w:u w:val="single"/>
        </w:rPr>
      </w:pPr>
      <w:r w:rsidRPr="0029254F">
        <w:rPr>
          <w:u w:val="single"/>
        </w:rPr>
        <w:t>Budget du Comité d’entreprise</w:t>
      </w:r>
    </w:p>
    <w:p w14:paraId="27FF7BA5" w14:textId="77777777" w:rsidR="004B70C1" w:rsidRDefault="004B70C1" w:rsidP="00067790">
      <w:pPr>
        <w:jc w:val="both"/>
      </w:pPr>
    </w:p>
    <w:p w14:paraId="0F372364" w14:textId="6ACB1A2D" w:rsidR="006845EF" w:rsidRDefault="00BF5812" w:rsidP="00067790">
      <w:pPr>
        <w:jc w:val="both"/>
      </w:pPr>
      <w:r>
        <w:t xml:space="preserve">Une dotation exceptionnelle </w:t>
      </w:r>
      <w:r w:rsidR="006845EF">
        <w:t>sera versée au comité d’entreprise au titre du budget des œuvres sociales et culturelles pour les années 2017 et 2018.</w:t>
      </w:r>
    </w:p>
    <w:p w14:paraId="51555A84" w14:textId="10D806CC" w:rsidR="00067790" w:rsidRDefault="006845EF" w:rsidP="00067790">
      <w:pPr>
        <w:jc w:val="both"/>
      </w:pPr>
      <w:r w:rsidRPr="006845EF">
        <w:t xml:space="preserve">La direction s’engage à ce titre à ce que ce </w:t>
      </w:r>
      <w:r w:rsidR="00067790" w:rsidRPr="006845EF">
        <w:t>budget</w:t>
      </w:r>
      <w:r w:rsidR="00067790">
        <w:t xml:space="preserve"> </w:t>
      </w:r>
      <w:r>
        <w:t xml:space="preserve">représente une somme d’au moins </w:t>
      </w:r>
      <w:r w:rsidR="00067790">
        <w:t xml:space="preserve">1000 euros </w:t>
      </w:r>
      <w:r>
        <w:t xml:space="preserve">de plus </w:t>
      </w:r>
      <w:r w:rsidR="00067790">
        <w:t xml:space="preserve">en 2017 et </w:t>
      </w:r>
      <w:r>
        <w:t xml:space="preserve">d’au moins </w:t>
      </w:r>
      <w:r w:rsidR="00067790">
        <w:t xml:space="preserve">5000 euros </w:t>
      </w:r>
      <w:r>
        <w:t xml:space="preserve">de plus </w:t>
      </w:r>
      <w:r w:rsidR="00067790">
        <w:t>en 2018</w:t>
      </w:r>
      <w:r>
        <w:t xml:space="preserve"> par rapport au total du budget des œuvres sociales et culturelles versé en 2016</w:t>
      </w:r>
      <w:r w:rsidR="00067790">
        <w:t>.</w:t>
      </w:r>
    </w:p>
    <w:p w14:paraId="527E53B7" w14:textId="77777777" w:rsidR="006845EF" w:rsidRDefault="006845EF" w:rsidP="00067790">
      <w:pPr>
        <w:jc w:val="both"/>
      </w:pPr>
      <w:r>
        <w:t>Cette dotation exceptionnelle ne sera pas reconduite en 2019.</w:t>
      </w:r>
    </w:p>
    <w:p w14:paraId="535E848C" w14:textId="77777777" w:rsidR="006845EF" w:rsidRDefault="006845EF" w:rsidP="00067790">
      <w:pPr>
        <w:jc w:val="both"/>
      </w:pPr>
    </w:p>
    <w:p w14:paraId="6C0FCC5E" w14:textId="77777777" w:rsidR="00067790" w:rsidRDefault="00067790" w:rsidP="00067790">
      <w:pPr>
        <w:jc w:val="both"/>
      </w:pPr>
      <w:r>
        <w:lastRenderedPageBreak/>
        <w:t>Il est demandé au comité d’entreprise d’utiliser ce budget supplémentaire prioritairement pour des initiatives bénéficiant à l’ensemble des salariés.</w:t>
      </w:r>
    </w:p>
    <w:p w14:paraId="3520265D" w14:textId="77777777" w:rsidR="00067790" w:rsidRDefault="00067790" w:rsidP="00067790">
      <w:pPr>
        <w:jc w:val="both"/>
      </w:pPr>
    </w:p>
    <w:p w14:paraId="1DE6D0CF" w14:textId="21FDE7BE" w:rsidR="00E53682" w:rsidRPr="00B74D30" w:rsidRDefault="00415028" w:rsidP="002436D6">
      <w:pPr>
        <w:spacing w:after="160" w:line="259" w:lineRule="auto"/>
      </w:pPr>
      <w:bookmarkStart w:id="1" w:name="_GoBack"/>
      <w:bookmarkEnd w:id="1"/>
      <w:r>
        <w:t>2.</w:t>
      </w:r>
      <w:r w:rsidRPr="00B74D30">
        <w:t xml:space="preserve">5 </w:t>
      </w:r>
      <w:r w:rsidR="00C43F98">
        <w:t>Effet report des mesures en faveur du pouvoir d’achat sur les NAO 2018</w:t>
      </w:r>
    </w:p>
    <w:p w14:paraId="3AE55557" w14:textId="77777777" w:rsidR="00317190" w:rsidRPr="00B74D30" w:rsidRDefault="00317190" w:rsidP="00067790">
      <w:pPr>
        <w:jc w:val="both"/>
      </w:pPr>
    </w:p>
    <w:p w14:paraId="0945C86E" w14:textId="45A7BF57" w:rsidR="00C43F98" w:rsidRDefault="00BF5812" w:rsidP="00BF5812">
      <w:pPr>
        <w:pStyle w:val="Commentaire"/>
        <w:jc w:val="both"/>
        <w:rPr>
          <w:sz w:val="24"/>
          <w:szCs w:val="24"/>
        </w:rPr>
      </w:pPr>
      <w:r w:rsidRPr="00BF5812">
        <w:rPr>
          <w:sz w:val="24"/>
          <w:szCs w:val="24"/>
        </w:rPr>
        <w:t xml:space="preserve">Compte-tenu des dispositions </w:t>
      </w:r>
      <w:r>
        <w:rPr>
          <w:sz w:val="24"/>
          <w:szCs w:val="24"/>
        </w:rPr>
        <w:t xml:space="preserve">prévues en faveur du pouvoir d’achat des salariés </w:t>
      </w:r>
      <w:r w:rsidRPr="00BF5812">
        <w:rPr>
          <w:sz w:val="24"/>
          <w:szCs w:val="24"/>
        </w:rPr>
        <w:t xml:space="preserve">aux termes </w:t>
      </w:r>
      <w:r>
        <w:rPr>
          <w:sz w:val="24"/>
          <w:szCs w:val="24"/>
        </w:rPr>
        <w:t xml:space="preserve">du présent accord, </w:t>
      </w:r>
      <w:r w:rsidRPr="00BF5812">
        <w:rPr>
          <w:sz w:val="24"/>
          <w:szCs w:val="24"/>
        </w:rPr>
        <w:t>les parties conviennent qu</w:t>
      </w:r>
      <w:r w:rsidR="00C43F98">
        <w:rPr>
          <w:sz w:val="24"/>
          <w:szCs w:val="24"/>
        </w:rPr>
        <w:t>e les mesures en faveur du pouvoir d’achat accordée</w:t>
      </w:r>
      <w:r w:rsidR="00A24760">
        <w:rPr>
          <w:sz w:val="24"/>
          <w:szCs w:val="24"/>
        </w:rPr>
        <w:t>s</w:t>
      </w:r>
      <w:r w:rsidR="00C43F98">
        <w:rPr>
          <w:sz w:val="24"/>
          <w:szCs w:val="24"/>
        </w:rPr>
        <w:t xml:space="preserve"> lors des NAO 2017 auront un effet report sur les NAO 2018.</w:t>
      </w:r>
    </w:p>
    <w:p w14:paraId="0B07B0AB" w14:textId="3EFCA08E" w:rsidR="00317190" w:rsidRDefault="00317190" w:rsidP="00BF5812">
      <w:pPr>
        <w:pStyle w:val="Commentaire"/>
        <w:jc w:val="both"/>
        <w:rPr>
          <w:sz w:val="24"/>
          <w:szCs w:val="24"/>
        </w:rPr>
      </w:pPr>
    </w:p>
    <w:p w14:paraId="41113D3A" w14:textId="7130D361" w:rsidR="00BF5812" w:rsidRPr="00BF5812" w:rsidRDefault="00BF5812" w:rsidP="00CF7CA9">
      <w:pPr>
        <w:pStyle w:val="Commentaire"/>
        <w:jc w:val="both"/>
        <w:rPr>
          <w:sz w:val="24"/>
          <w:szCs w:val="24"/>
        </w:rPr>
      </w:pPr>
      <w:r>
        <w:rPr>
          <w:sz w:val="24"/>
          <w:szCs w:val="24"/>
        </w:rPr>
        <w:t xml:space="preserve">Les organisations syndicales s’engagent à ce titre à ne pas formuler de revendication en vue d’une nouvelle augmentation du pouvoir d’achat des salariés </w:t>
      </w:r>
      <w:r w:rsidRPr="00BF5812">
        <w:rPr>
          <w:sz w:val="24"/>
          <w:szCs w:val="24"/>
        </w:rPr>
        <w:t>(salaires, prime</w:t>
      </w:r>
      <w:r w:rsidR="00CF7CA9">
        <w:rPr>
          <w:sz w:val="24"/>
          <w:szCs w:val="24"/>
        </w:rPr>
        <w:t xml:space="preserve"> (hors mécanisme de prime de non accident)</w:t>
      </w:r>
      <w:r w:rsidRPr="00BF5812">
        <w:rPr>
          <w:sz w:val="24"/>
          <w:szCs w:val="24"/>
        </w:rPr>
        <w:t>, point 100, coefficient et ancienneté)</w:t>
      </w:r>
      <w:r>
        <w:rPr>
          <w:sz w:val="24"/>
          <w:szCs w:val="24"/>
        </w:rPr>
        <w:t xml:space="preserve"> dans le cadre des NAO 2018.</w:t>
      </w:r>
    </w:p>
    <w:p w14:paraId="4D66C13F" w14:textId="77777777" w:rsidR="00317190" w:rsidRDefault="00317190" w:rsidP="00067790">
      <w:pPr>
        <w:jc w:val="both"/>
      </w:pPr>
    </w:p>
    <w:p w14:paraId="7A106C4B" w14:textId="18D28A1C" w:rsidR="00317190" w:rsidRDefault="00DB7BB4" w:rsidP="00067790">
      <w:pPr>
        <w:jc w:val="both"/>
      </w:pPr>
      <w:r>
        <w:t>Toutefois, les parties s’engagent à faire un bilan en septembre 2018 sur l’évolution de l’inflation et prendre les mesures correctives nécessaires si besoin.</w:t>
      </w:r>
    </w:p>
    <w:p w14:paraId="60091E93" w14:textId="63CAD0BA" w:rsidR="00DB7BB4" w:rsidRDefault="00DB7BB4" w:rsidP="00067790">
      <w:pPr>
        <w:jc w:val="both"/>
      </w:pPr>
    </w:p>
    <w:p w14:paraId="76B64D01" w14:textId="4244BF86" w:rsidR="00407CD6" w:rsidRDefault="00407CD6" w:rsidP="00067790">
      <w:pPr>
        <w:jc w:val="both"/>
      </w:pPr>
      <w:r>
        <w:t>Par ailleurs, les parties s’engagent à se rencontrer pour la réunion préparatoire pour les NAO 2018 au mois de janvier 2018.</w:t>
      </w:r>
    </w:p>
    <w:p w14:paraId="62744288" w14:textId="77777777" w:rsidR="00407CD6" w:rsidRDefault="00407CD6" w:rsidP="00067790">
      <w:pPr>
        <w:jc w:val="both"/>
      </w:pPr>
    </w:p>
    <w:p w14:paraId="6317745A" w14:textId="77777777" w:rsidR="00687DD0" w:rsidRPr="0029254F" w:rsidRDefault="00687DD0" w:rsidP="0029254F">
      <w:pPr>
        <w:pStyle w:val="Paragraphedeliste"/>
        <w:numPr>
          <w:ilvl w:val="0"/>
          <w:numId w:val="1"/>
        </w:numPr>
        <w:jc w:val="both"/>
        <w:rPr>
          <w:b/>
        </w:rPr>
      </w:pPr>
      <w:r w:rsidRPr="0029254F">
        <w:rPr>
          <w:b/>
        </w:rPr>
        <w:t>MESURE EN FAVEUR DU TEMPS DE TRAVAIL</w:t>
      </w:r>
    </w:p>
    <w:p w14:paraId="284E8EF3" w14:textId="2BE08AFE" w:rsidR="004B70C1" w:rsidRDefault="004B70C1" w:rsidP="00687DD0">
      <w:pPr>
        <w:jc w:val="both"/>
      </w:pPr>
    </w:p>
    <w:p w14:paraId="2B93FFD3" w14:textId="77777777" w:rsidR="00D47459" w:rsidRDefault="00D47459" w:rsidP="00D47459">
      <w:pPr>
        <w:jc w:val="both"/>
      </w:pPr>
      <w:r>
        <w:t>La durée de travail dans l’entreprise est fixée à 35 heures par semaine pour un salarié à temps complet.</w:t>
      </w:r>
    </w:p>
    <w:p w14:paraId="6041006C" w14:textId="46704C1B" w:rsidR="00D47459" w:rsidRDefault="00D47459" w:rsidP="00687DD0">
      <w:pPr>
        <w:jc w:val="both"/>
      </w:pPr>
    </w:p>
    <w:p w14:paraId="68CED5B2" w14:textId="33AE710A" w:rsidR="0029254F" w:rsidRDefault="00F0707E" w:rsidP="00E53682">
      <w:pPr>
        <w:jc w:val="both"/>
        <w:rPr>
          <w:rFonts w:ascii="Calibri" w:hAnsi="Calibri"/>
        </w:rPr>
      </w:pPr>
      <w:r w:rsidRPr="00B74D30">
        <w:rPr>
          <w:rFonts w:ascii="Calibri" w:hAnsi="Calibri"/>
        </w:rPr>
        <w:t xml:space="preserve">La durée </w:t>
      </w:r>
      <w:r w:rsidR="006845EF" w:rsidRPr="00B74D30">
        <w:rPr>
          <w:rFonts w:ascii="Calibri" w:hAnsi="Calibri"/>
        </w:rPr>
        <w:t>hebdomadaire</w:t>
      </w:r>
      <w:r w:rsidRPr="00B74D30">
        <w:rPr>
          <w:rFonts w:ascii="Calibri" w:hAnsi="Calibri"/>
        </w:rPr>
        <w:t xml:space="preserve"> de 35 h </w:t>
      </w:r>
      <w:r w:rsidR="006845EF">
        <w:rPr>
          <w:rFonts w:ascii="Calibri" w:hAnsi="Calibri"/>
        </w:rPr>
        <w:t xml:space="preserve">s’apprécie en </w:t>
      </w:r>
      <w:r w:rsidR="0029254F">
        <w:rPr>
          <w:rFonts w:ascii="Calibri" w:hAnsi="Calibri"/>
        </w:rPr>
        <w:t xml:space="preserve">moyenne </w:t>
      </w:r>
      <w:r w:rsidR="006845EF">
        <w:rPr>
          <w:rFonts w:ascii="Calibri" w:hAnsi="Calibri"/>
        </w:rPr>
        <w:t>dans le cadre d</w:t>
      </w:r>
      <w:r w:rsidR="00947A58">
        <w:rPr>
          <w:rFonts w:ascii="Calibri" w:hAnsi="Calibri"/>
        </w:rPr>
        <w:t>e</w:t>
      </w:r>
      <w:r w:rsidR="006845EF">
        <w:rPr>
          <w:rFonts w:ascii="Calibri" w:hAnsi="Calibri"/>
        </w:rPr>
        <w:t xml:space="preserve"> </w:t>
      </w:r>
      <w:r w:rsidR="0029254F">
        <w:rPr>
          <w:rFonts w:ascii="Calibri" w:hAnsi="Calibri"/>
        </w:rPr>
        <w:t>cycle</w:t>
      </w:r>
      <w:r w:rsidR="00947A58">
        <w:rPr>
          <w:rFonts w:ascii="Calibri" w:hAnsi="Calibri"/>
        </w:rPr>
        <w:t>s</w:t>
      </w:r>
      <w:r w:rsidR="0029254F">
        <w:rPr>
          <w:rFonts w:ascii="Calibri" w:hAnsi="Calibri"/>
        </w:rPr>
        <w:t xml:space="preserve"> de 12 semaines </w:t>
      </w:r>
      <w:r w:rsidR="00E53682">
        <w:rPr>
          <w:rFonts w:ascii="Calibri" w:hAnsi="Calibri"/>
        </w:rPr>
        <w:t>pour les conducteurs-receveurs</w:t>
      </w:r>
      <w:r w:rsidR="00494DFC">
        <w:rPr>
          <w:rFonts w:ascii="Calibri" w:hAnsi="Calibri"/>
        </w:rPr>
        <w:t xml:space="preserve"> </w:t>
      </w:r>
      <w:r w:rsidR="0029254F">
        <w:rPr>
          <w:rFonts w:ascii="Calibri" w:hAnsi="Calibri"/>
        </w:rPr>
        <w:t>t se traduit donc par :</w:t>
      </w:r>
    </w:p>
    <w:p w14:paraId="61E8EA33" w14:textId="77777777" w:rsidR="00FA03A3" w:rsidRDefault="00FA03A3" w:rsidP="0029254F">
      <w:pPr>
        <w:rPr>
          <w:rFonts w:ascii="Calibri" w:hAnsi="Calibri"/>
        </w:rPr>
      </w:pPr>
    </w:p>
    <w:p w14:paraId="3F6D8CE1" w14:textId="77777777" w:rsidR="0029254F" w:rsidRPr="0075192D" w:rsidRDefault="0029254F" w:rsidP="00E53682">
      <w:pPr>
        <w:pStyle w:val="Paragraphedeliste"/>
        <w:numPr>
          <w:ilvl w:val="0"/>
          <w:numId w:val="2"/>
        </w:numPr>
        <w:spacing w:after="200"/>
        <w:jc w:val="both"/>
        <w:rPr>
          <w:rFonts w:ascii="Calibri" w:hAnsi="Calibri"/>
        </w:rPr>
      </w:pPr>
      <w:r>
        <w:rPr>
          <w:rFonts w:ascii="Calibri" w:hAnsi="Calibri"/>
        </w:rPr>
        <w:t xml:space="preserve"> </w:t>
      </w:r>
      <w:r w:rsidRPr="0075192D">
        <w:rPr>
          <w:rFonts w:ascii="Calibri" w:hAnsi="Calibri"/>
        </w:rPr>
        <w:t>5</w:t>
      </w:r>
      <w:r>
        <w:rPr>
          <w:rFonts w:ascii="Calibri" w:hAnsi="Calibri"/>
        </w:rPr>
        <w:t xml:space="preserve">,83 </w:t>
      </w:r>
      <w:r w:rsidRPr="0075192D">
        <w:rPr>
          <w:rFonts w:ascii="Calibri" w:hAnsi="Calibri"/>
        </w:rPr>
        <w:t>h</w:t>
      </w:r>
      <w:r>
        <w:rPr>
          <w:rFonts w:ascii="Calibri" w:hAnsi="Calibri"/>
        </w:rPr>
        <w:t>eures en moyenne journalière,</w:t>
      </w:r>
    </w:p>
    <w:p w14:paraId="68C27238" w14:textId="3DA4197B" w:rsidR="0029254F" w:rsidRPr="0075192D" w:rsidRDefault="0029254F" w:rsidP="00E53682">
      <w:pPr>
        <w:pStyle w:val="Paragraphedeliste"/>
        <w:numPr>
          <w:ilvl w:val="0"/>
          <w:numId w:val="2"/>
        </w:numPr>
        <w:spacing w:after="200"/>
        <w:jc w:val="both"/>
        <w:rPr>
          <w:rFonts w:ascii="Calibri" w:hAnsi="Calibri"/>
        </w:rPr>
      </w:pPr>
      <w:r w:rsidRPr="0075192D">
        <w:rPr>
          <w:rFonts w:ascii="Calibri" w:hAnsi="Calibri"/>
        </w:rPr>
        <w:t xml:space="preserve"> </w:t>
      </w:r>
      <w:r>
        <w:rPr>
          <w:rFonts w:ascii="Calibri" w:hAnsi="Calibri"/>
        </w:rPr>
        <w:t>420 heures sur 12 semaines</w:t>
      </w:r>
      <w:r w:rsidRPr="0075192D">
        <w:rPr>
          <w:rFonts w:ascii="Calibri" w:hAnsi="Calibri"/>
        </w:rPr>
        <w:t>.</w:t>
      </w:r>
    </w:p>
    <w:p w14:paraId="06A4D06C" w14:textId="77777777" w:rsidR="0029254F" w:rsidRDefault="0029254F" w:rsidP="00E53682">
      <w:pPr>
        <w:jc w:val="both"/>
      </w:pPr>
    </w:p>
    <w:p w14:paraId="7BDC7F4B" w14:textId="77777777" w:rsidR="006845EF" w:rsidRDefault="006845EF" w:rsidP="00E53682">
      <w:pPr>
        <w:jc w:val="both"/>
        <w:rPr>
          <w:rFonts w:ascii="Calibri" w:hAnsi="Calibri"/>
        </w:rPr>
      </w:pPr>
      <w:r>
        <w:t xml:space="preserve">La rémunération est versée sur une base mensuelle lissée de </w:t>
      </w:r>
      <w:r w:rsidRPr="0075192D">
        <w:rPr>
          <w:rFonts w:ascii="Calibri" w:hAnsi="Calibri"/>
        </w:rPr>
        <w:t>151</w:t>
      </w:r>
      <w:r>
        <w:rPr>
          <w:rFonts w:ascii="Calibri" w:hAnsi="Calibri"/>
        </w:rPr>
        <w:t>,67 heures.</w:t>
      </w:r>
    </w:p>
    <w:p w14:paraId="550C6C10" w14:textId="77777777" w:rsidR="006845EF" w:rsidRDefault="006845EF" w:rsidP="00E53682">
      <w:pPr>
        <w:jc w:val="both"/>
      </w:pPr>
    </w:p>
    <w:p w14:paraId="589A798D" w14:textId="77777777" w:rsidR="006845EF" w:rsidRDefault="006845EF" w:rsidP="00E53682">
      <w:pPr>
        <w:jc w:val="both"/>
      </w:pPr>
    </w:p>
    <w:p w14:paraId="3BE4B08F" w14:textId="0151FEBD" w:rsidR="00380E1C" w:rsidRDefault="00380E1C" w:rsidP="00E53682">
      <w:pPr>
        <w:pStyle w:val="Paragraphedeliste"/>
        <w:numPr>
          <w:ilvl w:val="0"/>
          <w:numId w:val="1"/>
        </w:numPr>
        <w:jc w:val="both"/>
        <w:rPr>
          <w:b/>
        </w:rPr>
      </w:pPr>
      <w:r>
        <w:rPr>
          <w:b/>
        </w:rPr>
        <w:t>MISE EN PLACE DE CONGES POUR GARDE D’ENFANT MALADE</w:t>
      </w:r>
    </w:p>
    <w:p w14:paraId="670163FA" w14:textId="51EAE89A" w:rsidR="00380E1C" w:rsidRDefault="00380E1C" w:rsidP="00380E1C">
      <w:pPr>
        <w:jc w:val="both"/>
      </w:pPr>
    </w:p>
    <w:p w14:paraId="3BEA4153" w14:textId="27F6D434" w:rsidR="00FB0DF2" w:rsidRDefault="00FB0DF2" w:rsidP="00380E1C">
      <w:pPr>
        <w:jc w:val="both"/>
      </w:pPr>
      <w:r>
        <w:t>En cas de maladie d’un enfant à charge de moins de 16 ans, la mère et/</w:t>
      </w:r>
      <w:r w:rsidR="007E34DC">
        <w:t>ou le</w:t>
      </w:r>
      <w:r>
        <w:t xml:space="preserve"> père salarié </w:t>
      </w:r>
      <w:r w:rsidR="007E34DC">
        <w:t>pourra bénéficier</w:t>
      </w:r>
      <w:r>
        <w:t>, sur le nombre de congé non rémunéré pour enfant malade autorisé par les dispositions légales en vigueur, de congés pour garde d’enfant malade rémunérés à 100% dans les conditions ci-après :</w:t>
      </w:r>
    </w:p>
    <w:p w14:paraId="35002A73" w14:textId="515C3682" w:rsidR="00B51BB5" w:rsidRDefault="00B51BB5" w:rsidP="00380E1C">
      <w:pPr>
        <w:jc w:val="both"/>
      </w:pPr>
    </w:p>
    <w:p w14:paraId="52CE150F" w14:textId="77777777" w:rsidR="00B51BB5" w:rsidRDefault="00B51BB5" w:rsidP="00B51BB5">
      <w:pPr>
        <w:pStyle w:val="Paragraphedeliste"/>
        <w:numPr>
          <w:ilvl w:val="0"/>
          <w:numId w:val="2"/>
        </w:numPr>
        <w:jc w:val="both"/>
      </w:pPr>
      <w:r>
        <w:t>1 jour de congé pour garde d’enfant malade pour l’année 2017 ;</w:t>
      </w:r>
    </w:p>
    <w:p w14:paraId="470AD09E" w14:textId="77777777" w:rsidR="00B51BB5" w:rsidRDefault="00B51BB5" w:rsidP="00B51BB5">
      <w:pPr>
        <w:pStyle w:val="Paragraphedeliste"/>
        <w:numPr>
          <w:ilvl w:val="0"/>
          <w:numId w:val="2"/>
        </w:numPr>
        <w:jc w:val="both"/>
      </w:pPr>
      <w:r>
        <w:t>2 jours de congé pour garde d’enfant malade par an à partir du 1</w:t>
      </w:r>
      <w:r w:rsidRPr="00380E1C">
        <w:rPr>
          <w:vertAlign w:val="superscript"/>
        </w:rPr>
        <w:t>er</w:t>
      </w:r>
      <w:r>
        <w:t xml:space="preserve"> janvier 2018 ;</w:t>
      </w:r>
    </w:p>
    <w:p w14:paraId="169AB4B4" w14:textId="59A40D37" w:rsidR="00B51BB5" w:rsidRDefault="00B51BB5" w:rsidP="00380E1C">
      <w:pPr>
        <w:jc w:val="both"/>
      </w:pPr>
    </w:p>
    <w:p w14:paraId="059BD7B7" w14:textId="0BB5DDE0" w:rsidR="00FB0DF2" w:rsidRDefault="00FB0DF2" w:rsidP="00380E1C">
      <w:pPr>
        <w:jc w:val="both"/>
      </w:pPr>
      <w:r>
        <w:t>Et ce sur présentation d’un certificat médical.</w:t>
      </w:r>
    </w:p>
    <w:p w14:paraId="5B0DA3E1" w14:textId="77777777" w:rsidR="00FB0DF2" w:rsidRPr="00380E1C" w:rsidRDefault="00FB0DF2" w:rsidP="00380E1C">
      <w:pPr>
        <w:jc w:val="both"/>
      </w:pPr>
    </w:p>
    <w:p w14:paraId="4EECEC4E" w14:textId="7BD5EB8F" w:rsidR="00C43F98" w:rsidRDefault="002B5A22" w:rsidP="00E53682">
      <w:pPr>
        <w:pStyle w:val="Paragraphedeliste"/>
        <w:numPr>
          <w:ilvl w:val="0"/>
          <w:numId w:val="1"/>
        </w:numPr>
        <w:jc w:val="both"/>
        <w:rPr>
          <w:b/>
        </w:rPr>
      </w:pPr>
      <w:r>
        <w:rPr>
          <w:b/>
        </w:rPr>
        <w:lastRenderedPageBreak/>
        <w:t xml:space="preserve">CADRE </w:t>
      </w:r>
      <w:r w:rsidR="001D41F7">
        <w:rPr>
          <w:b/>
        </w:rPr>
        <w:t xml:space="preserve">DES </w:t>
      </w:r>
      <w:r>
        <w:rPr>
          <w:b/>
        </w:rPr>
        <w:t xml:space="preserve">NAO </w:t>
      </w:r>
      <w:r w:rsidR="005C2BE6">
        <w:rPr>
          <w:b/>
        </w:rPr>
        <w:t>2018</w:t>
      </w:r>
    </w:p>
    <w:p w14:paraId="1EBA6F35" w14:textId="77777777" w:rsidR="005C2BE6" w:rsidRDefault="005C2BE6" w:rsidP="00CF7CA9">
      <w:pPr>
        <w:jc w:val="both"/>
      </w:pPr>
    </w:p>
    <w:p w14:paraId="1999387C" w14:textId="343DA737" w:rsidR="005C2BE6" w:rsidRDefault="005C2BE6" w:rsidP="00CF7CA9">
      <w:pPr>
        <w:jc w:val="both"/>
      </w:pPr>
      <w:r>
        <w:t>Dans le cadre des NAO 2018, les parties conviennent d’ouvrir des négociations notamment sur les thèmes suivants :</w:t>
      </w:r>
    </w:p>
    <w:p w14:paraId="50A16C3A" w14:textId="77777777" w:rsidR="005C2BE6" w:rsidRDefault="005C2BE6" w:rsidP="00CF7CA9">
      <w:pPr>
        <w:jc w:val="both"/>
      </w:pPr>
    </w:p>
    <w:p w14:paraId="193770BD" w14:textId="0A78A022" w:rsidR="005C2BE6" w:rsidRDefault="005C2BE6" w:rsidP="00CF7CA9">
      <w:pPr>
        <w:pStyle w:val="Paragraphedeliste"/>
        <w:numPr>
          <w:ilvl w:val="0"/>
          <w:numId w:val="2"/>
        </w:numPr>
        <w:jc w:val="both"/>
      </w:pPr>
      <w:r>
        <w:t>Le nombre de jours d’enfant malade ;</w:t>
      </w:r>
    </w:p>
    <w:p w14:paraId="50A3E156" w14:textId="34FF067C" w:rsidR="005C2BE6" w:rsidRDefault="005C2BE6" w:rsidP="00CF7CA9">
      <w:pPr>
        <w:pStyle w:val="Paragraphedeliste"/>
        <w:numPr>
          <w:ilvl w:val="0"/>
          <w:numId w:val="2"/>
        </w:numPr>
        <w:jc w:val="both"/>
      </w:pPr>
      <w:r>
        <w:t>Le nombre de jours de congés payés ;</w:t>
      </w:r>
    </w:p>
    <w:p w14:paraId="28E329DB" w14:textId="3AB0D21F" w:rsidR="004F0041" w:rsidRDefault="005C2BE6" w:rsidP="00CF7CA9">
      <w:pPr>
        <w:pStyle w:val="Paragraphedeliste"/>
        <w:numPr>
          <w:ilvl w:val="0"/>
          <w:numId w:val="2"/>
        </w:numPr>
        <w:jc w:val="both"/>
      </w:pPr>
      <w:r>
        <w:t>L’aménagement de la fin de carrière avec un plan sénior ;</w:t>
      </w:r>
    </w:p>
    <w:p w14:paraId="5B9B0092" w14:textId="781357BA" w:rsidR="004F0041" w:rsidRDefault="004F0041" w:rsidP="00CF7CA9">
      <w:pPr>
        <w:pStyle w:val="Paragraphedeliste"/>
        <w:numPr>
          <w:ilvl w:val="0"/>
          <w:numId w:val="2"/>
        </w:numPr>
        <w:jc w:val="both"/>
      </w:pPr>
      <w:r>
        <w:t>Le mécanisme de prime de non – accident ;</w:t>
      </w:r>
    </w:p>
    <w:p w14:paraId="30729443" w14:textId="77777777" w:rsidR="005C2BE6" w:rsidRPr="005C2BE6" w:rsidRDefault="005C2BE6" w:rsidP="00CF7CA9">
      <w:pPr>
        <w:ind w:left="360"/>
        <w:jc w:val="both"/>
      </w:pPr>
    </w:p>
    <w:p w14:paraId="39360AF6" w14:textId="5526DCAE" w:rsidR="00687DD0" w:rsidRPr="0029254F" w:rsidRDefault="001D1B14" w:rsidP="00E53682">
      <w:pPr>
        <w:pStyle w:val="Paragraphedeliste"/>
        <w:numPr>
          <w:ilvl w:val="0"/>
          <w:numId w:val="1"/>
        </w:numPr>
        <w:jc w:val="both"/>
        <w:rPr>
          <w:b/>
        </w:rPr>
      </w:pPr>
      <w:r>
        <w:rPr>
          <w:b/>
        </w:rPr>
        <w:t xml:space="preserve">CONDITIONS DE VALIDITE ET </w:t>
      </w:r>
      <w:r w:rsidR="00E840AD" w:rsidRPr="0029254F">
        <w:rPr>
          <w:b/>
        </w:rPr>
        <w:t>ENTREE EN VIGUEUR DE L</w:t>
      </w:r>
      <w:r w:rsidR="00687DD0" w:rsidRPr="0029254F">
        <w:rPr>
          <w:b/>
        </w:rPr>
        <w:t>’ACCORD</w:t>
      </w:r>
    </w:p>
    <w:p w14:paraId="694F590E" w14:textId="77777777" w:rsidR="00687DD0" w:rsidRDefault="00687DD0" w:rsidP="00687DD0">
      <w:pPr>
        <w:jc w:val="both"/>
      </w:pPr>
    </w:p>
    <w:p w14:paraId="24185830" w14:textId="77777777" w:rsidR="001D1B14" w:rsidRDefault="001D1B14" w:rsidP="001D1B14">
      <w:pPr>
        <w:jc w:val="both"/>
      </w:pPr>
      <w:r>
        <w:t>Dans la mesure où il prévoit des dispositions relatives à la durée du travail, le présent accord doit, pour être valable, remplir les conditions suivantes :</w:t>
      </w:r>
    </w:p>
    <w:p w14:paraId="54FBE4B4" w14:textId="77777777" w:rsidR="001D1B14" w:rsidRDefault="001D1B14" w:rsidP="001D1B14">
      <w:pPr>
        <w:jc w:val="both"/>
      </w:pPr>
      <w:r>
        <w:t>Signature par une ou plusieurs organisations syndicales de salariés représentatives ayant recueilli plus de 50 % des suffrages exprimés en faveur d'organisations représentatives au premier tour des dernières élections des titulaires au comité d'entreprise.</w:t>
      </w:r>
    </w:p>
    <w:p w14:paraId="5E81C13A" w14:textId="77777777" w:rsidR="001D1B14" w:rsidRDefault="001D1B14" w:rsidP="001D1B14">
      <w:pPr>
        <w:jc w:val="both"/>
      </w:pPr>
      <w:r>
        <w:t>En application de l’article L 2232-12 du code du travail si cette condition n'est pas remplie et si l'accord a été signé à la fois par l'employeur et par des organisations syndicales représentatives ayant recueilli plus de 30 % des suffrages exprimés en faveur d'organisations représentatives au premier tour des élections du comité d’entreprise, une ou plusieurs de ces organisations ayant recueilli plus de 30 % des suffrages disposent d'un délai d'un mois à compter de la signature de l'accord pour indiquer qu'elles souhaitent une consultation des salariés visant à valider l'accord.</w:t>
      </w:r>
    </w:p>
    <w:p w14:paraId="32DEC73B" w14:textId="77777777" w:rsidR="001D1B14" w:rsidRDefault="001D1B14" w:rsidP="001D1B14">
      <w:pPr>
        <w:jc w:val="both"/>
      </w:pPr>
      <w:r>
        <w:t>L'accord est alors valide s'il est approuvé par les salariés à la majorité des suffrages exprimés.</w:t>
      </w:r>
    </w:p>
    <w:p w14:paraId="278DF143" w14:textId="77777777" w:rsidR="001D1B14" w:rsidRDefault="001D1B14" w:rsidP="001D1B14">
      <w:pPr>
        <w:jc w:val="both"/>
      </w:pPr>
      <w:r>
        <w:t>Faute d'approbation, l'accord est réputé non écrit.</w:t>
      </w:r>
    </w:p>
    <w:p w14:paraId="7B5A7FE7" w14:textId="51E86157" w:rsidR="001D1B14" w:rsidRDefault="001D1B14" w:rsidP="00687DD0">
      <w:pPr>
        <w:jc w:val="both"/>
      </w:pPr>
    </w:p>
    <w:p w14:paraId="59E9CB29" w14:textId="4EBF80BD" w:rsidR="00E840AD" w:rsidRDefault="001D1B14" w:rsidP="00687DD0">
      <w:pPr>
        <w:jc w:val="both"/>
      </w:pPr>
      <w:r>
        <w:t xml:space="preserve">S’il est valablement signé, le </w:t>
      </w:r>
      <w:r w:rsidR="00687DD0">
        <w:t>présent accord entre</w:t>
      </w:r>
      <w:r>
        <w:t>ra</w:t>
      </w:r>
      <w:r w:rsidR="00687DD0">
        <w:t xml:space="preserve"> en vigueur</w:t>
      </w:r>
      <w:r w:rsidR="00947A58">
        <w:t xml:space="preserve"> le jour qui suivra son dépôt dans les conditions prévues à l’article 7</w:t>
      </w:r>
      <w:r w:rsidR="00E840AD">
        <w:t>, à l’exception des articles prévoyant une entrée en vigueur à une date différente.</w:t>
      </w:r>
    </w:p>
    <w:p w14:paraId="7923C2AD" w14:textId="77777777" w:rsidR="00687DD0" w:rsidRDefault="00687DD0" w:rsidP="00687DD0">
      <w:pPr>
        <w:jc w:val="both"/>
      </w:pPr>
    </w:p>
    <w:p w14:paraId="6BF05E6E" w14:textId="77777777" w:rsidR="00947A58" w:rsidRDefault="00947A58" w:rsidP="00687DD0">
      <w:pPr>
        <w:jc w:val="both"/>
      </w:pPr>
    </w:p>
    <w:p w14:paraId="7F639E43" w14:textId="77777777" w:rsidR="00E840AD" w:rsidRPr="0029254F" w:rsidRDefault="00E840AD" w:rsidP="0029254F">
      <w:pPr>
        <w:pStyle w:val="Paragraphedeliste"/>
        <w:numPr>
          <w:ilvl w:val="0"/>
          <w:numId w:val="1"/>
        </w:numPr>
        <w:jc w:val="both"/>
        <w:rPr>
          <w:b/>
        </w:rPr>
      </w:pPr>
      <w:r w:rsidRPr="0029254F">
        <w:rPr>
          <w:b/>
        </w:rPr>
        <w:t xml:space="preserve">DUREE </w:t>
      </w:r>
      <w:r w:rsidR="00947A58">
        <w:rPr>
          <w:b/>
        </w:rPr>
        <w:t xml:space="preserve">ET SUIVI </w:t>
      </w:r>
      <w:r w:rsidRPr="0029254F">
        <w:rPr>
          <w:b/>
        </w:rPr>
        <w:t>DE L’ACCORD</w:t>
      </w:r>
    </w:p>
    <w:p w14:paraId="2BBB7DBB" w14:textId="77777777" w:rsidR="00E840AD" w:rsidRPr="0029254F" w:rsidRDefault="00E840AD" w:rsidP="00687DD0">
      <w:pPr>
        <w:jc w:val="both"/>
        <w:rPr>
          <w:b/>
        </w:rPr>
      </w:pPr>
    </w:p>
    <w:p w14:paraId="52D33F7B" w14:textId="77777777" w:rsidR="00E840AD" w:rsidRDefault="00E840AD" w:rsidP="00E840AD">
      <w:pPr>
        <w:jc w:val="both"/>
      </w:pPr>
      <w:r>
        <w:t>Le présent accord est conclu pour une durée indéterminée.</w:t>
      </w:r>
    </w:p>
    <w:p w14:paraId="0D3735A4" w14:textId="77777777" w:rsidR="00E840AD" w:rsidRDefault="00E840AD" w:rsidP="00687DD0">
      <w:pPr>
        <w:jc w:val="both"/>
      </w:pPr>
    </w:p>
    <w:p w14:paraId="1A1193E5" w14:textId="77777777" w:rsidR="00947A58" w:rsidRPr="00947A58" w:rsidRDefault="00947A58" w:rsidP="00687DD0">
      <w:pPr>
        <w:jc w:val="both"/>
      </w:pPr>
      <w:r w:rsidRPr="00947A58">
        <w:t xml:space="preserve">Le suivi de l’application du présent accord </w:t>
      </w:r>
      <w:r>
        <w:t>se réalisera dans le cadre des négociations obligatoires qui se tiennent chaque année dans l’entreprise avec les organisations syndicales représentatives dans l’entreprise.</w:t>
      </w:r>
    </w:p>
    <w:p w14:paraId="2F637E53" w14:textId="77777777" w:rsidR="00FA03A3" w:rsidRDefault="00FA03A3" w:rsidP="00687DD0">
      <w:pPr>
        <w:jc w:val="both"/>
      </w:pPr>
    </w:p>
    <w:p w14:paraId="16F21098" w14:textId="77777777" w:rsidR="00947A58" w:rsidRDefault="00947A58" w:rsidP="00687DD0">
      <w:pPr>
        <w:jc w:val="both"/>
      </w:pPr>
    </w:p>
    <w:p w14:paraId="5F7353E9" w14:textId="77777777" w:rsidR="00687DD0" w:rsidRPr="0029254F" w:rsidRDefault="00687DD0" w:rsidP="0029254F">
      <w:pPr>
        <w:pStyle w:val="Paragraphedeliste"/>
        <w:numPr>
          <w:ilvl w:val="0"/>
          <w:numId w:val="1"/>
        </w:numPr>
        <w:jc w:val="both"/>
        <w:rPr>
          <w:b/>
        </w:rPr>
      </w:pPr>
      <w:r w:rsidRPr="0029254F">
        <w:rPr>
          <w:b/>
        </w:rPr>
        <w:t>DENONCIATION ET REVISION DE L’ACCORD</w:t>
      </w:r>
    </w:p>
    <w:p w14:paraId="6666F06D" w14:textId="77777777" w:rsidR="00687DD0" w:rsidRDefault="00687DD0" w:rsidP="00687DD0">
      <w:pPr>
        <w:jc w:val="both"/>
      </w:pPr>
    </w:p>
    <w:p w14:paraId="16227D30" w14:textId="77777777" w:rsidR="00687DD0" w:rsidRDefault="00687DD0" w:rsidP="00687DD0">
      <w:pPr>
        <w:jc w:val="both"/>
      </w:pPr>
      <w:r>
        <w:t xml:space="preserve">Le présent accord peut être dénoncé, conformément aux dispositions légales, sous réserves d’un préavis de trois mois. La dénonciation devra être notifiée par son auteur aux autres parties signataires ainsi qu’à la Direction Régionale des Entreprises, de la Concurrence, de la </w:t>
      </w:r>
      <w:r>
        <w:lastRenderedPageBreak/>
        <w:t>Consommation, du Travail et de l’Emploi (DIRECCTE) et, ce par lettre recommandée avec accusé de réception.</w:t>
      </w:r>
    </w:p>
    <w:p w14:paraId="44294A04" w14:textId="77777777" w:rsidR="00687DD0" w:rsidRDefault="00687DD0" w:rsidP="00687DD0">
      <w:pPr>
        <w:jc w:val="both"/>
      </w:pPr>
    </w:p>
    <w:p w14:paraId="7F096267" w14:textId="557A292B" w:rsidR="00687DD0" w:rsidRDefault="00687DD0" w:rsidP="00687DD0">
      <w:pPr>
        <w:jc w:val="both"/>
      </w:pPr>
      <w:r>
        <w:t xml:space="preserve">Le présent accord pourra faire l’objet d’une révision, en tout ou partie, à la demande d’une des parties signataires ou qui y ont adhéré ultérieurement. La demande de révision peut intervenir à tout moment. </w:t>
      </w:r>
      <w:r w:rsidR="001D1B14">
        <w:t>L’employeur ainsi que</w:t>
      </w:r>
      <w:r>
        <w:t xml:space="preserve"> toutes les organisations syndicales représentatives dans la société</w:t>
      </w:r>
      <w:r w:rsidR="001D1B14">
        <w:t xml:space="preserve"> doivent en être avisés</w:t>
      </w:r>
      <w:r>
        <w:t>.</w:t>
      </w:r>
    </w:p>
    <w:p w14:paraId="2610F94A" w14:textId="77777777" w:rsidR="00687DD0" w:rsidRDefault="00687DD0" w:rsidP="00687DD0">
      <w:pPr>
        <w:jc w:val="both"/>
      </w:pPr>
    </w:p>
    <w:p w14:paraId="743846B3" w14:textId="001987B7" w:rsidR="00687DD0" w:rsidRDefault="00687DD0" w:rsidP="00687DD0">
      <w:pPr>
        <w:jc w:val="both"/>
      </w:pPr>
      <w:r>
        <w:t>Des discussions devront s’engager dans les 30 jours suivant la demande de révision afin d’envisager la conclusion d’un avenant de révision. La signature de l’avenant de révision se fera suivant les règles en vigueur.</w:t>
      </w:r>
    </w:p>
    <w:p w14:paraId="2DFD316C" w14:textId="77777777" w:rsidR="00687DD0" w:rsidRDefault="00687DD0" w:rsidP="00687DD0">
      <w:pPr>
        <w:jc w:val="both"/>
      </w:pPr>
    </w:p>
    <w:p w14:paraId="655DC164" w14:textId="77777777" w:rsidR="00687DD0" w:rsidRDefault="00687DD0" w:rsidP="00687DD0">
      <w:pPr>
        <w:jc w:val="both"/>
      </w:pPr>
      <w:r>
        <w:t>L’avenant remplacera alors de plein droit les dispositions du présent accord ainsi révisées qu’il modifie dès lors qu’il a été conclu dans le respect des règles légales en vigueur.</w:t>
      </w:r>
    </w:p>
    <w:p w14:paraId="58D10C44" w14:textId="77777777" w:rsidR="00E3078A" w:rsidRDefault="00E3078A" w:rsidP="00687DD0">
      <w:pPr>
        <w:jc w:val="both"/>
      </w:pPr>
    </w:p>
    <w:p w14:paraId="66D07EF7" w14:textId="77777777" w:rsidR="00947A58" w:rsidRDefault="00947A58" w:rsidP="00687DD0">
      <w:pPr>
        <w:jc w:val="both"/>
      </w:pPr>
    </w:p>
    <w:p w14:paraId="67A3CA01" w14:textId="77777777" w:rsidR="00687DD0" w:rsidRPr="0029254F" w:rsidRDefault="00687DD0" w:rsidP="0029254F">
      <w:pPr>
        <w:pStyle w:val="Paragraphedeliste"/>
        <w:numPr>
          <w:ilvl w:val="0"/>
          <w:numId w:val="1"/>
        </w:numPr>
        <w:jc w:val="both"/>
        <w:rPr>
          <w:b/>
        </w:rPr>
      </w:pPr>
      <w:r w:rsidRPr="0029254F">
        <w:rPr>
          <w:b/>
        </w:rPr>
        <w:t>DEPOT ET PUBLICITE LEGALE</w:t>
      </w:r>
    </w:p>
    <w:p w14:paraId="1189875F" w14:textId="77777777" w:rsidR="00687DD0" w:rsidRDefault="00687DD0" w:rsidP="00687DD0">
      <w:pPr>
        <w:jc w:val="both"/>
      </w:pPr>
    </w:p>
    <w:p w14:paraId="641AF66A" w14:textId="77777777" w:rsidR="00E3078A" w:rsidRDefault="00E3078A" w:rsidP="00687DD0">
      <w:pPr>
        <w:jc w:val="both"/>
      </w:pPr>
      <w:r>
        <w:t>La Direction procède aux formalités de dépôt conformément aux articles L.2231-6 et D2231-2 du Code du Travail. Il est procédé à la publicité du présent accord conformément à l’article R2262-2 du Code du Travail.</w:t>
      </w:r>
    </w:p>
    <w:p w14:paraId="796C3578" w14:textId="77777777" w:rsidR="00E3078A" w:rsidRDefault="00E3078A" w:rsidP="00687DD0">
      <w:pPr>
        <w:jc w:val="both"/>
      </w:pPr>
    </w:p>
    <w:p w14:paraId="474C2B30" w14:textId="0FC4D0D5" w:rsidR="00E3078A" w:rsidRDefault="00544862" w:rsidP="00687DD0">
      <w:pPr>
        <w:jc w:val="both"/>
      </w:pPr>
      <w:r>
        <w:t xml:space="preserve">Le </w:t>
      </w:r>
      <w:r w:rsidR="00E3078A">
        <w:t>présent accord est déposé par la Direction de la Société, en deux exemplaires (une version sur support papier signée des parties, une version sur support électronique) à la Direction Régionale des Entreprises, de la Concurrence, de la Consommation, du Travail et de l’Emploi (DIRECCTE) d’Ajaccio. Un exemplaire original sera également remis au greffe du Conseil des prud’hommes d’Ajaccio.</w:t>
      </w:r>
    </w:p>
    <w:p w14:paraId="5021AE2C" w14:textId="77777777" w:rsidR="00E3078A" w:rsidRDefault="00E3078A" w:rsidP="00687DD0">
      <w:pPr>
        <w:jc w:val="both"/>
      </w:pPr>
    </w:p>
    <w:p w14:paraId="3723B0BE" w14:textId="77777777" w:rsidR="00E3078A" w:rsidRDefault="00E3078A" w:rsidP="00687DD0">
      <w:pPr>
        <w:jc w:val="both"/>
      </w:pPr>
      <w:r>
        <w:t>En outre, un exemplaire est établi pour chaque partie signataire.</w:t>
      </w:r>
    </w:p>
    <w:p w14:paraId="6F402BEF" w14:textId="77777777" w:rsidR="00352F74" w:rsidRDefault="00352F74" w:rsidP="00687DD0">
      <w:pPr>
        <w:jc w:val="both"/>
      </w:pPr>
    </w:p>
    <w:p w14:paraId="0BE25189" w14:textId="44E515F9" w:rsidR="00E3078A" w:rsidRDefault="00F529F2" w:rsidP="00687DD0">
      <w:pPr>
        <w:jc w:val="both"/>
      </w:pPr>
      <w:r>
        <w:t>Fait à Ajaccio, le 11 septembre</w:t>
      </w:r>
      <w:r w:rsidR="00E3078A">
        <w:t xml:space="preserve"> 2017, en 7 exemplaires originaux, dont un pour chacune des parties.</w:t>
      </w:r>
    </w:p>
    <w:p w14:paraId="045EA2DB" w14:textId="77777777" w:rsidR="00352F74" w:rsidRDefault="00352F74" w:rsidP="00E3078A">
      <w:pPr>
        <w:jc w:val="both"/>
        <w:rPr>
          <w:rFonts w:ascii="Calibri" w:hAnsi="Calibri"/>
          <w:sz w:val="22"/>
          <w:szCs w:val="22"/>
        </w:rPr>
      </w:pPr>
    </w:p>
    <w:p w14:paraId="3D9A53DF" w14:textId="77777777" w:rsidR="00E53682" w:rsidRDefault="00E53682" w:rsidP="00E3078A">
      <w:pPr>
        <w:jc w:val="both"/>
        <w:rPr>
          <w:rFonts w:ascii="Calibri" w:hAnsi="Calibri"/>
          <w:sz w:val="22"/>
          <w:szCs w:val="22"/>
        </w:rPr>
      </w:pPr>
    </w:p>
    <w:p w14:paraId="64906136" w14:textId="77777777" w:rsidR="00E3078A" w:rsidRPr="00352F74" w:rsidRDefault="00E3078A" w:rsidP="00E3078A">
      <w:pPr>
        <w:jc w:val="both"/>
        <w:rPr>
          <w:rFonts w:ascii="Calibri" w:hAnsi="Calibri"/>
          <w:b/>
          <w:sz w:val="22"/>
          <w:szCs w:val="22"/>
        </w:rPr>
      </w:pPr>
      <w:r w:rsidRPr="00352F74">
        <w:rPr>
          <w:rFonts w:ascii="Calibri" w:hAnsi="Calibri"/>
          <w:b/>
          <w:sz w:val="22"/>
          <w:szCs w:val="22"/>
        </w:rPr>
        <w:t>Pour la SPL Muvitarra</w:t>
      </w:r>
      <w:r w:rsidR="00352F74">
        <w:rPr>
          <w:rFonts w:ascii="Calibri" w:hAnsi="Calibri"/>
          <w:b/>
          <w:sz w:val="22"/>
          <w:szCs w:val="22"/>
        </w:rPr>
        <w:tab/>
      </w:r>
      <w:r w:rsidR="00352F74">
        <w:rPr>
          <w:rFonts w:ascii="Calibri" w:hAnsi="Calibri"/>
          <w:b/>
          <w:sz w:val="22"/>
          <w:szCs w:val="22"/>
        </w:rPr>
        <w:tab/>
      </w:r>
      <w:r w:rsidR="00352F74">
        <w:rPr>
          <w:rFonts w:ascii="Calibri" w:hAnsi="Calibri"/>
          <w:b/>
          <w:sz w:val="22"/>
          <w:szCs w:val="22"/>
        </w:rPr>
        <w:tab/>
      </w:r>
      <w:r w:rsidR="00352F74">
        <w:rPr>
          <w:rFonts w:ascii="Calibri" w:hAnsi="Calibri"/>
          <w:b/>
          <w:sz w:val="22"/>
          <w:szCs w:val="22"/>
        </w:rPr>
        <w:tab/>
      </w:r>
      <w:r w:rsidR="00352F74">
        <w:rPr>
          <w:rFonts w:ascii="Calibri" w:hAnsi="Calibri"/>
          <w:b/>
          <w:sz w:val="22"/>
          <w:szCs w:val="22"/>
        </w:rPr>
        <w:tab/>
        <w:t>Pour les Organisations Syndicales</w:t>
      </w:r>
    </w:p>
    <w:p w14:paraId="11EE2E3C" w14:textId="11F4DAAE" w:rsidR="00E3078A" w:rsidRPr="00352F74" w:rsidRDefault="0075311E" w:rsidP="00E3078A">
      <w:pPr>
        <w:jc w:val="both"/>
        <w:rPr>
          <w:rFonts w:ascii="Calibri" w:hAnsi="Calibri"/>
          <w:sz w:val="22"/>
          <w:szCs w:val="22"/>
        </w:rPr>
      </w:pPr>
      <w:r>
        <w:rPr>
          <w:rFonts w:ascii="Calibri" w:hAnsi="Calibri"/>
          <w:sz w:val="22"/>
          <w:szCs w:val="22"/>
        </w:rPr>
        <w:t>XXXXXXXX</w:t>
      </w:r>
      <w:r w:rsidR="00E3078A" w:rsidRPr="00352F74">
        <w:rPr>
          <w:rFonts w:ascii="Calibri" w:hAnsi="Calibri"/>
          <w:sz w:val="22"/>
          <w:szCs w:val="22"/>
        </w:rPr>
        <w:tab/>
      </w:r>
      <w:r w:rsidR="00352F74">
        <w:rPr>
          <w:rFonts w:ascii="Calibri" w:hAnsi="Calibri"/>
          <w:sz w:val="22"/>
          <w:szCs w:val="22"/>
        </w:rPr>
        <w:tab/>
      </w:r>
      <w:r w:rsidR="00352F74">
        <w:rPr>
          <w:rFonts w:ascii="Calibri" w:hAnsi="Calibri"/>
          <w:sz w:val="22"/>
          <w:szCs w:val="22"/>
        </w:rPr>
        <w:tab/>
      </w:r>
      <w:r w:rsidR="00352F74">
        <w:rPr>
          <w:rFonts w:ascii="Calibri" w:hAnsi="Calibri"/>
          <w:sz w:val="22"/>
          <w:szCs w:val="22"/>
        </w:rPr>
        <w:tab/>
      </w:r>
      <w:r w:rsidR="00352F74">
        <w:rPr>
          <w:rFonts w:ascii="Calibri" w:hAnsi="Calibri"/>
          <w:sz w:val="22"/>
          <w:szCs w:val="22"/>
        </w:rPr>
        <w:tab/>
      </w:r>
      <w:r w:rsidR="00352F74">
        <w:rPr>
          <w:rFonts w:ascii="Calibri" w:hAnsi="Calibri"/>
          <w:sz w:val="22"/>
          <w:szCs w:val="22"/>
        </w:rPr>
        <w:tab/>
        <w:t>P</w:t>
      </w:r>
      <w:r>
        <w:rPr>
          <w:rFonts w:ascii="Calibri" w:hAnsi="Calibri"/>
          <w:sz w:val="22"/>
          <w:szCs w:val="22"/>
        </w:rPr>
        <w:t>our FO, Monsieur XXXXXXXXXXXX</w:t>
      </w:r>
    </w:p>
    <w:p w14:paraId="7970708F" w14:textId="4CCB2616" w:rsidR="00E3078A" w:rsidRDefault="0075311E" w:rsidP="00E3078A">
      <w:pPr>
        <w:jc w:val="both"/>
        <w:rPr>
          <w:rFonts w:ascii="Calibri" w:hAnsi="Calibri"/>
          <w:sz w:val="22"/>
          <w:szCs w:val="22"/>
        </w:rPr>
      </w:pPr>
      <w:r>
        <w:rPr>
          <w:rFonts w:ascii="Calibri" w:hAnsi="Calibri"/>
          <w:sz w:val="22"/>
          <w:szCs w:val="22"/>
        </w:rPr>
        <w:t>XXXXXXXX</w:t>
      </w:r>
      <w:r w:rsidR="00352F74">
        <w:rPr>
          <w:rFonts w:ascii="Calibri" w:hAnsi="Calibri"/>
          <w:sz w:val="22"/>
          <w:szCs w:val="22"/>
        </w:rPr>
        <w:tab/>
      </w:r>
      <w:r w:rsidR="00352F74">
        <w:rPr>
          <w:rFonts w:ascii="Calibri" w:hAnsi="Calibri"/>
          <w:sz w:val="22"/>
          <w:szCs w:val="22"/>
        </w:rPr>
        <w:tab/>
      </w:r>
      <w:r w:rsidR="00352F74">
        <w:rPr>
          <w:rFonts w:ascii="Calibri" w:hAnsi="Calibri"/>
          <w:sz w:val="22"/>
          <w:szCs w:val="22"/>
        </w:rPr>
        <w:tab/>
      </w:r>
      <w:r w:rsidR="00352F74">
        <w:rPr>
          <w:rFonts w:ascii="Calibri" w:hAnsi="Calibri"/>
          <w:sz w:val="22"/>
          <w:szCs w:val="22"/>
        </w:rPr>
        <w:tab/>
      </w:r>
      <w:r w:rsidR="00352F74">
        <w:rPr>
          <w:rFonts w:ascii="Calibri" w:hAnsi="Calibri"/>
          <w:sz w:val="22"/>
          <w:szCs w:val="22"/>
        </w:rPr>
        <w:tab/>
      </w:r>
    </w:p>
    <w:p w14:paraId="699B2A10" w14:textId="77777777" w:rsidR="00352F74" w:rsidRDefault="00352F74" w:rsidP="00E3078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00A99B6E" w14:textId="77777777" w:rsidR="00352F74" w:rsidRDefault="00352F74" w:rsidP="00E3078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05BC88DB" w14:textId="77777777" w:rsidR="00E53682" w:rsidRDefault="00E53682" w:rsidP="00E3078A">
      <w:pPr>
        <w:jc w:val="both"/>
        <w:rPr>
          <w:rFonts w:ascii="Calibri" w:hAnsi="Calibri"/>
          <w:sz w:val="22"/>
          <w:szCs w:val="22"/>
        </w:rPr>
      </w:pPr>
    </w:p>
    <w:p w14:paraId="2CDAEE63" w14:textId="294D5811" w:rsidR="00352F74" w:rsidRDefault="00352F74" w:rsidP="00E3078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Pour </w:t>
      </w:r>
      <w:r w:rsidR="0075311E">
        <w:rPr>
          <w:rFonts w:ascii="Calibri" w:hAnsi="Calibri"/>
          <w:sz w:val="22"/>
          <w:szCs w:val="22"/>
        </w:rPr>
        <w:t>le STC, Monsieur XXXXXXXXXXXX</w:t>
      </w:r>
    </w:p>
    <w:p w14:paraId="65F80D1C" w14:textId="77777777" w:rsidR="00352F74" w:rsidRDefault="00352F74" w:rsidP="00E3078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81BCE1D" w14:textId="77777777" w:rsidR="00352F74" w:rsidRDefault="00352F74" w:rsidP="00E3078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5DBF1616" w14:textId="77777777" w:rsidR="00352F74" w:rsidRDefault="00352F74" w:rsidP="00E3078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06BF2509" w14:textId="77777777" w:rsidR="00E53682" w:rsidRDefault="00E53682" w:rsidP="00E3078A">
      <w:pPr>
        <w:jc w:val="both"/>
        <w:rPr>
          <w:rFonts w:ascii="Calibri" w:hAnsi="Calibri"/>
          <w:sz w:val="22"/>
          <w:szCs w:val="22"/>
        </w:rPr>
      </w:pPr>
    </w:p>
    <w:p w14:paraId="6DFC71FB" w14:textId="4981A1E1" w:rsidR="00352F74" w:rsidRDefault="00352F74" w:rsidP="00E3078A">
      <w:pPr>
        <w:jc w:val="both"/>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Pour CGC-</w:t>
      </w:r>
      <w:r w:rsidR="0075311E">
        <w:rPr>
          <w:rFonts w:ascii="Calibri" w:hAnsi="Calibri"/>
          <w:sz w:val="22"/>
          <w:szCs w:val="22"/>
        </w:rPr>
        <w:t xml:space="preserve"> CFE, Monsieur XXXXXXXXXXXXX</w:t>
      </w:r>
    </w:p>
    <w:sectPr w:rsidR="00352F7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50970" w14:textId="77777777" w:rsidR="00F023E3" w:rsidRDefault="00F023E3" w:rsidP="00494DFC">
      <w:r>
        <w:separator/>
      </w:r>
    </w:p>
  </w:endnote>
  <w:endnote w:type="continuationSeparator" w:id="0">
    <w:p w14:paraId="1A4F6070" w14:textId="77777777" w:rsidR="00F023E3" w:rsidRDefault="00F023E3" w:rsidP="0049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C1FBB" w14:textId="77777777" w:rsidR="00494DFC" w:rsidRDefault="00494D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4ED0" w14:textId="77777777" w:rsidR="00494DFC" w:rsidRDefault="00494DF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553F3" w14:textId="77777777" w:rsidR="00494DFC" w:rsidRDefault="00494D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0BEC1" w14:textId="77777777" w:rsidR="00F023E3" w:rsidRDefault="00F023E3" w:rsidP="00494DFC">
      <w:r>
        <w:separator/>
      </w:r>
    </w:p>
  </w:footnote>
  <w:footnote w:type="continuationSeparator" w:id="0">
    <w:p w14:paraId="53F10A8D" w14:textId="77777777" w:rsidR="00F023E3" w:rsidRDefault="00F023E3" w:rsidP="0049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2C7E" w14:textId="498FE83D" w:rsidR="00494DFC" w:rsidRDefault="00494D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FA0C" w14:textId="30CD41A8" w:rsidR="00494DFC" w:rsidRDefault="00494DF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E742" w14:textId="61DBD539" w:rsidR="00494DFC" w:rsidRDefault="00494D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2E9"/>
    <w:multiLevelType w:val="hybridMultilevel"/>
    <w:tmpl w:val="9676D8D8"/>
    <w:lvl w:ilvl="0" w:tplc="A050994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B34C3D"/>
    <w:multiLevelType w:val="hybridMultilevel"/>
    <w:tmpl w:val="312484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374A2D"/>
    <w:multiLevelType w:val="multilevel"/>
    <w:tmpl w:val="4FF61BA0"/>
    <w:lvl w:ilvl="0">
      <w:start w:val="1"/>
      <w:numFmt w:val="decimal"/>
      <w:lvlText w:val="%1."/>
      <w:lvlJc w:val="left"/>
      <w:pPr>
        <w:ind w:left="720" w:hanging="360"/>
      </w:pPr>
      <w:rPr>
        <w:rFonts w:ascii="Arial" w:hAnsi="Arial"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A3C0B7E"/>
    <w:multiLevelType w:val="hybridMultilevel"/>
    <w:tmpl w:val="5DA028FE"/>
    <w:lvl w:ilvl="0" w:tplc="60CA8D6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F4"/>
    <w:rsid w:val="00043C09"/>
    <w:rsid w:val="00067790"/>
    <w:rsid w:val="00084553"/>
    <w:rsid w:val="000F68C4"/>
    <w:rsid w:val="00131100"/>
    <w:rsid w:val="001427ED"/>
    <w:rsid w:val="001702F0"/>
    <w:rsid w:val="001D1B14"/>
    <w:rsid w:val="001D41F7"/>
    <w:rsid w:val="001E5346"/>
    <w:rsid w:val="002005B7"/>
    <w:rsid w:val="002436D6"/>
    <w:rsid w:val="0029254F"/>
    <w:rsid w:val="00294D07"/>
    <w:rsid w:val="002A0F2D"/>
    <w:rsid w:val="002A5B8B"/>
    <w:rsid w:val="002B2EBC"/>
    <w:rsid w:val="002B5A22"/>
    <w:rsid w:val="00317190"/>
    <w:rsid w:val="003503B9"/>
    <w:rsid w:val="00352F74"/>
    <w:rsid w:val="00380E1C"/>
    <w:rsid w:val="00383E49"/>
    <w:rsid w:val="003E5E0A"/>
    <w:rsid w:val="00407CD6"/>
    <w:rsid w:val="00415028"/>
    <w:rsid w:val="00460A29"/>
    <w:rsid w:val="00486135"/>
    <w:rsid w:val="00494DFC"/>
    <w:rsid w:val="0049579B"/>
    <w:rsid w:val="004B2E3A"/>
    <w:rsid w:val="004B70C1"/>
    <w:rsid w:val="004B7ECE"/>
    <w:rsid w:val="004F0041"/>
    <w:rsid w:val="00544862"/>
    <w:rsid w:val="00552705"/>
    <w:rsid w:val="005574AB"/>
    <w:rsid w:val="00565784"/>
    <w:rsid w:val="00567BB2"/>
    <w:rsid w:val="0059688C"/>
    <w:rsid w:val="005A4B0B"/>
    <w:rsid w:val="005C2BE6"/>
    <w:rsid w:val="005C4823"/>
    <w:rsid w:val="005D5657"/>
    <w:rsid w:val="00616E7F"/>
    <w:rsid w:val="006746D6"/>
    <w:rsid w:val="0068094A"/>
    <w:rsid w:val="006845EF"/>
    <w:rsid w:val="00687DD0"/>
    <w:rsid w:val="006A794F"/>
    <w:rsid w:val="006F12EE"/>
    <w:rsid w:val="007007A2"/>
    <w:rsid w:val="0075311E"/>
    <w:rsid w:val="00792E60"/>
    <w:rsid w:val="00796E4C"/>
    <w:rsid w:val="007C55AC"/>
    <w:rsid w:val="007E34DC"/>
    <w:rsid w:val="007F0412"/>
    <w:rsid w:val="007F51D3"/>
    <w:rsid w:val="0080604F"/>
    <w:rsid w:val="008224D4"/>
    <w:rsid w:val="00887026"/>
    <w:rsid w:val="008933C1"/>
    <w:rsid w:val="008A6B16"/>
    <w:rsid w:val="008B77C4"/>
    <w:rsid w:val="008D4FA4"/>
    <w:rsid w:val="00932982"/>
    <w:rsid w:val="009376A5"/>
    <w:rsid w:val="00942F6A"/>
    <w:rsid w:val="00946BFF"/>
    <w:rsid w:val="00947A58"/>
    <w:rsid w:val="00992FB4"/>
    <w:rsid w:val="009B0B1F"/>
    <w:rsid w:val="009E3341"/>
    <w:rsid w:val="00A20893"/>
    <w:rsid w:val="00A22796"/>
    <w:rsid w:val="00A24760"/>
    <w:rsid w:val="00A5294E"/>
    <w:rsid w:val="00A76432"/>
    <w:rsid w:val="00B07F71"/>
    <w:rsid w:val="00B352D3"/>
    <w:rsid w:val="00B51BB5"/>
    <w:rsid w:val="00B74D30"/>
    <w:rsid w:val="00B87AE2"/>
    <w:rsid w:val="00BC7130"/>
    <w:rsid w:val="00BF5812"/>
    <w:rsid w:val="00BF71CC"/>
    <w:rsid w:val="00C03743"/>
    <w:rsid w:val="00C14ECB"/>
    <w:rsid w:val="00C212F2"/>
    <w:rsid w:val="00C25CCD"/>
    <w:rsid w:val="00C43F98"/>
    <w:rsid w:val="00C46774"/>
    <w:rsid w:val="00C75A83"/>
    <w:rsid w:val="00CF7CA9"/>
    <w:rsid w:val="00D04951"/>
    <w:rsid w:val="00D06F3C"/>
    <w:rsid w:val="00D105F5"/>
    <w:rsid w:val="00D1654C"/>
    <w:rsid w:val="00D25469"/>
    <w:rsid w:val="00D47099"/>
    <w:rsid w:val="00D47459"/>
    <w:rsid w:val="00D7666E"/>
    <w:rsid w:val="00DB7BB4"/>
    <w:rsid w:val="00DE5309"/>
    <w:rsid w:val="00E3078A"/>
    <w:rsid w:val="00E370FB"/>
    <w:rsid w:val="00E37D35"/>
    <w:rsid w:val="00E53682"/>
    <w:rsid w:val="00E77A19"/>
    <w:rsid w:val="00E840AD"/>
    <w:rsid w:val="00F023E3"/>
    <w:rsid w:val="00F0707E"/>
    <w:rsid w:val="00F126B4"/>
    <w:rsid w:val="00F27270"/>
    <w:rsid w:val="00F27CBD"/>
    <w:rsid w:val="00F529F2"/>
    <w:rsid w:val="00F57ED2"/>
    <w:rsid w:val="00F91332"/>
    <w:rsid w:val="00FA03A3"/>
    <w:rsid w:val="00FA1BFA"/>
    <w:rsid w:val="00FB0DF2"/>
    <w:rsid w:val="00FC2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F4"/>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23F4"/>
    <w:pPr>
      <w:ind w:left="720"/>
      <w:contextualSpacing/>
    </w:pPr>
  </w:style>
  <w:style w:type="paragraph" w:customStyle="1" w:styleId="Article1annexe">
    <w:name w:val="Article 1 annexe"/>
    <w:basedOn w:val="Normal"/>
    <w:uiPriority w:val="99"/>
    <w:rsid w:val="00D04951"/>
    <w:pPr>
      <w:overflowPunct w:val="0"/>
      <w:autoSpaceDE w:val="0"/>
      <w:autoSpaceDN w:val="0"/>
      <w:adjustRightInd w:val="0"/>
      <w:spacing w:before="240" w:after="240"/>
      <w:jc w:val="both"/>
      <w:textAlignment w:val="baseline"/>
    </w:pPr>
    <w:rPr>
      <w:rFonts w:ascii="Times New Roman" w:eastAsia="Times New Roman" w:hAnsi="Times New Roman" w:cs="Times New Roman"/>
      <w:b/>
      <w:sz w:val="22"/>
      <w:szCs w:val="20"/>
    </w:rPr>
  </w:style>
  <w:style w:type="character" w:styleId="Marquedecommentaire">
    <w:name w:val="annotation reference"/>
    <w:basedOn w:val="Policepardfaut"/>
    <w:uiPriority w:val="99"/>
    <w:semiHidden/>
    <w:unhideWhenUsed/>
    <w:rsid w:val="00D47099"/>
    <w:rPr>
      <w:sz w:val="16"/>
      <w:szCs w:val="16"/>
    </w:rPr>
  </w:style>
  <w:style w:type="paragraph" w:styleId="Commentaire">
    <w:name w:val="annotation text"/>
    <w:basedOn w:val="Normal"/>
    <w:link w:val="CommentaireCar"/>
    <w:uiPriority w:val="99"/>
    <w:semiHidden/>
    <w:unhideWhenUsed/>
    <w:rsid w:val="00D47099"/>
    <w:rPr>
      <w:sz w:val="20"/>
      <w:szCs w:val="20"/>
    </w:rPr>
  </w:style>
  <w:style w:type="character" w:customStyle="1" w:styleId="CommentaireCar">
    <w:name w:val="Commentaire Car"/>
    <w:basedOn w:val="Policepardfaut"/>
    <w:link w:val="Commentaire"/>
    <w:uiPriority w:val="99"/>
    <w:semiHidden/>
    <w:rsid w:val="00D47099"/>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47099"/>
    <w:rPr>
      <w:b/>
      <w:bCs/>
    </w:rPr>
  </w:style>
  <w:style w:type="character" w:customStyle="1" w:styleId="ObjetducommentaireCar">
    <w:name w:val="Objet du commentaire Car"/>
    <w:basedOn w:val="CommentaireCar"/>
    <w:link w:val="Objetducommentaire"/>
    <w:uiPriority w:val="99"/>
    <w:semiHidden/>
    <w:rsid w:val="00D47099"/>
    <w:rPr>
      <w:rFonts w:eastAsiaTheme="minorEastAsia"/>
      <w:b/>
      <w:bCs/>
      <w:sz w:val="20"/>
      <w:szCs w:val="20"/>
      <w:lang w:eastAsia="fr-FR"/>
    </w:rPr>
  </w:style>
  <w:style w:type="paragraph" w:styleId="Textedebulles">
    <w:name w:val="Balloon Text"/>
    <w:basedOn w:val="Normal"/>
    <w:link w:val="TextedebullesCar"/>
    <w:uiPriority w:val="99"/>
    <w:semiHidden/>
    <w:unhideWhenUsed/>
    <w:rsid w:val="00D470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7099"/>
    <w:rPr>
      <w:rFonts w:ascii="Segoe UI" w:eastAsiaTheme="minorEastAsia" w:hAnsi="Segoe UI" w:cs="Segoe UI"/>
      <w:sz w:val="18"/>
      <w:szCs w:val="18"/>
      <w:lang w:eastAsia="fr-FR"/>
    </w:rPr>
  </w:style>
  <w:style w:type="paragraph" w:styleId="En-tte">
    <w:name w:val="header"/>
    <w:basedOn w:val="Normal"/>
    <w:link w:val="En-tteCar"/>
    <w:uiPriority w:val="99"/>
    <w:unhideWhenUsed/>
    <w:rsid w:val="00494DFC"/>
    <w:pPr>
      <w:tabs>
        <w:tab w:val="center" w:pos="4536"/>
        <w:tab w:val="right" w:pos="9072"/>
      </w:tabs>
    </w:pPr>
  </w:style>
  <w:style w:type="character" w:customStyle="1" w:styleId="En-tteCar">
    <w:name w:val="En-tête Car"/>
    <w:basedOn w:val="Policepardfaut"/>
    <w:link w:val="En-tte"/>
    <w:uiPriority w:val="99"/>
    <w:rsid w:val="00494DFC"/>
    <w:rPr>
      <w:rFonts w:eastAsiaTheme="minorEastAsia"/>
      <w:sz w:val="24"/>
      <w:szCs w:val="24"/>
      <w:lang w:eastAsia="fr-FR"/>
    </w:rPr>
  </w:style>
  <w:style w:type="paragraph" w:styleId="Pieddepage">
    <w:name w:val="footer"/>
    <w:basedOn w:val="Normal"/>
    <w:link w:val="PieddepageCar"/>
    <w:uiPriority w:val="99"/>
    <w:unhideWhenUsed/>
    <w:rsid w:val="00494DFC"/>
    <w:pPr>
      <w:tabs>
        <w:tab w:val="center" w:pos="4536"/>
        <w:tab w:val="right" w:pos="9072"/>
      </w:tabs>
    </w:pPr>
  </w:style>
  <w:style w:type="character" w:customStyle="1" w:styleId="PieddepageCar">
    <w:name w:val="Pied de page Car"/>
    <w:basedOn w:val="Policepardfaut"/>
    <w:link w:val="Pieddepage"/>
    <w:uiPriority w:val="99"/>
    <w:rsid w:val="00494DFC"/>
    <w:rPr>
      <w:rFonts w:eastAsiaTheme="minorEastAsi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F4"/>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23F4"/>
    <w:pPr>
      <w:ind w:left="720"/>
      <w:contextualSpacing/>
    </w:pPr>
  </w:style>
  <w:style w:type="paragraph" w:customStyle="1" w:styleId="Article1annexe">
    <w:name w:val="Article 1 annexe"/>
    <w:basedOn w:val="Normal"/>
    <w:uiPriority w:val="99"/>
    <w:rsid w:val="00D04951"/>
    <w:pPr>
      <w:overflowPunct w:val="0"/>
      <w:autoSpaceDE w:val="0"/>
      <w:autoSpaceDN w:val="0"/>
      <w:adjustRightInd w:val="0"/>
      <w:spacing w:before="240" w:after="240"/>
      <w:jc w:val="both"/>
      <w:textAlignment w:val="baseline"/>
    </w:pPr>
    <w:rPr>
      <w:rFonts w:ascii="Times New Roman" w:eastAsia="Times New Roman" w:hAnsi="Times New Roman" w:cs="Times New Roman"/>
      <w:b/>
      <w:sz w:val="22"/>
      <w:szCs w:val="20"/>
    </w:rPr>
  </w:style>
  <w:style w:type="character" w:styleId="Marquedecommentaire">
    <w:name w:val="annotation reference"/>
    <w:basedOn w:val="Policepardfaut"/>
    <w:uiPriority w:val="99"/>
    <w:semiHidden/>
    <w:unhideWhenUsed/>
    <w:rsid w:val="00D47099"/>
    <w:rPr>
      <w:sz w:val="16"/>
      <w:szCs w:val="16"/>
    </w:rPr>
  </w:style>
  <w:style w:type="paragraph" w:styleId="Commentaire">
    <w:name w:val="annotation text"/>
    <w:basedOn w:val="Normal"/>
    <w:link w:val="CommentaireCar"/>
    <w:uiPriority w:val="99"/>
    <w:semiHidden/>
    <w:unhideWhenUsed/>
    <w:rsid w:val="00D47099"/>
    <w:rPr>
      <w:sz w:val="20"/>
      <w:szCs w:val="20"/>
    </w:rPr>
  </w:style>
  <w:style w:type="character" w:customStyle="1" w:styleId="CommentaireCar">
    <w:name w:val="Commentaire Car"/>
    <w:basedOn w:val="Policepardfaut"/>
    <w:link w:val="Commentaire"/>
    <w:uiPriority w:val="99"/>
    <w:semiHidden/>
    <w:rsid w:val="00D47099"/>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47099"/>
    <w:rPr>
      <w:b/>
      <w:bCs/>
    </w:rPr>
  </w:style>
  <w:style w:type="character" w:customStyle="1" w:styleId="ObjetducommentaireCar">
    <w:name w:val="Objet du commentaire Car"/>
    <w:basedOn w:val="CommentaireCar"/>
    <w:link w:val="Objetducommentaire"/>
    <w:uiPriority w:val="99"/>
    <w:semiHidden/>
    <w:rsid w:val="00D47099"/>
    <w:rPr>
      <w:rFonts w:eastAsiaTheme="minorEastAsia"/>
      <w:b/>
      <w:bCs/>
      <w:sz w:val="20"/>
      <w:szCs w:val="20"/>
      <w:lang w:eastAsia="fr-FR"/>
    </w:rPr>
  </w:style>
  <w:style w:type="paragraph" w:styleId="Textedebulles">
    <w:name w:val="Balloon Text"/>
    <w:basedOn w:val="Normal"/>
    <w:link w:val="TextedebullesCar"/>
    <w:uiPriority w:val="99"/>
    <w:semiHidden/>
    <w:unhideWhenUsed/>
    <w:rsid w:val="00D470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7099"/>
    <w:rPr>
      <w:rFonts w:ascii="Segoe UI" w:eastAsiaTheme="minorEastAsia" w:hAnsi="Segoe UI" w:cs="Segoe UI"/>
      <w:sz w:val="18"/>
      <w:szCs w:val="18"/>
      <w:lang w:eastAsia="fr-FR"/>
    </w:rPr>
  </w:style>
  <w:style w:type="paragraph" w:styleId="En-tte">
    <w:name w:val="header"/>
    <w:basedOn w:val="Normal"/>
    <w:link w:val="En-tteCar"/>
    <w:uiPriority w:val="99"/>
    <w:unhideWhenUsed/>
    <w:rsid w:val="00494DFC"/>
    <w:pPr>
      <w:tabs>
        <w:tab w:val="center" w:pos="4536"/>
        <w:tab w:val="right" w:pos="9072"/>
      </w:tabs>
    </w:pPr>
  </w:style>
  <w:style w:type="character" w:customStyle="1" w:styleId="En-tteCar">
    <w:name w:val="En-tête Car"/>
    <w:basedOn w:val="Policepardfaut"/>
    <w:link w:val="En-tte"/>
    <w:uiPriority w:val="99"/>
    <w:rsid w:val="00494DFC"/>
    <w:rPr>
      <w:rFonts w:eastAsiaTheme="minorEastAsia"/>
      <w:sz w:val="24"/>
      <w:szCs w:val="24"/>
      <w:lang w:eastAsia="fr-FR"/>
    </w:rPr>
  </w:style>
  <w:style w:type="paragraph" w:styleId="Pieddepage">
    <w:name w:val="footer"/>
    <w:basedOn w:val="Normal"/>
    <w:link w:val="PieddepageCar"/>
    <w:uiPriority w:val="99"/>
    <w:unhideWhenUsed/>
    <w:rsid w:val="00494DFC"/>
    <w:pPr>
      <w:tabs>
        <w:tab w:val="center" w:pos="4536"/>
        <w:tab w:val="right" w:pos="9072"/>
      </w:tabs>
    </w:pPr>
  </w:style>
  <w:style w:type="character" w:customStyle="1" w:styleId="PieddepageCar">
    <w:name w:val="Pied de page Car"/>
    <w:basedOn w:val="Policepardfaut"/>
    <w:link w:val="Pieddepage"/>
    <w:uiPriority w:val="99"/>
    <w:rsid w:val="00494DFC"/>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D257-D89B-475B-90DC-C43CD58A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11024</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2017-09-10T20:08:00Z</cp:lastPrinted>
  <dcterms:created xsi:type="dcterms:W3CDTF">2017-10-27T09:38:00Z</dcterms:created>
  <dcterms:modified xsi:type="dcterms:W3CDTF">2017-10-27T09:38:00Z</dcterms:modified>
</cp:coreProperties>
</file>