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Arial" w:cs="Arial"/>
          <w:sz w:val="28"/>
          <w:szCs w:val="22"/>
          <w:lang w:val="en-GB" w:eastAsia="en-GB" w:bidi="en-GB"/>
        </w:rPr>
      </w:pPr>
      <w:r>
        <w:rPr>
          <w:rFonts w:eastAsia="Arial" w:cs="Arial" w:ascii="Arial" w:hAnsi="Arial"/>
          <w:sz w:val="28"/>
          <w:szCs w:val="22"/>
          <w:lang w:val="en-GB" w:eastAsia="en-GB" w:bidi="en-GB"/>
        </w:rPr>
      </w:r>
    </w:p>
    <w:p>
      <w:pPr>
        <w:pStyle w:val="Normal"/>
        <w:pBdr>
          <w:top w:val="single" w:sz="4" w:space="1" w:color="000000"/>
          <w:left w:val="single" w:sz="4" w:space="4" w:color="000000"/>
          <w:bottom w:val="single" w:sz="4" w:space="1" w:color="000000"/>
          <w:right w:val="single" w:sz="4" w:space="4" w:color="000000"/>
        </w:pBdr>
        <w:jc w:val="center"/>
        <w:rPr>
          <w:rFonts w:ascii="Arial" w:hAnsi="Arial" w:eastAsia="Arial" w:cs="Arial"/>
          <w:b/>
          <w:b/>
          <w:sz w:val="28"/>
          <w:szCs w:val="22"/>
          <w:lang w:val="en-GB" w:eastAsia="en-GB" w:bidi="en-GB"/>
        </w:rPr>
      </w:pPr>
      <w:r>
        <w:rPr>
          <w:rFonts w:eastAsia="Arial" w:cs="Arial" w:ascii="Arial" w:hAnsi="Arial"/>
          <w:b/>
          <w:sz w:val="28"/>
          <w:szCs w:val="22"/>
          <w:lang w:val="en-GB" w:eastAsia="en-GB" w:bidi="en-GB"/>
        </w:rPr>
        <w:t>ACCORD COLLECTIF PORTANT RECONNAISSANCE D’UNE UNITE ECONOMIQUE ET SOCIALE ENTRE LA CLINIQUE ET LE CENTRE DE DIALYSE DE L’ESTREE</w:t>
      </w:r>
    </w:p>
    <w:p>
      <w:pPr>
        <w:pStyle w:val="Normal"/>
        <w:pBdr>
          <w:top w:val="single" w:sz="4" w:space="1" w:color="000000"/>
          <w:left w:val="single" w:sz="4" w:space="4" w:color="000000"/>
          <w:bottom w:val="single" w:sz="4" w:space="1" w:color="000000"/>
          <w:right w:val="single" w:sz="4" w:space="4" w:color="000000"/>
        </w:pBdr>
        <w:jc w:val="center"/>
        <w:rPr>
          <w:rFonts w:ascii="Arial" w:hAnsi="Arial" w:eastAsia="Arial" w:cs="Arial"/>
          <w:b/>
          <w:b/>
          <w:sz w:val="28"/>
          <w:szCs w:val="22"/>
          <w:lang w:val="en-GB" w:eastAsia="en-GB" w:bidi="en-GB"/>
        </w:rPr>
      </w:pPr>
      <w:r>
        <w:rPr>
          <w:rFonts w:eastAsia="Arial" w:cs="Arial" w:ascii="Arial" w:hAnsi="Arial"/>
          <w:b/>
          <w:sz w:val="28"/>
          <w:szCs w:val="22"/>
          <w:lang w:val="en-GB" w:eastAsia="en-GB" w:bidi="en-GB"/>
        </w:rPr>
        <w:t>ET PERIMETRE DU CSE</w:t>
      </w:r>
    </w:p>
    <w:p>
      <w:pPr>
        <w:pStyle w:val="ElAppp"/>
        <w:spacing w:before="165" w:after="165"/>
        <w:jc w:val="both"/>
        <w:rPr>
          <w:sz w:val="22"/>
          <w:szCs w:val="22"/>
          <w:lang w:val="en-GB" w:eastAsia="en-GB" w:bidi="en-GB"/>
        </w:rPr>
      </w:pPr>
      <w:r>
        <w:rPr>
          <w:sz w:val="22"/>
          <w:szCs w:val="22"/>
          <w:lang w:val="en-GB" w:eastAsia="en-GB" w:bidi="en-GB"/>
        </w:rPr>
        <w:t>Entre :</w:t>
      </w:r>
    </w:p>
    <w:p>
      <w:pPr>
        <w:pStyle w:val="ElAppp"/>
        <w:spacing w:before="165" w:after="165"/>
        <w:jc w:val="both"/>
        <w:rPr>
          <w:sz w:val="22"/>
          <w:szCs w:val="22"/>
          <w:lang w:val="en-GB" w:eastAsia="en-GB" w:bidi="en-GB"/>
        </w:rPr>
      </w:pPr>
      <w:r>
        <w:rPr>
          <w:sz w:val="22"/>
          <w:szCs w:val="22"/>
          <w:lang w:val="en-GB" w:eastAsia="en-GB" w:bidi="en-GB"/>
        </w:rPr>
        <w:t>La Clinique de l’Estrée, Société par actions simplifiée, dont le siège social est situé 35, rue d’Amiens - 93240 STAINS, immatriculée au RCS de Bobigny sous le n°562 071 589,</w:t>
      </w:r>
    </w:p>
    <w:p>
      <w:pPr>
        <w:pStyle w:val="ElAppp"/>
        <w:spacing w:before="165" w:after="165"/>
        <w:jc w:val="both"/>
        <w:rPr>
          <w:sz w:val="22"/>
          <w:szCs w:val="22"/>
          <w:lang w:val="en-GB" w:eastAsia="en-GB" w:bidi="en-GB"/>
        </w:rPr>
      </w:pPr>
      <w:r>
        <w:rPr>
          <w:sz w:val="22"/>
          <w:szCs w:val="22"/>
          <w:lang w:val="en-GB" w:eastAsia="en-GB" w:bidi="en-GB"/>
        </w:rPr>
        <w:t>Le Centre de dialyse de l’Estrée, Société par actions simplifiée à associé unique, dont le siège social est situé 35, rue d’Amiens - 93240 STAINS, immatriculée au RCS de Bobigny sous le n° 485 094 817,</w:t>
      </w:r>
    </w:p>
    <w:p>
      <w:pPr>
        <w:pStyle w:val="ElAppp"/>
        <w:spacing w:before="165" w:after="165"/>
        <w:jc w:val="both"/>
        <w:rPr/>
      </w:pPr>
      <w:r>
        <w:rPr>
          <w:sz w:val="22"/>
          <w:szCs w:val="22"/>
          <w:lang w:val="en-GB" w:eastAsia="en-GB" w:bidi="en-GB"/>
        </w:rPr>
        <w:t xml:space="preserve">Représentés par Monsieur ***, en sa qualité de Directeur de la Clinique de l’Estrée et du Centre de dialyse de l’Estrée, dûment mandaté pour conclure les présentes, </w:t>
      </w:r>
    </w:p>
    <w:p>
      <w:pPr>
        <w:pStyle w:val="ElAppp"/>
        <w:spacing w:before="165" w:after="165"/>
        <w:jc w:val="both"/>
        <w:rPr>
          <w:sz w:val="22"/>
          <w:szCs w:val="22"/>
          <w:lang w:val="en-GB" w:eastAsia="en-GB" w:bidi="en-GB"/>
        </w:rPr>
      </w:pPr>
      <w:r>
        <w:rPr>
          <w:sz w:val="22"/>
          <w:szCs w:val="22"/>
          <w:lang w:val="en-GB" w:eastAsia="en-GB" w:bidi="en-GB"/>
        </w:rPr>
        <w:t>d’une part,</w:t>
      </w:r>
    </w:p>
    <w:p>
      <w:pPr>
        <w:pStyle w:val="ElAppp"/>
        <w:spacing w:before="165" w:after="165"/>
        <w:jc w:val="both"/>
        <w:rPr>
          <w:sz w:val="22"/>
          <w:szCs w:val="22"/>
          <w:lang w:val="en-GB" w:eastAsia="en-GB" w:bidi="en-GB"/>
        </w:rPr>
      </w:pPr>
      <w:r>
        <w:rPr>
          <w:sz w:val="22"/>
          <w:szCs w:val="22"/>
          <w:lang w:val="en-GB" w:eastAsia="en-GB" w:bidi="en-GB"/>
        </w:rPr>
        <w:t>Et</w:t>
      </w:r>
    </w:p>
    <w:p>
      <w:pPr>
        <w:pStyle w:val="ElAppp"/>
        <w:spacing w:before="165" w:after="165"/>
        <w:jc w:val="both"/>
        <w:rPr/>
      </w:pPr>
      <w:r>
        <w:rPr>
          <w:sz w:val="22"/>
          <w:szCs w:val="22"/>
          <w:lang w:val="en-GB" w:eastAsia="en-GB" w:bidi="en-GB"/>
        </w:rPr>
        <w:t>L’Organisation Syndicale Représentative FO, représentée par Madame ** en qualité de coordinatrice syndicale ;</w:t>
      </w:r>
    </w:p>
    <w:p>
      <w:pPr>
        <w:pStyle w:val="ElAppp"/>
        <w:spacing w:before="165" w:after="165"/>
        <w:jc w:val="both"/>
        <w:rPr/>
      </w:pPr>
      <w:r>
        <w:rPr>
          <w:sz w:val="22"/>
          <w:szCs w:val="22"/>
          <w:lang w:val="en-GB" w:eastAsia="en-GB" w:bidi="en-GB"/>
        </w:rPr>
        <w:t>L’Organisation Syndicale Représentative CGT, représentée par Madame ** en qualité de coordinatrice syndicale ;</w:t>
      </w:r>
    </w:p>
    <w:p>
      <w:pPr>
        <w:pStyle w:val="ElAppp"/>
        <w:spacing w:before="165" w:after="165"/>
        <w:jc w:val="both"/>
        <w:rPr/>
      </w:pPr>
      <w:r>
        <w:rPr>
          <w:sz w:val="22"/>
          <w:szCs w:val="22"/>
          <w:lang w:val="en-GB" w:eastAsia="en-GB" w:bidi="en-GB"/>
        </w:rPr>
        <w:t>L’Organisation Syndicale Représentative CFE-CGC, représentée par Madame ** en qualité de coordinatrice syndicale.</w:t>
      </w:r>
    </w:p>
    <w:p>
      <w:pPr>
        <w:pStyle w:val="ElAppp"/>
        <w:spacing w:before="165" w:after="165"/>
        <w:jc w:val="both"/>
        <w:rPr>
          <w:sz w:val="22"/>
          <w:szCs w:val="22"/>
          <w:lang w:val="en-GB" w:eastAsia="en-GB" w:bidi="en-GB"/>
        </w:rPr>
      </w:pPr>
      <w:r>
        <w:rPr>
          <w:sz w:val="22"/>
          <w:szCs w:val="22"/>
          <w:lang w:val="en-GB" w:eastAsia="en-GB" w:bidi="en-GB"/>
        </w:rPr>
        <w:t>d’autre part,</w:t>
      </w:r>
    </w:p>
    <w:p>
      <w:pPr>
        <w:pStyle w:val="ElAppp"/>
        <w:spacing w:before="165" w:after="165"/>
        <w:jc w:val="both"/>
        <w:rPr>
          <w:sz w:val="22"/>
          <w:szCs w:val="22"/>
          <w:lang w:val="en-GB" w:eastAsia="en-GB" w:bidi="en-GB"/>
        </w:rPr>
      </w:pPr>
      <w:r>
        <w:rPr>
          <w:sz w:val="22"/>
          <w:szCs w:val="22"/>
          <w:lang w:val="en-GB" w:eastAsia="en-GB" w:bidi="en-GB"/>
        </w:rPr>
        <w:t>Il est conclu le présent accord.</w:t>
      </w:r>
    </w:p>
    <w:p>
      <w:pPr>
        <w:pStyle w:val="ElAppp"/>
        <w:spacing w:before="165" w:after="165"/>
        <w:jc w:val="both"/>
        <w:rPr>
          <w:b/>
          <w:b/>
          <w:sz w:val="22"/>
          <w:szCs w:val="22"/>
          <w:u w:val="single"/>
          <w:lang w:val="en-GB" w:eastAsia="en-GB" w:bidi="en-GB"/>
        </w:rPr>
      </w:pPr>
      <w:bookmarkStart w:id="0" w:name="OLE_LINK14"/>
      <w:bookmarkEnd w:id="0"/>
      <w:r>
        <w:rPr>
          <w:b/>
          <w:sz w:val="22"/>
          <w:szCs w:val="22"/>
          <w:u w:val="single"/>
          <w:lang w:val="en-GB" w:eastAsia="en-GB" w:bidi="en-GB"/>
        </w:rPr>
        <w:t xml:space="preserve">Préambule </w:t>
      </w:r>
    </w:p>
    <w:p>
      <w:pPr>
        <w:pStyle w:val="CWAListetirets"/>
        <w:numPr>
          <w:ilvl w:val="0"/>
          <w:numId w:val="0"/>
        </w:numPr>
        <w:ind w:left="0" w:hanging="0"/>
        <w:rPr>
          <w:rFonts w:ascii="Arial" w:hAnsi="Arial" w:eastAsia="Arial" w:cs="Arial"/>
          <w:lang w:val="fr-FR" w:eastAsia="en-GB" w:bidi="en-GB"/>
        </w:rPr>
      </w:pPr>
      <w:r>
        <w:rPr>
          <w:rFonts w:eastAsia="Arial" w:cs="Arial" w:ascii="Arial" w:hAnsi="Arial"/>
          <w:lang w:val="fr-FR" w:eastAsia="en-GB" w:bidi="en-GB"/>
        </w:rPr>
        <w:t xml:space="preserve">La Direction commune des Sociétés signataires s’est rapprochée par courrier du 28 août 2020 des Organisations Syndicales Représentatives au sein du périmètre de la Clinique de l’Estrée et du Centre de dialyse de l’Estrée afin qu’elles désignent un coordinateur syndical en vue de la reconnaissance d’une unité économique et sociale et, à cet effet, a convoqué les organisations syndicales représentatives à une réunion de négociations le 30 septembre 2020. </w:t>
      </w:r>
    </w:p>
    <w:p>
      <w:pPr>
        <w:pStyle w:val="CWAListetirets"/>
        <w:numPr>
          <w:ilvl w:val="0"/>
          <w:numId w:val="0"/>
        </w:numPr>
        <w:ind w:left="0" w:hanging="0"/>
        <w:rPr>
          <w:rFonts w:ascii="Arial" w:hAnsi="Arial" w:eastAsia="Arial" w:cs="Arial"/>
          <w:lang w:val="fr-FR" w:eastAsia="en-GB" w:bidi="en-GB"/>
        </w:rPr>
      </w:pPr>
      <w:r>
        <w:rPr>
          <w:rFonts w:eastAsia="Arial" w:cs="Arial" w:ascii="Arial" w:hAnsi="Arial"/>
          <w:lang w:val="fr-FR" w:eastAsia="en-GB" w:bidi="en-GB"/>
        </w:rPr>
        <w:t>L'unité économique et sociale est le nom que l'on donne à plusieurs sociétés juridiquement distinctes mais présentant des liens étroits et considérées comme une seule entreprise pour l'application du droit du travail et plus particulièrement de la législation sur la représentation du personnel.</w:t>
      </w:r>
    </w:p>
    <w:p>
      <w:pPr>
        <w:pStyle w:val="CWAListetirets"/>
        <w:numPr>
          <w:ilvl w:val="0"/>
          <w:numId w:val="0"/>
        </w:numPr>
        <w:ind w:left="0" w:hanging="0"/>
        <w:rPr>
          <w:rFonts w:ascii="Arial" w:hAnsi="Arial" w:eastAsia="Arial" w:cs="Arial"/>
          <w:lang w:val="fr-FR" w:eastAsia="en-GB" w:bidi="en-GB"/>
        </w:rPr>
      </w:pPr>
      <w:r>
        <w:rPr>
          <w:rFonts w:eastAsia="Arial" w:cs="Arial" w:ascii="Arial" w:hAnsi="Arial"/>
          <w:lang w:val="fr-FR" w:eastAsia="en-GB" w:bidi="en-GB"/>
        </w:rPr>
        <w:t>Les parties ont, alors, fait le constat de la présence de dirigeants communs dans ces deux sociétés et d’activités complémentaires.</w:t>
      </w:r>
    </w:p>
    <w:p>
      <w:pPr>
        <w:pStyle w:val="CWAListetirets"/>
        <w:numPr>
          <w:ilvl w:val="0"/>
          <w:numId w:val="0"/>
        </w:numPr>
        <w:ind w:left="0" w:hanging="0"/>
        <w:rPr/>
      </w:pPr>
      <w:r>
        <w:rPr>
          <w:rFonts w:eastAsia="Arial" w:cs="Arial" w:ascii="Arial" w:hAnsi="Arial"/>
          <w:lang w:val="fr-FR" w:eastAsia="en-GB" w:bidi="en-GB"/>
        </w:rPr>
        <w:t xml:space="preserve">Outre le fait que ces deux Sociétés sont implantées sur le même site, les parties ont également relevé l’existence d’un statut social proche caractérisé par la permutabilité ou la mobilité du personnel entre les deux sociétés, l’existence de règles de gestion commune, l’application de la même convention collective et d’un même régime de prévoyance. </w:t>
      </w:r>
    </w:p>
    <w:p>
      <w:pPr>
        <w:pStyle w:val="CWAListetirets"/>
        <w:numPr>
          <w:ilvl w:val="0"/>
          <w:numId w:val="0"/>
        </w:numPr>
        <w:ind w:left="0" w:hanging="0"/>
        <w:rPr/>
      </w:pPr>
      <w:r>
        <w:rPr>
          <w:rFonts w:eastAsia="Arial" w:cs="Arial" w:ascii="Arial" w:hAnsi="Arial"/>
          <w:lang w:val="fr-FR" w:eastAsia="en-GB" w:bidi="en-GB"/>
        </w:rPr>
        <w:t xml:space="preserve">Elles ont également relevé une identité des conditions de travail et de statut social, une gestion unique et centralisée du personnel, une politique salariale et sociale commune, les mêmes perspectives de travail, des avantages sociaux identiques et un seul service de paye.  </w:t>
      </w:r>
    </w:p>
    <w:p>
      <w:pPr>
        <w:pStyle w:val="CWAListetirets"/>
        <w:numPr>
          <w:ilvl w:val="0"/>
          <w:numId w:val="0"/>
        </w:numPr>
        <w:ind w:left="0" w:hanging="0"/>
        <w:rPr>
          <w:rFonts w:ascii="Arial" w:hAnsi="Arial" w:eastAsia="Arial" w:cs="Arial"/>
          <w:lang w:val="fr-FR" w:eastAsia="en-GB" w:bidi="en-GB"/>
        </w:rPr>
      </w:pPr>
      <w:r>
        <w:rPr>
          <w:rFonts w:eastAsia="Arial" w:cs="Arial" w:ascii="Arial" w:hAnsi="Arial"/>
          <w:lang w:val="fr-FR" w:eastAsia="en-GB" w:bidi="en-GB"/>
        </w:rPr>
        <w:t>A l’issue de ces discussions, il a donc été décidé de reconnaître l’existence d’une Unité Economique et Sociale (UES) entre ces Sociétés.</w:t>
      </w:r>
    </w:p>
    <w:p>
      <w:pPr>
        <w:pStyle w:val="CWAListetirets"/>
        <w:numPr>
          <w:ilvl w:val="0"/>
          <w:numId w:val="0"/>
        </w:numPr>
        <w:ind w:left="0" w:hanging="0"/>
        <w:rPr>
          <w:rFonts w:ascii="Arial" w:hAnsi="Arial" w:eastAsia="Arial" w:cs="Arial"/>
          <w:lang w:val="fr-FR" w:eastAsia="en-GB" w:bidi="en-GB"/>
        </w:rPr>
      </w:pPr>
      <w:r>
        <w:rPr>
          <w:rFonts w:eastAsia="Arial" w:cs="Arial" w:ascii="Arial" w:hAnsi="Arial"/>
          <w:lang w:val="fr-FR" w:eastAsia="en-GB" w:bidi="en-GB"/>
        </w:rPr>
        <w:t>Ceci étant rappelé, il a été convenu ce qui suit.</w:t>
      </w:r>
    </w:p>
    <w:p>
      <w:pPr>
        <w:pStyle w:val="CWAListetirets"/>
        <w:numPr>
          <w:ilvl w:val="0"/>
          <w:numId w:val="0"/>
        </w:numPr>
        <w:ind w:left="0" w:hanging="0"/>
        <w:rPr>
          <w:rFonts w:ascii="Arial" w:hAnsi="Arial" w:eastAsia="Arial" w:cs="Arial"/>
          <w:b/>
          <w:b/>
          <w:u w:val="single"/>
          <w:lang w:val="fr-FR" w:eastAsia="en-GB" w:bidi="en-GB"/>
        </w:rPr>
      </w:pPr>
      <w:r>
        <w:rPr>
          <w:rFonts w:eastAsia="Arial" w:cs="Arial" w:ascii="Arial" w:hAnsi="Arial"/>
          <w:b/>
          <w:u w:val="single"/>
          <w:lang w:val="fr-FR" w:eastAsia="en-GB" w:bidi="en-GB"/>
        </w:rPr>
        <w:t>Article 1 – Périmètre de l’UES</w:t>
      </w:r>
    </w:p>
    <w:p>
      <w:pPr>
        <w:pStyle w:val="Paragraphedeliste"/>
        <w:spacing w:before="0" w:after="120"/>
        <w:ind w:left="360" w:hanging="0"/>
        <w:jc w:val="both"/>
        <w:rPr/>
      </w:pPr>
      <w:r>
        <w:rPr>
          <w:rFonts w:cs="Arial" w:ascii="Arial" w:hAnsi="Arial"/>
        </w:rPr>
        <w:t xml:space="preserve">1.1 </w:t>
      </w:r>
      <w:r>
        <w:rPr>
          <w:rFonts w:cs="Arial" w:ascii="Arial" w:hAnsi="Arial"/>
          <w:u w:val="single"/>
        </w:rPr>
        <w:t>Définition du périmètre</w:t>
      </w:r>
    </w:p>
    <w:p>
      <w:pPr>
        <w:pStyle w:val="CWAListetirets"/>
        <w:numPr>
          <w:ilvl w:val="0"/>
          <w:numId w:val="0"/>
        </w:numPr>
        <w:spacing w:before="240" w:after="240"/>
        <w:ind w:left="360" w:hanging="0"/>
        <w:rPr>
          <w:rFonts w:ascii="Arial" w:hAnsi="Arial" w:eastAsia="Arial" w:cs="Arial"/>
          <w:lang w:val="fr-FR" w:eastAsia="en-GB" w:bidi="en-GB"/>
        </w:rPr>
      </w:pPr>
      <w:r>
        <w:rPr>
          <w:rFonts w:eastAsia="Arial" w:cs="Arial" w:ascii="Arial" w:hAnsi="Arial"/>
          <w:lang w:val="fr-FR" w:eastAsia="en-GB" w:bidi="en-GB"/>
        </w:rPr>
        <w:t>Le présent accord s’applique aux deux sociétés signataires qui compose l’UES ainsi reconnue.</w:t>
      </w:r>
    </w:p>
    <w:p>
      <w:pPr>
        <w:pStyle w:val="Paragraphedeliste"/>
        <w:spacing w:before="0" w:after="120"/>
        <w:ind w:left="360" w:hanging="0"/>
        <w:jc w:val="both"/>
        <w:rPr/>
      </w:pPr>
      <w:r>
        <w:rPr>
          <w:rFonts w:cs="Arial" w:ascii="Arial" w:hAnsi="Arial"/>
        </w:rPr>
        <w:t xml:space="preserve">1.2 </w:t>
      </w:r>
      <w:r>
        <w:rPr>
          <w:rFonts w:cs="Arial" w:ascii="Arial" w:hAnsi="Arial"/>
          <w:u w:val="single"/>
        </w:rPr>
        <w:t>Entrée d’une Société dans le périmètre de l’UES</w:t>
      </w:r>
    </w:p>
    <w:p>
      <w:pPr>
        <w:pStyle w:val="CWAListetirets"/>
        <w:numPr>
          <w:ilvl w:val="0"/>
          <w:numId w:val="0"/>
        </w:numPr>
        <w:spacing w:before="240" w:after="240"/>
        <w:ind w:left="360" w:hanging="0"/>
        <w:rPr>
          <w:rFonts w:ascii="Arial" w:hAnsi="Arial" w:eastAsia="Arial" w:cs="Arial"/>
          <w:lang w:val="fr-FR" w:eastAsia="en-GB" w:bidi="en-GB"/>
        </w:rPr>
      </w:pPr>
      <w:r>
        <w:rPr>
          <w:rFonts w:eastAsia="Arial" w:cs="Arial" w:ascii="Arial" w:hAnsi="Arial"/>
          <w:lang w:val="fr-FR" w:eastAsia="en-GB" w:bidi="en-GB"/>
        </w:rPr>
        <w:t>Toute entrée d’une nouvelle Société dans le périmètre de l’UES est soumise, soit à la signature d’un avenant de révision au présent accord, soit à une décision de justice.</w:t>
      </w:r>
    </w:p>
    <w:p>
      <w:pPr>
        <w:pStyle w:val="Paragraphedeliste"/>
        <w:spacing w:before="0" w:after="120"/>
        <w:ind w:left="360" w:hanging="0"/>
        <w:jc w:val="both"/>
        <w:rPr/>
      </w:pPr>
      <w:r>
        <w:rPr>
          <w:rFonts w:cs="Arial" w:ascii="Arial" w:hAnsi="Arial"/>
        </w:rPr>
        <w:t xml:space="preserve">1.3 </w:t>
      </w:r>
      <w:r>
        <w:rPr>
          <w:rFonts w:cs="Arial" w:ascii="Arial" w:hAnsi="Arial"/>
          <w:u w:val="single"/>
        </w:rPr>
        <w:t>Sortie d’une Société du périmètre de l’UES</w:t>
      </w:r>
    </w:p>
    <w:p>
      <w:pPr>
        <w:pStyle w:val="CWAListetirets"/>
        <w:numPr>
          <w:ilvl w:val="0"/>
          <w:numId w:val="0"/>
        </w:numPr>
        <w:spacing w:before="240" w:after="240"/>
        <w:ind w:left="360" w:hanging="0"/>
        <w:rPr>
          <w:rFonts w:ascii="Arial" w:hAnsi="Arial" w:eastAsia="Arial" w:cs="Arial"/>
          <w:lang w:val="fr-FR" w:eastAsia="en-GB" w:bidi="en-GB"/>
        </w:rPr>
      </w:pPr>
      <w:r>
        <w:rPr>
          <w:rFonts w:eastAsia="Arial" w:cs="Arial" w:ascii="Arial" w:hAnsi="Arial"/>
          <w:lang w:val="fr-FR" w:eastAsia="en-GB" w:bidi="en-GB"/>
        </w:rPr>
        <w:t>Une sortie d’une Société du périmètre de l’UES pourra résulter de de la conclusion d‘un avenant de révision au présent accord.</w:t>
      </w:r>
    </w:p>
    <w:p>
      <w:pPr>
        <w:pStyle w:val="CWAListetirets"/>
        <w:numPr>
          <w:ilvl w:val="0"/>
          <w:numId w:val="0"/>
        </w:numPr>
        <w:spacing w:before="240" w:after="240"/>
        <w:ind w:left="360" w:hanging="0"/>
        <w:rPr>
          <w:rFonts w:ascii="Arial" w:hAnsi="Arial" w:eastAsia="Arial" w:cs="Arial"/>
          <w:lang w:val="fr-FR" w:eastAsia="en-GB" w:bidi="en-GB"/>
        </w:rPr>
      </w:pPr>
      <w:r>
        <w:rPr>
          <w:rFonts w:eastAsia="Arial" w:cs="Arial" w:ascii="Arial" w:hAnsi="Arial"/>
          <w:lang w:val="fr-FR" w:eastAsia="en-GB" w:bidi="en-GB"/>
        </w:rPr>
        <w:t>Une sortie du périmètre de l’UES intervient automatiquement en cas de cession de contrôle d’une Société partie au présent accord à un acquéreur n’appartenant pas au Groupe auquel les deux Sociétés appartiennent ou en cas de dissolution.</w:t>
      </w:r>
    </w:p>
    <w:p>
      <w:pPr>
        <w:pStyle w:val="CWAListetirets"/>
        <w:numPr>
          <w:ilvl w:val="0"/>
          <w:numId w:val="0"/>
        </w:numPr>
        <w:spacing w:before="240" w:after="240"/>
        <w:ind w:left="360" w:hanging="0"/>
        <w:rPr>
          <w:rFonts w:ascii="Arial" w:hAnsi="Arial" w:eastAsia="Arial" w:cs="Arial"/>
          <w:lang w:val="fr-FR" w:eastAsia="en-GB" w:bidi="en-GB"/>
        </w:rPr>
      </w:pPr>
      <w:r>
        <w:rPr>
          <w:rFonts w:eastAsia="Arial" w:cs="Arial" w:ascii="Arial" w:hAnsi="Arial"/>
          <w:lang w:val="fr-FR" w:eastAsia="en-GB" w:bidi="en-GB"/>
        </w:rPr>
        <w:t>Dans de telles hypothèses, la Société concernée par une cession de contrôle ou une dissolution s’engage à informer les autres parties au présent accord par lettre RAR.</w:t>
      </w:r>
    </w:p>
    <w:p>
      <w:pPr>
        <w:pStyle w:val="CWAListetirets"/>
        <w:numPr>
          <w:ilvl w:val="0"/>
          <w:numId w:val="0"/>
        </w:numPr>
        <w:spacing w:before="240" w:after="240"/>
        <w:ind w:left="0" w:hanging="0"/>
        <w:rPr>
          <w:rFonts w:ascii="Arial" w:hAnsi="Arial" w:eastAsia="Arial" w:cs="Arial"/>
          <w:b/>
          <w:b/>
          <w:u w:val="single"/>
          <w:lang w:val="fr-FR" w:eastAsia="en-GB" w:bidi="en-GB"/>
        </w:rPr>
      </w:pPr>
      <w:r>
        <w:rPr>
          <w:rFonts w:eastAsia="Arial" w:cs="Arial" w:ascii="Arial" w:hAnsi="Arial"/>
          <w:b/>
          <w:u w:val="single"/>
          <w:lang w:val="fr-FR" w:eastAsia="en-GB" w:bidi="en-GB"/>
        </w:rPr>
        <w:t>Article 2 – Objet de l’UES</w:t>
      </w:r>
    </w:p>
    <w:p>
      <w:pPr>
        <w:pStyle w:val="ElAppp"/>
        <w:spacing w:before="165" w:after="165"/>
        <w:jc w:val="both"/>
        <w:rPr>
          <w:sz w:val="22"/>
          <w:szCs w:val="22"/>
          <w:lang w:val="en-GB" w:eastAsia="en-GB" w:bidi="en-GB"/>
        </w:rPr>
      </w:pPr>
      <w:bookmarkStart w:id="1" w:name="OLE_LINK14"/>
      <w:bookmarkStart w:id="2" w:name="OLE_LINK6"/>
      <w:bookmarkStart w:id="3" w:name="OLE_LINK15"/>
      <w:bookmarkEnd w:id="1"/>
      <w:bookmarkEnd w:id="2"/>
      <w:bookmarkEnd w:id="3"/>
      <w:r>
        <w:rPr>
          <w:sz w:val="22"/>
          <w:szCs w:val="22"/>
          <w:lang w:val="en-GB" w:eastAsia="en-GB" w:bidi="en-GB"/>
        </w:rPr>
        <w:t>L’UES reconnue par le présent accord devient le cadre de la représentation du personnel des Sociétés concernées.</w:t>
      </w:r>
    </w:p>
    <w:p>
      <w:pPr>
        <w:pStyle w:val="ElAppp"/>
        <w:spacing w:before="165" w:after="165"/>
        <w:jc w:val="both"/>
        <w:rPr>
          <w:sz w:val="22"/>
          <w:szCs w:val="22"/>
          <w:lang w:val="en-GB" w:eastAsia="en-GB" w:bidi="en-GB"/>
        </w:rPr>
      </w:pPr>
      <w:r>
        <w:rPr>
          <w:sz w:val="22"/>
          <w:szCs w:val="22"/>
          <w:lang w:val="en-GB" w:eastAsia="en-GB" w:bidi="en-GB"/>
        </w:rPr>
        <w:t>Il est précisé que la reconnaissance d’une UES implique le déclenchement d’un processus électoral en vue de mettre en place les institutions représentatives du personnel qui lui sont appropriées.</w:t>
      </w:r>
    </w:p>
    <w:p>
      <w:pPr>
        <w:pStyle w:val="ElAppp"/>
        <w:spacing w:before="165" w:after="165"/>
        <w:jc w:val="both"/>
        <w:rPr>
          <w:sz w:val="22"/>
          <w:szCs w:val="22"/>
          <w:lang w:val="en-GB" w:eastAsia="en-GB" w:bidi="en-GB"/>
        </w:rPr>
      </w:pPr>
      <w:r>
        <w:rPr>
          <w:sz w:val="22"/>
          <w:szCs w:val="22"/>
          <w:lang w:val="en-GB" w:eastAsia="en-GB" w:bidi="en-GB"/>
        </w:rPr>
        <w:t>Dès lors, les mandats en cours cesseront le jour de la proclamation des résultats des élections organisées au sein de l'UES quelle que soit l'échéance de leur terme.</w:t>
      </w:r>
    </w:p>
    <w:p>
      <w:pPr>
        <w:pStyle w:val="ElAppp"/>
        <w:spacing w:before="165" w:after="165"/>
        <w:jc w:val="both"/>
        <w:rPr>
          <w:sz w:val="22"/>
          <w:szCs w:val="22"/>
          <w:lang w:val="en-GB" w:eastAsia="en-GB" w:bidi="en-GB"/>
        </w:rPr>
      </w:pPr>
      <w:r>
        <w:rPr>
          <w:sz w:val="22"/>
          <w:szCs w:val="22"/>
          <w:lang w:val="en-GB" w:eastAsia="en-GB" w:bidi="en-GB"/>
        </w:rPr>
        <w:t>Les parties constatent que l'effectif en ETP des Sociétés de l’UES est de :</w:t>
      </w:r>
    </w:p>
    <w:p>
      <w:pPr>
        <w:pStyle w:val="ElAppp"/>
        <w:spacing w:before="165" w:after="165"/>
        <w:jc w:val="both"/>
        <w:rPr/>
      </w:pPr>
      <w:r>
        <w:rPr>
          <w:sz w:val="22"/>
          <w:szCs w:val="22"/>
          <w:lang w:val="en-GB" w:eastAsia="en-GB" w:bidi="en-GB"/>
        </w:rPr>
        <w:t>- 324 salariés en CDI au 30/09/2020 pour la Société Clinique de l’Estrée,</w:t>
      </w:r>
    </w:p>
    <w:p>
      <w:pPr>
        <w:pStyle w:val="ElAppp"/>
        <w:spacing w:before="165" w:after="165"/>
        <w:jc w:val="both"/>
        <w:rPr/>
      </w:pPr>
      <w:r>
        <w:rPr>
          <w:sz w:val="22"/>
          <w:szCs w:val="22"/>
          <w:lang w:val="en-GB" w:eastAsia="en-GB" w:bidi="en-GB"/>
        </w:rPr>
        <w:t>- 35,5 salariés en CDI au 30/09/2020 pour le Centre de dialyse de l’Estrée.</w:t>
      </w:r>
    </w:p>
    <w:p>
      <w:pPr>
        <w:pStyle w:val="ElAppp"/>
        <w:spacing w:before="165" w:after="165"/>
        <w:jc w:val="both"/>
        <w:rPr/>
      </w:pPr>
      <w:r>
        <w:rPr>
          <w:sz w:val="22"/>
          <w:szCs w:val="22"/>
          <w:lang w:val="en-GB" w:eastAsia="en-GB" w:bidi="en-GB"/>
        </w:rPr>
        <w:t>soit un effectif total de 359,5 salariés</w:t>
      </w:r>
    </w:p>
    <w:p>
      <w:pPr>
        <w:pStyle w:val="ElAppp"/>
        <w:spacing w:before="165" w:after="165"/>
        <w:jc w:val="both"/>
        <w:rPr>
          <w:sz w:val="22"/>
          <w:szCs w:val="22"/>
        </w:rPr>
      </w:pPr>
      <w:r>
        <w:rPr>
          <w:sz w:val="22"/>
          <w:szCs w:val="22"/>
          <w:lang w:val="en-GB" w:eastAsia="en-GB" w:bidi="en-GB"/>
        </w:rPr>
        <w:t>Un tel effectif impose la mise en place d’un Comité Economique et Social (CSE).</w:t>
      </w:r>
    </w:p>
    <w:p>
      <w:pPr>
        <w:pStyle w:val="CWAListetirets"/>
        <w:numPr>
          <w:ilvl w:val="0"/>
          <w:numId w:val="0"/>
        </w:numPr>
        <w:spacing w:before="240" w:after="240"/>
        <w:ind w:left="0" w:hanging="0"/>
        <w:rPr>
          <w:rFonts w:ascii="Arial" w:hAnsi="Arial" w:eastAsia="Arial" w:cs="Arial"/>
          <w:b/>
          <w:b/>
          <w:u w:val="single"/>
          <w:lang w:val="fr-FR" w:eastAsia="en-GB" w:bidi="en-GB"/>
        </w:rPr>
      </w:pPr>
      <w:bookmarkStart w:id="4" w:name="OLE_LINK6"/>
      <w:bookmarkEnd w:id="4"/>
      <w:r>
        <w:rPr>
          <w:rFonts w:eastAsia="Arial" w:cs="Arial" w:ascii="Arial" w:hAnsi="Arial"/>
          <w:b/>
          <w:u w:val="single"/>
          <w:lang w:val="fr-FR" w:eastAsia="en-GB" w:bidi="en-GB"/>
        </w:rPr>
        <w:t>Article 3 : Périmètre du Comité Social et Economique</w:t>
      </w:r>
    </w:p>
    <w:p>
      <w:pPr>
        <w:pStyle w:val="ElAppp"/>
        <w:spacing w:before="165" w:after="165"/>
        <w:jc w:val="both"/>
        <w:rPr>
          <w:sz w:val="22"/>
          <w:szCs w:val="22"/>
          <w:lang w:val="en-GB" w:eastAsia="en-GB" w:bidi="en-GB"/>
        </w:rPr>
      </w:pPr>
      <w:r>
        <w:rPr>
          <w:sz w:val="22"/>
          <w:szCs w:val="22"/>
          <w:lang w:val="en-GB" w:eastAsia="en-GB" w:bidi="en-GB"/>
        </w:rPr>
        <w:t>Les parties conviennent que compte tenu de la centralisation du pouvoir de gestion économique au sein de l’UES, un unique CSE sera mis en place au niveau de cette Unité.</w:t>
      </w:r>
    </w:p>
    <w:p>
      <w:pPr>
        <w:pStyle w:val="CWAListetirets"/>
        <w:numPr>
          <w:ilvl w:val="0"/>
          <w:numId w:val="0"/>
        </w:numPr>
        <w:spacing w:before="240" w:after="240"/>
        <w:ind w:left="0" w:hanging="0"/>
        <w:rPr/>
      </w:pPr>
      <w:r>
        <w:rPr>
          <w:rFonts w:eastAsia="Arial" w:cs="Arial" w:ascii="Arial" w:hAnsi="Arial"/>
          <w:b/>
          <w:u w:val="single"/>
          <w:lang w:val="fr-FR" w:eastAsia="en-GB" w:bidi="en-GB"/>
        </w:rPr>
        <w:t>Article 4 : Représentation syndicale</w:t>
      </w:r>
    </w:p>
    <w:p>
      <w:pPr>
        <w:pStyle w:val="Paragraphedeliste"/>
        <w:spacing w:before="0" w:after="120"/>
        <w:ind w:left="360" w:hanging="0"/>
        <w:jc w:val="both"/>
        <w:rPr/>
      </w:pPr>
      <w:r>
        <w:rPr>
          <w:rFonts w:cs="Arial" w:ascii="Arial" w:hAnsi="Arial"/>
        </w:rPr>
        <w:t xml:space="preserve">4.1 </w:t>
      </w:r>
      <w:r>
        <w:rPr>
          <w:rFonts w:cs="Arial" w:ascii="Arial" w:hAnsi="Arial"/>
          <w:u w:val="single"/>
        </w:rPr>
        <w:t>Représentation syndicale à compter de la reconnaissance de l’UES</w:t>
      </w:r>
    </w:p>
    <w:p>
      <w:pPr>
        <w:pStyle w:val="ElAppp"/>
        <w:spacing w:before="165" w:after="165"/>
        <w:jc w:val="both"/>
        <w:rPr/>
      </w:pPr>
      <w:r>
        <w:rPr>
          <w:sz w:val="22"/>
          <w:szCs w:val="22"/>
          <w:lang w:val="en-GB" w:eastAsia="en-GB" w:bidi="en-GB"/>
        </w:rPr>
        <w:t>Les mandats des Délégués Syndicaux, des Représentants Syndicaux au CSE et des Représentants de Section Syndicale se poursuivent à compter de la reconnaissance de l’UES.</w:t>
      </w:r>
    </w:p>
    <w:p>
      <w:pPr>
        <w:pStyle w:val="ElAppp"/>
        <w:spacing w:before="165" w:after="165"/>
        <w:jc w:val="both"/>
        <w:rPr/>
      </w:pPr>
      <w:r>
        <w:rPr>
          <w:sz w:val="22"/>
          <w:szCs w:val="22"/>
          <w:lang w:val="en-GB" w:eastAsia="en-GB" w:bidi="en-GB"/>
        </w:rPr>
        <w:t>Les parties conviennent qu’ils seront considérés comme ayant pour cadre de désignation l’UES reconnues par le présent accord.</w:t>
      </w:r>
    </w:p>
    <w:p>
      <w:pPr>
        <w:pStyle w:val="Paragraphedeliste"/>
        <w:spacing w:before="0" w:after="120"/>
        <w:ind w:left="360" w:hanging="0"/>
        <w:jc w:val="both"/>
        <w:rPr/>
      </w:pPr>
      <w:r>
        <w:rPr>
          <w:rFonts w:cs="Arial" w:ascii="Arial" w:hAnsi="Arial"/>
        </w:rPr>
        <w:t xml:space="preserve">4.2 </w:t>
      </w:r>
      <w:r>
        <w:rPr>
          <w:rFonts w:cs="Arial" w:ascii="Arial" w:hAnsi="Arial"/>
          <w:u w:val="single"/>
        </w:rPr>
        <w:t>Représentation syndicale à compter de la mise en place du CSE</w:t>
      </w:r>
    </w:p>
    <w:p>
      <w:pPr>
        <w:pStyle w:val="ElAppp"/>
        <w:spacing w:before="165" w:after="165"/>
        <w:jc w:val="both"/>
        <w:rPr>
          <w:sz w:val="22"/>
          <w:szCs w:val="22"/>
          <w:lang w:val="en-GB" w:eastAsia="en-GB" w:bidi="en-GB"/>
        </w:rPr>
      </w:pPr>
      <w:r>
        <w:rPr>
          <w:sz w:val="22"/>
          <w:szCs w:val="22"/>
          <w:lang w:val="en-GB" w:eastAsia="en-GB" w:bidi="en-GB"/>
        </w:rPr>
        <w:t>Au plus tôt après la mise en place du Comité Economique et Sociale de l’UES, les Organisations Syndicales habilitées devront désigner leur Délégué Syndical et Représentant Syndical au CSE au niveau de l’UES.</w:t>
      </w:r>
    </w:p>
    <w:p>
      <w:pPr>
        <w:pStyle w:val="ElAppp"/>
        <w:spacing w:before="165" w:after="165"/>
        <w:jc w:val="both"/>
        <w:rPr>
          <w:sz w:val="22"/>
          <w:szCs w:val="22"/>
          <w:lang w:val="en-GB" w:eastAsia="en-GB" w:bidi="en-GB"/>
        </w:rPr>
      </w:pPr>
      <w:r>
        <w:rPr>
          <w:sz w:val="22"/>
          <w:szCs w:val="22"/>
          <w:lang w:val="en-GB" w:eastAsia="en-GB" w:bidi="en-GB"/>
        </w:rPr>
        <w:t>L’éventuelle désignation d’un représentant de section syndicale devra également intervenir au niveau de l’UES.</w:t>
      </w:r>
    </w:p>
    <w:p>
      <w:pPr>
        <w:pStyle w:val="ElAppp"/>
        <w:spacing w:before="165" w:after="165"/>
        <w:jc w:val="both"/>
        <w:rPr/>
      </w:pPr>
      <w:r>
        <w:rPr>
          <w:b/>
          <w:sz w:val="22"/>
          <w:szCs w:val="22"/>
          <w:u w:val="single"/>
        </w:rPr>
        <w:t xml:space="preserve">Article 5 – Durée de l’accord </w:t>
      </w:r>
    </w:p>
    <w:p>
      <w:pPr>
        <w:pStyle w:val="ElAppp"/>
        <w:spacing w:before="165" w:after="165"/>
        <w:jc w:val="both"/>
        <w:rPr>
          <w:sz w:val="22"/>
          <w:szCs w:val="22"/>
          <w:lang w:val="en-GB" w:eastAsia="en-GB" w:bidi="en-GB"/>
        </w:rPr>
      </w:pPr>
      <w:r>
        <w:rPr>
          <w:sz w:val="22"/>
          <w:szCs w:val="22"/>
          <w:lang w:val="en-GB" w:eastAsia="en-GB" w:bidi="en-GB"/>
        </w:rPr>
        <w:t xml:space="preserve">Le présent accord est conclu pour une durée indéterminée. </w:t>
      </w:r>
    </w:p>
    <w:p>
      <w:pPr>
        <w:pStyle w:val="ElAppp"/>
        <w:spacing w:before="165" w:after="165"/>
        <w:jc w:val="both"/>
        <w:rPr/>
      </w:pPr>
      <w:r>
        <w:rPr>
          <w:b/>
          <w:sz w:val="22"/>
          <w:szCs w:val="22"/>
          <w:u w:val="single"/>
        </w:rPr>
        <w:t>Article 6 – Entrée en vigueur</w:t>
      </w:r>
    </w:p>
    <w:p>
      <w:pPr>
        <w:pStyle w:val="ElAppp"/>
        <w:spacing w:before="165" w:after="165"/>
        <w:jc w:val="both"/>
        <w:rPr>
          <w:sz w:val="22"/>
          <w:szCs w:val="22"/>
        </w:rPr>
      </w:pPr>
      <w:r>
        <w:rPr>
          <w:sz w:val="22"/>
          <w:szCs w:val="22"/>
        </w:rPr>
        <w:t>Le présent accord entrera en vigueur le lendemain de son dépôt auprès de la DIRECCTE compétente.</w:t>
      </w:r>
    </w:p>
    <w:p>
      <w:pPr>
        <w:pStyle w:val="ElAppp"/>
        <w:spacing w:before="165" w:after="165"/>
        <w:jc w:val="both"/>
        <w:rPr>
          <w:b/>
          <w:b/>
          <w:sz w:val="22"/>
          <w:szCs w:val="22"/>
          <w:u w:val="single"/>
        </w:rPr>
      </w:pPr>
      <w:bookmarkStart w:id="5" w:name="OLE_LINK7"/>
      <w:bookmarkEnd w:id="5"/>
      <w:r>
        <w:rPr>
          <w:b/>
          <w:sz w:val="22"/>
          <w:szCs w:val="22"/>
          <w:u w:val="single"/>
        </w:rPr>
        <w:t>Article 7 – Modalités de suivi</w:t>
      </w:r>
    </w:p>
    <w:p>
      <w:pPr>
        <w:pStyle w:val="ElAppp"/>
        <w:spacing w:before="165" w:after="165"/>
        <w:jc w:val="both"/>
        <w:rPr>
          <w:sz w:val="22"/>
          <w:szCs w:val="22"/>
        </w:rPr>
      </w:pPr>
      <w:bookmarkStart w:id="6" w:name="OLE_LINK7"/>
      <w:bookmarkStart w:id="7" w:name="OLE_LINK8"/>
      <w:bookmarkEnd w:id="6"/>
      <w:bookmarkEnd w:id="7"/>
      <w:r>
        <w:rPr>
          <w:sz w:val="22"/>
          <w:szCs w:val="22"/>
        </w:rPr>
        <w:t>Les signataires du présent accord évoqueront chaque année dans le cadre des négociations annuelles obligatoires son suivi afin de dresser un bilan de son application et s’interroger sur l’opportunité d’une éventuelle révision.</w:t>
      </w:r>
    </w:p>
    <w:p>
      <w:pPr>
        <w:pStyle w:val="ElAppp"/>
        <w:spacing w:before="165" w:after="165"/>
        <w:jc w:val="both"/>
        <w:rPr/>
      </w:pPr>
      <w:r>
        <w:rPr>
          <w:b/>
          <w:sz w:val="22"/>
          <w:szCs w:val="22"/>
          <w:u w:val="single"/>
        </w:rPr>
        <w:t>Article 8 : Adhésion</w:t>
      </w:r>
    </w:p>
    <w:p>
      <w:pPr>
        <w:pStyle w:val="ElAppp"/>
        <w:spacing w:before="165" w:after="165"/>
        <w:jc w:val="both"/>
        <w:rPr/>
      </w:pPr>
      <w:r>
        <w:rPr>
          <w:sz w:val="22"/>
          <w:szCs w:val="22"/>
        </w:rPr>
        <w:t>Conformément à l'article L. 2261-3 du Code du travail, toute organisation syndicale de salariés représentative dans l'entreprise, qui n'est pas signataire du présent accord, pourra y adhérer ultérieurement.</w:t>
      </w:r>
    </w:p>
    <w:p>
      <w:pPr>
        <w:pStyle w:val="ElAppp"/>
        <w:spacing w:before="165" w:after="165"/>
        <w:jc w:val="both"/>
        <w:rPr>
          <w:sz w:val="22"/>
          <w:szCs w:val="22"/>
        </w:rPr>
      </w:pPr>
      <w:r>
        <w:rPr>
          <w:sz w:val="22"/>
          <w:szCs w:val="22"/>
        </w:rPr>
        <w:t>L'adhésion pendra effet à partir du jour qui suivra celui de son dépôt par ses auteurs, au greffe du conseil de prud'hommes compétent et à la DIRECCTE.</w:t>
      </w:r>
    </w:p>
    <w:p>
      <w:pPr>
        <w:pStyle w:val="ElAppp"/>
        <w:spacing w:before="165" w:after="165"/>
        <w:jc w:val="both"/>
        <w:rPr>
          <w:sz w:val="22"/>
          <w:szCs w:val="22"/>
        </w:rPr>
      </w:pPr>
      <w:r>
        <w:rPr>
          <w:sz w:val="22"/>
          <w:szCs w:val="22"/>
        </w:rPr>
        <w:t>Notification devra également en être faite, dans le délai de huit jours, par lettre recommandée, aux parties signataires.</w:t>
      </w:r>
    </w:p>
    <w:p>
      <w:pPr>
        <w:pStyle w:val="ElAppp"/>
        <w:spacing w:before="165" w:after="165"/>
        <w:jc w:val="both"/>
        <w:rPr/>
      </w:pPr>
      <w:r>
        <w:rPr>
          <w:b/>
          <w:sz w:val="22"/>
          <w:szCs w:val="22"/>
          <w:u w:val="single"/>
        </w:rPr>
        <w:t>Article 9 : Interprétation de l'accord</w:t>
      </w:r>
    </w:p>
    <w:p>
      <w:pPr>
        <w:pStyle w:val="ElAppp"/>
        <w:spacing w:before="165" w:after="165"/>
        <w:jc w:val="both"/>
        <w:rPr>
          <w:sz w:val="22"/>
          <w:szCs w:val="22"/>
        </w:rPr>
      </w:pPr>
      <w:r>
        <w:rPr>
          <w:sz w:val="22"/>
          <w:szCs w:val="22"/>
        </w:rPr>
        <w:t>Les représentants de chacune des parties signataires conviennent de se rencontrer à la requête de la partie la plus diligente, dans les 7 jours suivant la demande pour étudier et tenter de régler tout différend d'ordre individuel ou collectif né de l'application du présent accord.</w:t>
      </w:r>
    </w:p>
    <w:p>
      <w:pPr>
        <w:pStyle w:val="ElAppp"/>
        <w:spacing w:before="165" w:after="165"/>
        <w:jc w:val="both"/>
        <w:rPr>
          <w:sz w:val="22"/>
          <w:szCs w:val="22"/>
        </w:rPr>
      </w:pPr>
      <w:r>
        <w:rPr>
          <w:sz w:val="22"/>
          <w:szCs w:val="22"/>
        </w:rPr>
        <w:t>Jusqu'à l'expiration de la négociation d'interprétation, les parties contractantes s'engagent à ne susciter aucune forme d'action contentieuse liée au différend faisant l'objet de cette procédure.</w:t>
      </w:r>
    </w:p>
    <w:p>
      <w:pPr>
        <w:pStyle w:val="ElAppp"/>
        <w:spacing w:before="165" w:after="165"/>
        <w:jc w:val="both"/>
        <w:rPr>
          <w:b/>
          <w:b/>
          <w:sz w:val="22"/>
          <w:szCs w:val="22"/>
          <w:u w:val="single"/>
        </w:rPr>
      </w:pPr>
      <w:r>
        <w:rPr>
          <w:b/>
          <w:sz w:val="22"/>
          <w:szCs w:val="22"/>
          <w:u w:val="single"/>
        </w:rPr>
        <w:t>Article 10 – Révision</w:t>
      </w:r>
    </w:p>
    <w:p>
      <w:pPr>
        <w:pStyle w:val="CWACorpsdetexte"/>
        <w:jc w:val="both"/>
        <w:rPr>
          <w:rFonts w:ascii="Arial" w:hAnsi="Arial" w:eastAsia="Arial" w:cs="Arial"/>
          <w:sz w:val="22"/>
          <w:szCs w:val="22"/>
          <w:lang w:val="fr-FR" w:eastAsia="fr-FR"/>
        </w:rPr>
      </w:pPr>
      <w:bookmarkStart w:id="8" w:name="OLE_LINK8"/>
      <w:bookmarkEnd w:id="8"/>
      <w:r>
        <w:rPr>
          <w:rFonts w:eastAsia="Arial" w:cs="Arial" w:ascii="Arial" w:hAnsi="Arial"/>
          <w:sz w:val="22"/>
          <w:szCs w:val="22"/>
          <w:lang w:val="fr-FR" w:eastAsia="fr-FR"/>
        </w:rPr>
        <w:t>Pendant sa durée d’application, le présent accord peut être révisé dans les conditions légales.</w:t>
      </w:r>
    </w:p>
    <w:p>
      <w:pPr>
        <w:pStyle w:val="ElAppp"/>
        <w:spacing w:before="165" w:after="165"/>
        <w:jc w:val="both"/>
        <w:rPr>
          <w:sz w:val="22"/>
          <w:szCs w:val="22"/>
        </w:rPr>
      </w:pPr>
      <w:r>
        <w:rPr>
          <w:sz w:val="22"/>
          <w:szCs w:val="22"/>
        </w:rPr>
        <w:t>L'avenant portant révision de tout ou partie du présent accord se substitue de plein droit aux stipulations qu'il modifie à compter de l’accomplissement des formalités de dépôt.</w:t>
      </w:r>
    </w:p>
    <w:p>
      <w:pPr>
        <w:pStyle w:val="ElAppp"/>
        <w:spacing w:before="165" w:after="165"/>
        <w:jc w:val="both"/>
        <w:rPr>
          <w:b/>
          <w:b/>
          <w:sz w:val="22"/>
          <w:szCs w:val="22"/>
          <w:u w:val="single"/>
        </w:rPr>
      </w:pPr>
      <w:bookmarkStart w:id="9" w:name="OLE_LINK9"/>
      <w:bookmarkEnd w:id="9"/>
      <w:r>
        <w:rPr>
          <w:b/>
          <w:sz w:val="22"/>
          <w:szCs w:val="22"/>
          <w:u w:val="single"/>
        </w:rPr>
        <w:t>Article 11 – Dénonciation</w:t>
      </w:r>
    </w:p>
    <w:p>
      <w:pPr>
        <w:pStyle w:val="CWACorpsdetexte"/>
        <w:jc w:val="both"/>
        <w:rPr>
          <w:rFonts w:ascii="Arial" w:hAnsi="Arial" w:eastAsia="Arial" w:cs="Arial"/>
          <w:sz w:val="22"/>
          <w:szCs w:val="22"/>
          <w:lang w:val="fr-FR" w:eastAsia="fr-FR"/>
        </w:rPr>
      </w:pPr>
      <w:bookmarkStart w:id="10" w:name="OLE_LINK9"/>
      <w:bookmarkEnd w:id="10"/>
      <w:r>
        <w:rPr>
          <w:rFonts w:eastAsia="Arial" w:cs="Arial" w:ascii="Arial" w:hAnsi="Arial"/>
          <w:sz w:val="22"/>
          <w:szCs w:val="22"/>
          <w:lang w:val="fr-FR" w:eastAsia="fr-FR"/>
        </w:rPr>
        <w:t>Pendant sa durée d’application, le présent accord peut être dénoncé dans les conditions légales.</w:t>
      </w:r>
    </w:p>
    <w:p>
      <w:pPr>
        <w:pStyle w:val="ElAppp"/>
        <w:spacing w:before="165" w:after="165"/>
        <w:jc w:val="both"/>
        <w:rPr>
          <w:b/>
          <w:b/>
          <w:sz w:val="22"/>
          <w:szCs w:val="22"/>
          <w:u w:val="single"/>
        </w:rPr>
      </w:pPr>
      <w:r>
        <w:rPr>
          <w:b/>
          <w:sz w:val="22"/>
          <w:szCs w:val="22"/>
          <w:u w:val="single"/>
        </w:rPr>
        <w:t xml:space="preserve">Article 12 – Dépôt et publicité </w:t>
      </w:r>
    </w:p>
    <w:p>
      <w:pPr>
        <w:pStyle w:val="ElAppp"/>
        <w:spacing w:before="165" w:after="165"/>
        <w:jc w:val="both"/>
        <w:rPr/>
      </w:pPr>
      <w:r>
        <w:rPr>
          <w:sz w:val="22"/>
          <w:szCs w:val="22"/>
        </w:rPr>
        <w:t xml:space="preserve">Le présent accord sera déposé auprès de la DIRECCTE par le biais de la plateforme de téléprocédure </w:t>
      </w:r>
      <w:hyperlink r:id="rId2">
        <w:r>
          <w:rPr>
            <w:rStyle w:val="InternetLink"/>
            <w:sz w:val="22"/>
            <w:szCs w:val="22"/>
          </w:rPr>
          <w:t>www.teleaccords.travail-emploi.gouv.fr</w:t>
        </w:r>
      </w:hyperlink>
      <w:r>
        <w:rPr>
          <w:sz w:val="22"/>
          <w:szCs w:val="22"/>
        </w:rPr>
        <w:t xml:space="preserve">. </w:t>
      </w:r>
    </w:p>
    <w:p>
      <w:pPr>
        <w:pStyle w:val="ElAppp"/>
        <w:spacing w:before="165" w:after="165"/>
        <w:jc w:val="both"/>
        <w:rPr>
          <w:sz w:val="22"/>
          <w:szCs w:val="22"/>
        </w:rPr>
      </w:pPr>
      <w:r>
        <w:rPr>
          <w:sz w:val="22"/>
          <w:szCs w:val="22"/>
        </w:rPr>
        <w:t>Un exemplaire papier fera l’objet d’un dépôt au Secrétariat du Greffe du Conseil des Prud’hommes compétent.</w:t>
      </w:r>
    </w:p>
    <w:p>
      <w:pPr>
        <w:pStyle w:val="ElAppp"/>
        <w:spacing w:before="165" w:after="165"/>
        <w:jc w:val="both"/>
        <w:rPr>
          <w:sz w:val="22"/>
          <w:szCs w:val="22"/>
        </w:rPr>
      </w:pPr>
      <w:r>
        <w:rPr>
          <w:sz w:val="22"/>
          <w:szCs w:val="22"/>
        </w:rPr>
        <w:t>Mention de son existence sera faite sur le tableau d’affichage de la Direction.</w:t>
      </w:r>
    </w:p>
    <w:p>
      <w:pPr>
        <w:pStyle w:val="ElAppp"/>
        <w:spacing w:before="165" w:after="165"/>
        <w:jc w:val="both"/>
        <w:rPr>
          <w:sz w:val="22"/>
          <w:szCs w:val="22"/>
        </w:rPr>
      </w:pPr>
      <w:r>
        <w:rPr>
          <w:sz w:val="22"/>
          <w:szCs w:val="22"/>
          <w:lang w:val="en-GB" w:eastAsia="en-GB" w:bidi="en-GB"/>
        </w:rPr>
        <w:t>Fait en 5 exemplaires originaux (un exemplaire original étant remis à chaque signataire) à Stains le 10 novembre 2020</w:t>
      </w:r>
    </w:p>
    <w:p>
      <w:pPr>
        <w:pStyle w:val="ElAppright"/>
        <w:tabs>
          <w:tab w:val="left" w:pos="6663" w:leader="none"/>
        </w:tabs>
        <w:rPr>
          <w:rFonts w:ascii="Arial" w:hAnsi="Arial" w:eastAsia="Arial" w:cs="Arial"/>
          <w:sz w:val="22"/>
          <w:szCs w:val="22"/>
          <w:lang w:val="en-GB" w:eastAsia="en-GB" w:bidi="en-GB"/>
        </w:rPr>
      </w:pPr>
      <w:r>
        <w:rPr>
          <w:rFonts w:eastAsia="Arial" w:cs="Arial" w:ascii="Arial" w:hAnsi="Arial"/>
          <w:sz w:val="22"/>
          <w:szCs w:val="22"/>
          <w:lang w:val="en-GB" w:eastAsia="en-GB" w:bidi="en-GB"/>
        </w:rPr>
        <w:t>Pour la CFE-CGC</w:t>
        <w:tab/>
        <w:t>Pour la Direction</w:t>
      </w:r>
    </w:p>
    <w:p>
      <w:pPr>
        <w:pStyle w:val="ElAppright"/>
        <w:tabs>
          <w:tab w:val="left" w:pos="6663" w:leader="none"/>
        </w:tabs>
        <w:rPr>
          <w:rFonts w:ascii="Arial" w:hAnsi="Arial" w:eastAsia="Arial" w:cs="Arial"/>
          <w:sz w:val="22"/>
          <w:szCs w:val="22"/>
          <w:lang w:val="en-GB" w:eastAsia="en-GB" w:bidi="en-GB"/>
        </w:rPr>
      </w:pPr>
      <w:r>
        <w:rPr>
          <w:rFonts w:eastAsia="Arial" w:cs="Arial" w:ascii="Arial" w:hAnsi="Arial"/>
          <w:sz w:val="22"/>
          <w:szCs w:val="22"/>
          <w:lang w:val="en-GB" w:eastAsia="en-GB" w:bidi="en-GB"/>
        </w:rPr>
        <w:t>**</w:t>
        <w:tab/>
        <w:t>***</w:t>
      </w:r>
    </w:p>
    <w:p>
      <w:pPr>
        <w:pStyle w:val="ElAppright"/>
        <w:tabs>
          <w:tab w:val="left" w:pos="6663" w:leader="none"/>
        </w:tabs>
        <w:rPr>
          <w:rFonts w:ascii="Arial" w:hAnsi="Arial" w:eastAsia="Arial" w:cs="Arial"/>
          <w:sz w:val="22"/>
          <w:szCs w:val="22"/>
          <w:lang w:val="en-GB" w:eastAsia="en-GB" w:bidi="en-GB"/>
        </w:rPr>
      </w:pPr>
      <w:r>
        <w:rPr>
          <w:rFonts w:eastAsia="Arial" w:cs="Arial" w:ascii="Arial" w:hAnsi="Arial"/>
          <w:sz w:val="22"/>
          <w:szCs w:val="22"/>
          <w:lang w:val="en-GB" w:eastAsia="en-GB" w:bidi="en-GB"/>
        </w:rPr>
        <w:t>Coordinatrice syndicale</w:t>
        <w:tab/>
        <w:t>Directeur</w:t>
      </w:r>
    </w:p>
    <w:p>
      <w:pPr>
        <w:pStyle w:val="ElAppright"/>
        <w:rPr>
          <w:rFonts w:ascii="Arial" w:hAnsi="Arial" w:eastAsia="Arial" w:cs="Arial"/>
          <w:sz w:val="22"/>
          <w:szCs w:val="22"/>
          <w:lang w:val="en-GB" w:eastAsia="en-GB" w:bidi="en-GB"/>
        </w:rPr>
      </w:pPr>
      <w:r>
        <w:rPr>
          <w:rFonts w:eastAsia="Arial" w:cs="Arial" w:ascii="Arial" w:hAnsi="Arial"/>
          <w:sz w:val="22"/>
          <w:szCs w:val="22"/>
          <w:lang w:val="en-GB" w:eastAsia="en-GB" w:bidi="en-GB"/>
        </w:rPr>
      </w:r>
    </w:p>
    <w:p>
      <w:pPr>
        <w:pStyle w:val="ElAppright"/>
        <w:rPr>
          <w:rFonts w:ascii="Arial" w:hAnsi="Arial" w:eastAsia="Arial" w:cs="Arial"/>
          <w:sz w:val="22"/>
          <w:szCs w:val="22"/>
          <w:lang w:val="en-GB" w:eastAsia="en-GB" w:bidi="en-GB"/>
        </w:rPr>
      </w:pPr>
      <w:r>
        <w:rPr>
          <w:rFonts w:eastAsia="Arial" w:cs="Arial" w:ascii="Arial" w:hAnsi="Arial"/>
          <w:sz w:val="22"/>
          <w:szCs w:val="22"/>
          <w:lang w:val="en-GB" w:eastAsia="en-GB" w:bidi="en-GB"/>
        </w:rPr>
      </w:r>
    </w:p>
    <w:p>
      <w:pPr>
        <w:pStyle w:val="ElAppright"/>
        <w:rPr>
          <w:rFonts w:ascii="Arial" w:hAnsi="Arial" w:eastAsia="Arial" w:cs="Arial"/>
          <w:sz w:val="22"/>
          <w:szCs w:val="22"/>
          <w:lang w:val="en-GB" w:eastAsia="en-GB" w:bidi="en-GB"/>
        </w:rPr>
      </w:pPr>
      <w:r>
        <w:rPr>
          <w:rFonts w:eastAsia="Arial" w:cs="Arial" w:ascii="Arial" w:hAnsi="Arial"/>
          <w:sz w:val="22"/>
          <w:szCs w:val="22"/>
          <w:lang w:val="en-GB" w:eastAsia="en-GB" w:bidi="en-GB"/>
        </w:rPr>
      </w:r>
    </w:p>
    <w:p>
      <w:pPr>
        <w:pStyle w:val="ElAppright"/>
        <w:tabs>
          <w:tab w:val="left" w:pos="6663" w:leader="none"/>
        </w:tabs>
        <w:rPr/>
      </w:pPr>
      <w:bookmarkStart w:id="11" w:name="OLE_LINK1"/>
      <w:r>
        <w:rPr>
          <w:rFonts w:eastAsia="Arial" w:cs="Arial" w:ascii="Arial" w:hAnsi="Arial"/>
          <w:sz w:val="22"/>
          <w:szCs w:val="22"/>
          <w:lang w:val="en-GB" w:eastAsia="en-GB" w:bidi="en-GB"/>
        </w:rPr>
        <w:t>Pour la CGT</w:t>
        <w:tab/>
      </w:r>
    </w:p>
    <w:p>
      <w:pPr>
        <w:pStyle w:val="ElAppright"/>
        <w:tabs>
          <w:tab w:val="left" w:pos="6663" w:leader="none"/>
        </w:tabs>
        <w:rPr>
          <w:rFonts w:ascii="Arial" w:hAnsi="Arial" w:eastAsia="Arial" w:cs="Arial"/>
          <w:sz w:val="22"/>
          <w:szCs w:val="22"/>
          <w:lang w:val="en-GB" w:eastAsia="en-GB" w:bidi="en-GB"/>
        </w:rPr>
      </w:pPr>
      <w:r>
        <w:rPr>
          <w:rFonts w:eastAsia="Arial" w:cs="Arial" w:ascii="Arial" w:hAnsi="Arial"/>
          <w:sz w:val="22"/>
          <w:szCs w:val="22"/>
          <w:lang w:val="en-GB" w:eastAsia="en-GB" w:bidi="en-GB"/>
        </w:rPr>
        <w:t>**</w:t>
      </w:r>
    </w:p>
    <w:p>
      <w:pPr>
        <w:pStyle w:val="ElAppright"/>
        <w:tabs>
          <w:tab w:val="left" w:pos="6663" w:leader="none"/>
        </w:tabs>
        <w:rPr/>
      </w:pPr>
      <w:bookmarkStart w:id="12" w:name="OLE_LINK1"/>
      <w:r>
        <w:rPr>
          <w:rFonts w:eastAsia="Arial" w:cs="Arial" w:ascii="Arial" w:hAnsi="Arial"/>
          <w:sz w:val="22"/>
          <w:szCs w:val="22"/>
          <w:lang w:val="en-GB" w:eastAsia="en-GB" w:bidi="en-GB"/>
        </w:rPr>
        <w:t>Coordinatrice syndicale</w:t>
      </w:r>
      <w:bookmarkEnd w:id="12"/>
      <w:r>
        <w:rPr>
          <w:rFonts w:eastAsia="Arial" w:cs="Arial" w:ascii="Arial" w:hAnsi="Arial"/>
          <w:sz w:val="22"/>
          <w:szCs w:val="22"/>
          <w:lang w:val="en-GB" w:eastAsia="en-GB" w:bidi="en-GB"/>
        </w:rPr>
        <w:tab/>
      </w:r>
    </w:p>
    <w:p>
      <w:pPr>
        <w:pStyle w:val="ElAppright"/>
        <w:tabs>
          <w:tab w:val="left" w:pos="6663" w:leader="none"/>
        </w:tabs>
        <w:rPr>
          <w:rFonts w:ascii="Arial" w:hAnsi="Arial" w:eastAsia="Arial" w:cs="Arial"/>
          <w:sz w:val="22"/>
          <w:szCs w:val="22"/>
          <w:lang w:val="en-GB" w:eastAsia="en-GB" w:bidi="en-GB"/>
        </w:rPr>
      </w:pPr>
      <w:r>
        <w:rPr>
          <w:rFonts w:eastAsia="Arial" w:cs="Arial" w:ascii="Arial" w:hAnsi="Arial"/>
          <w:sz w:val="22"/>
          <w:szCs w:val="22"/>
          <w:lang w:val="en-GB" w:eastAsia="en-GB" w:bidi="en-GB"/>
        </w:rPr>
      </w:r>
    </w:p>
    <w:p>
      <w:pPr>
        <w:pStyle w:val="ElAppright"/>
        <w:tabs>
          <w:tab w:val="left" w:pos="6663" w:leader="none"/>
        </w:tabs>
        <w:rPr>
          <w:rFonts w:ascii="Arial" w:hAnsi="Arial" w:eastAsia="Arial" w:cs="Arial"/>
          <w:sz w:val="22"/>
          <w:szCs w:val="22"/>
          <w:lang w:val="en-GB" w:eastAsia="en-GB" w:bidi="en-GB"/>
        </w:rPr>
      </w:pPr>
      <w:r>
        <w:rPr>
          <w:rFonts w:eastAsia="Arial" w:cs="Arial" w:ascii="Arial" w:hAnsi="Arial"/>
          <w:sz w:val="22"/>
          <w:szCs w:val="22"/>
          <w:lang w:val="en-GB" w:eastAsia="en-GB" w:bidi="en-GB"/>
        </w:rPr>
      </w:r>
    </w:p>
    <w:p>
      <w:pPr>
        <w:pStyle w:val="ElAppright"/>
        <w:tabs>
          <w:tab w:val="left" w:pos="6663" w:leader="none"/>
        </w:tabs>
        <w:rPr>
          <w:rFonts w:ascii="Arial" w:hAnsi="Arial" w:eastAsia="Arial" w:cs="Arial"/>
          <w:sz w:val="22"/>
          <w:szCs w:val="22"/>
          <w:lang w:val="en-GB" w:eastAsia="en-GB" w:bidi="en-GB"/>
        </w:rPr>
      </w:pPr>
      <w:r>
        <w:rPr>
          <w:rFonts w:eastAsia="Arial" w:cs="Arial" w:ascii="Arial" w:hAnsi="Arial"/>
          <w:sz w:val="22"/>
          <w:szCs w:val="22"/>
          <w:lang w:val="en-GB" w:eastAsia="en-GB" w:bidi="en-GB"/>
        </w:rPr>
      </w:r>
    </w:p>
    <w:p>
      <w:pPr>
        <w:pStyle w:val="ElAppright"/>
        <w:tabs>
          <w:tab w:val="left" w:pos="6663" w:leader="none"/>
        </w:tabs>
        <w:rPr>
          <w:rFonts w:ascii="Arial" w:hAnsi="Arial" w:eastAsia="Arial" w:cs="Arial"/>
          <w:sz w:val="22"/>
          <w:szCs w:val="22"/>
          <w:lang w:val="en-GB" w:eastAsia="en-GB" w:bidi="en-GB"/>
        </w:rPr>
      </w:pPr>
      <w:r>
        <w:rPr>
          <w:rFonts w:eastAsia="Arial" w:cs="Arial" w:ascii="Arial" w:hAnsi="Arial"/>
          <w:sz w:val="22"/>
          <w:szCs w:val="22"/>
          <w:lang w:val="en-GB" w:eastAsia="en-GB" w:bidi="en-GB"/>
        </w:rPr>
      </w:r>
    </w:p>
    <w:p>
      <w:pPr>
        <w:pStyle w:val="ElAppright"/>
        <w:tabs>
          <w:tab w:val="left" w:pos="6663" w:leader="none"/>
        </w:tabs>
        <w:rPr>
          <w:rFonts w:ascii="Arial" w:hAnsi="Arial" w:eastAsia="Arial" w:cs="Arial"/>
          <w:sz w:val="22"/>
          <w:szCs w:val="22"/>
          <w:lang w:val="en-GB" w:eastAsia="en-GB" w:bidi="en-GB"/>
        </w:rPr>
      </w:pPr>
      <w:bookmarkStart w:id="13" w:name="OLE_LINK15"/>
      <w:bookmarkEnd w:id="13"/>
      <w:r>
        <w:rPr>
          <w:rFonts w:eastAsia="Arial" w:cs="Arial" w:ascii="Arial" w:hAnsi="Arial"/>
          <w:sz w:val="22"/>
          <w:szCs w:val="22"/>
          <w:lang w:val="en-GB" w:eastAsia="en-GB" w:bidi="en-GB"/>
        </w:rPr>
        <w:t>Pour FO</w:t>
        <w:tab/>
      </w:r>
    </w:p>
    <w:p>
      <w:pPr>
        <w:pStyle w:val="ElAppright"/>
        <w:tabs>
          <w:tab w:val="left" w:pos="6663" w:leader="none"/>
        </w:tabs>
        <w:rPr>
          <w:rFonts w:ascii="Arial" w:hAnsi="Arial" w:eastAsia="Arial" w:cs="Arial"/>
          <w:sz w:val="22"/>
          <w:szCs w:val="22"/>
          <w:lang w:val="en-GB" w:eastAsia="en-GB" w:bidi="en-GB"/>
        </w:rPr>
      </w:pPr>
      <w:r>
        <w:rPr>
          <w:rFonts w:eastAsia="Arial" w:cs="Arial" w:ascii="Arial" w:hAnsi="Arial"/>
          <w:sz w:val="22"/>
          <w:szCs w:val="22"/>
          <w:lang w:val="en-GB" w:eastAsia="en-GB" w:bidi="en-GB"/>
        </w:rPr>
        <w:t>**</w:t>
      </w:r>
    </w:p>
    <w:p>
      <w:pPr>
        <w:pStyle w:val="ElAppright"/>
        <w:tabs>
          <w:tab w:val="left" w:pos="2550" w:leader="none"/>
          <w:tab w:val="left" w:pos="6663" w:leader="none"/>
        </w:tabs>
        <w:rPr>
          <w:rFonts w:ascii="Arial" w:hAnsi="Arial" w:eastAsia="Arial" w:cs="Arial"/>
          <w:b/>
          <w:b/>
          <w:sz w:val="22"/>
          <w:szCs w:val="22"/>
          <w:lang w:val="en-GB" w:eastAsia="en-GB" w:bidi="en-GB"/>
        </w:rPr>
      </w:pPr>
      <w:r>
        <w:rPr>
          <w:rFonts w:eastAsia="Arial" w:cs="Arial" w:ascii="Arial" w:hAnsi="Arial"/>
          <w:sz w:val="22"/>
          <w:szCs w:val="22"/>
          <w:lang w:val="en-GB" w:eastAsia="en-GB" w:bidi="en-GB"/>
        </w:rPr>
        <w:t>Coordinatrice syndicale</w:t>
      </w:r>
      <w:r>
        <w:rPr>
          <w:rFonts w:eastAsia="Arial"/>
          <w:sz w:val="22"/>
          <w:szCs w:val="22"/>
          <w:lang w:val="en-GB" w:eastAsia="en-GB" w:bidi="en-GB"/>
        </w:rPr>
        <w:tab/>
      </w:r>
    </w:p>
    <w:sectPr>
      <w:headerReference w:type="default" r:id="rId3"/>
      <w:footerReference w:type="default" r:id="rId4"/>
      <w:type w:val="nextPage"/>
      <w:pgSz w:w="12240" w:h="15840"/>
      <w:pgMar w:left="1417" w:right="1417" w:header="720" w:top="985"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Calibri">
    <w:charset w:val="00"/>
    <w:family w:val="swiss"/>
    <w:pitch w:val="variable"/>
  </w:font>
  <w:font w:name="Segoe UI">
    <w:charset w:val="00"/>
    <w:family w:val="swiss"/>
    <w:pitch w:val="variable"/>
  </w:font>
  <w:font w:name="Liberation Sans">
    <w:altName w:val="Arial"/>
    <w:charset w:val="01"/>
    <w:family w:val="swiss"/>
    <w:pitch w:val="variable"/>
  </w:font>
  <w:font w:name="Book Antiqua">
    <w:charset w:val="00"/>
    <w:family w:val="roman"/>
    <w:pitch w:val="variable"/>
  </w:font>
  <w:font w:name="NGEIA E+ T T 80 E 4o 00">
    <w:altName w:val="Calibri"/>
    <w:charset w:val="0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alibri" w:hAnsi="Calibri" w:cs="Calibri"/>
        <w:sz w:val="22"/>
      </w:rPr>
    </w:pPr>
    <w:r>
      <w:rPr>
        <w:rFonts w:cs="Calibri" w:ascii="Calibri" w:hAnsi="Calibri"/>
        <w:sz w:val="22"/>
      </w:rPr>
      <w:t xml:space="preserve">Page </w:t>
    </w:r>
    <w:r>
      <w:rPr>
        <w:rFonts w:cs="Calibri" w:ascii="Calibri" w:hAnsi="Calibri"/>
        <w:b/>
        <w:bCs/>
        <w:sz w:val="22"/>
      </w:rPr>
      <w:fldChar w:fldCharType="begin"/>
    </w:r>
    <w:r>
      <w:instrText> PAGE </w:instrText>
    </w:r>
    <w:r>
      <w:fldChar w:fldCharType="separate"/>
    </w:r>
    <w:r>
      <w:t>4</w:t>
    </w:r>
    <w:r>
      <w:fldChar w:fldCharType="end"/>
    </w:r>
    <w:r>
      <w:rPr>
        <w:rFonts w:cs="Calibri" w:ascii="Calibri" w:hAnsi="Calibri"/>
        <w:sz w:val="22"/>
      </w:rPr>
      <w:t xml:space="preserve"> sur </w:t>
    </w:r>
    <w:r>
      <w:rPr>
        <w:rFonts w:cs="Calibri" w:ascii="Calibri" w:hAnsi="Calibri"/>
        <w:b/>
        <w:bCs/>
        <w:sz w:val="22"/>
      </w:rPr>
      <w:fldChar w:fldCharType="begin"/>
    </w:r>
    <w:r>
      <w:instrText> NUMPAGES \* ARABIC </w:instrText>
    </w:r>
    <w:r>
      <w:fldChar w:fldCharType="separate"/>
    </w:r>
    <w:r>
      <w:t>4</w:t>
    </w:r>
    <w:r>
      <w:fldChar w:fldCharType="end"/>
    </w:r>
  </w:p>
  <w:p>
    <w:pPr>
      <w:pStyle w:val="Footer"/>
      <w:rPr>
        <w:rFonts w:ascii="Calibri" w:hAnsi="Calibri" w:cs="Calibri"/>
        <w:sz w:val="22"/>
      </w:rPr>
    </w:pPr>
    <w:r>
      <w:rPr>
        <w:rFonts w:cs="Calibri" w:ascii="Calibri" w:hAnsi="Calibri"/>
        <w:sz w:val="2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567" w:hanging="0"/>
      <w:rPr/>
    </w:pPr>
    <w:r>
      <w:rPr/>
      <w:drawing>
        <wp:inline distT="0" distB="0" distL="0" distR="0">
          <wp:extent cx="2130425" cy="51435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rcRect l="-5" t="-23" r="-5" b="-23"/>
                  <a:stretch>
                    <a:fillRect/>
                  </a:stretch>
                </pic:blipFill>
                <pic:spPr bwMode="auto">
                  <a:xfrm>
                    <a:off x="0" y="0"/>
                    <a:ext cx="2130425" cy="514350"/>
                  </a:xfrm>
                  <a:prstGeom prst="rect">
                    <a:avLst/>
                  </a:prstGeom>
                </pic:spPr>
              </pic:pic>
            </a:graphicData>
          </a:graphic>
        </wp:inline>
      </w:drawing>
      <mc:AlternateContent>
        <mc:Choice Requires="wps">
          <w:drawing>
            <wp:anchor behindDoc="1" distT="0" distB="0" distL="114935" distR="114935" simplePos="0" locked="0" layoutInCell="1" allowOverlap="1" relativeHeight="9">
              <wp:simplePos x="0" y="0"/>
              <wp:positionH relativeFrom="column">
                <wp:posOffset>-4445</wp:posOffset>
              </wp:positionH>
              <wp:positionV relativeFrom="paragraph">
                <wp:posOffset>342900</wp:posOffset>
              </wp:positionV>
              <wp:extent cx="1848485" cy="238760"/>
              <wp:effectExtent l="0" t="0" r="0" b="0"/>
              <wp:wrapNone/>
              <wp:docPr id="1" name=""/>
              <a:graphic xmlns:a="http://schemas.openxmlformats.org/drawingml/2006/main">
                <a:graphicData uri="http://schemas.microsoft.com/office/word/2010/wordprocessingShape">
                  <wps:wsp>
                    <wps:cNvSpPr/>
                    <wps:spPr>
                      <a:xfrm>
                        <a:off x="0" y="0"/>
                        <a:ext cx="1847880" cy="23796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fillcolor="white" stroked="f" style="position:absolute;margin-left:-0.35pt;margin-top:27pt;width:145.45pt;height:18.7pt">
              <w10:wrap type="none"/>
              <v:fill o:detectmouseclick="t" type="solid" color2="black"/>
              <v:stroke color="#3465a4" joinstyle="round" endcap="flat"/>
            </v:rect>
          </w:pict>
        </mc:Fallback>
      </mc:AlternateContent>
    </w:r>
  </w:p>
  <w:p>
    <w:pPr>
      <w:pStyle w:val="Header"/>
      <w:ind w:left="-709"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567" w:hanging="567"/>
      </w:pPr>
      <w:rPr>
        <w:sz w:val="22"/>
        <w:szCs w:val="22"/>
      </w:rPr>
    </w:lvl>
    <w:lvl w:ilvl="1">
      <w:start w:val="1"/>
      <w:numFmt w:val="decimal"/>
      <w:lvlText w:val="%1.%2."/>
      <w:lvlJc w:val="left"/>
      <w:pPr>
        <w:ind w:left="709" w:hanging="567"/>
      </w:pPr>
      <w:rPr/>
    </w:lvl>
    <w:lvl w:ilvl="2">
      <w:start w:val="1"/>
      <w:numFmt w:val="decimal"/>
      <w:lvlText w:val="%1.%2.%3."/>
      <w:lvlJc w:val="left"/>
      <w:pPr>
        <w:ind w:left="567" w:hanging="567"/>
      </w:pPr>
      <w:rPr/>
    </w:lvl>
    <w:lvl w:ilvl="3">
      <w:start w:val="1"/>
      <w:numFmt w:val="upperLetter"/>
      <w:lvlText w:val="%4."/>
      <w:lvlJc w:val="left"/>
      <w:pPr>
        <w:tabs>
          <w:tab w:val="num" w:pos="1134"/>
        </w:tabs>
        <w:ind w:left="567" w:hanging="567"/>
      </w:pPr>
      <w:rPr/>
    </w:lvl>
    <w:lvl w:ilvl="4">
      <w:start w:val="1"/>
      <w:numFmt w:val="lowerLetter"/>
      <w:lvlText w:val="%5."/>
      <w:lvlJc w:val="left"/>
      <w:pPr>
        <w:tabs>
          <w:tab w:val="num" w:pos="1701"/>
        </w:tabs>
        <w:ind w:left="1134" w:hanging="567"/>
      </w:pPr>
      <w:rPr/>
    </w:lvl>
    <w:lvl w:ilvl="5">
      <w:start w:val="1"/>
      <w:numFmt w:val="bullet"/>
      <w:lvlText w:val=""/>
      <w:lvlJc w:val="left"/>
      <w:pPr>
        <w:tabs>
          <w:tab w:val="num" w:pos="2268"/>
        </w:tabs>
        <w:ind w:left="1701" w:hanging="567"/>
      </w:pPr>
      <w:rPr>
        <w:rFonts w:ascii="Wingdings" w:hAnsi="Wingdings" w:cs="Wingdings" w:hint="default"/>
        <w:rFonts w:cs="Wingdings"/>
        <w:color w:val="595959"/>
      </w:rPr>
    </w:lvl>
    <w:lvl w:ilvl="6">
      <w:start w:val="1"/>
      <w:numFmt w:val="bullet"/>
      <w:lvlText w:val=""/>
      <w:lvlJc w:val="left"/>
      <w:pPr>
        <w:tabs>
          <w:tab w:val="num" w:pos="2835"/>
        </w:tabs>
        <w:ind w:left="2268" w:hanging="567"/>
      </w:pPr>
      <w:rPr>
        <w:rFonts w:ascii="Wingdings" w:hAnsi="Wingdings" w:cs="Wingdings" w:hint="default"/>
        <w:sz w:val="14"/>
        <w:rFonts w:cs="Wingdings"/>
        <w:color w:val="595959"/>
      </w:rPr>
    </w:lvl>
    <w:lvl w:ilvl="7">
      <w:start w:val="1"/>
      <w:numFmt w:val="bullet"/>
      <w:lvlText w:val=""/>
      <w:lvlJc w:val="left"/>
      <w:pPr>
        <w:tabs>
          <w:tab w:val="num" w:pos="3402"/>
        </w:tabs>
        <w:ind w:left="2835" w:hanging="567"/>
      </w:pPr>
      <w:rPr>
        <w:rFonts w:ascii="Wingdings" w:hAnsi="Wingdings" w:cs="Wingdings" w:hint="default"/>
        <w:sz w:val="18"/>
        <w:rFonts w:cs="Wingdings"/>
        <w:color w:val="595959"/>
      </w:rPr>
    </w:lvl>
    <w:lvl w:ilvl="8">
      <w:start w:val="1"/>
      <w:numFmt w:val="none"/>
      <w:suff w:val="nothing"/>
      <w:lvlText w:val=""/>
      <w:lvlJc w:val="left"/>
      <w:pPr>
        <w:ind w:left="567" w:hanging="567"/>
      </w:pPr>
      <w:rPr/>
    </w:lvl>
  </w:abstractNum>
  <w:abstractNum w:abstractNumId="3">
    <w:lvl w:ilvl="0">
      <w:numFmt w:val="bullet"/>
      <w:lvlText w:val="-"/>
      <w:lvlJc w:val="left"/>
      <w:pPr>
        <w:ind w:left="720" w:hanging="360"/>
      </w:pPr>
      <w:rPr>
        <w:rFonts w:ascii="Calibri" w:hAnsi="Calibri" w:cs="Calibri" w:hint="default"/>
        <w:rFonts w:cs="Calibri"/>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val="true"/>
      <w:numPr>
        <w:ilvl w:val="0"/>
        <w:numId w:val="1"/>
      </w:numPr>
      <w:spacing w:before="240" w:after="60"/>
      <w:outlineLvl w:val="0"/>
    </w:pPr>
    <w:rPr>
      <w:rFonts w:ascii="Times New Roman" w:hAnsi="Times New Roman" w:eastAsia="Times New Roman" w:cs="Times New Roman"/>
      <w:b/>
      <w:bCs/>
      <w:i w:val="false"/>
      <w:sz w:val="48"/>
      <w:szCs w:val="48"/>
    </w:rPr>
  </w:style>
  <w:style w:type="paragraph" w:styleId="Heading2">
    <w:name w:val="Heading 2"/>
    <w:basedOn w:val="Normal"/>
    <w:next w:val="Normal"/>
    <w:qFormat/>
    <w:pPr>
      <w:keepNext w:val="true"/>
      <w:numPr>
        <w:ilvl w:val="1"/>
        <w:numId w:val="1"/>
      </w:numPr>
      <w:spacing w:before="240" w:after="60"/>
      <w:outlineLvl w:val="1"/>
    </w:pPr>
    <w:rPr>
      <w:rFonts w:ascii="Times New Roman" w:hAnsi="Times New Roman" w:eastAsia="Times New Roman" w:cs="Times New Roman"/>
      <w:b/>
      <w:bCs/>
      <w:i w:val="false"/>
      <w:iCs/>
      <w:sz w:val="36"/>
      <w:szCs w:val="36"/>
    </w:rPr>
  </w:style>
  <w:style w:type="paragraph" w:styleId="Heading3">
    <w:name w:val="Heading 3"/>
    <w:basedOn w:val="Normal"/>
    <w:next w:val="Normal"/>
    <w:qFormat/>
    <w:pPr>
      <w:keepNext w:val="true"/>
      <w:numPr>
        <w:ilvl w:val="2"/>
        <w:numId w:val="1"/>
      </w:numPr>
      <w:spacing w:before="240" w:after="60"/>
      <w:outlineLvl w:val="2"/>
    </w:pPr>
    <w:rPr>
      <w:rFonts w:ascii="Times New Roman" w:hAnsi="Times New Roman" w:eastAsia="Times New Roman" w:cs="Times New Roman"/>
      <w:b/>
      <w:bCs/>
      <w:i w:val="false"/>
      <w:sz w:val="28"/>
      <w:szCs w:val="28"/>
    </w:rPr>
  </w:style>
  <w:style w:type="paragraph" w:styleId="Heading4">
    <w:name w:val="Heading 4"/>
    <w:basedOn w:val="Normal"/>
    <w:next w:val="Normal"/>
    <w:qFormat/>
    <w:pPr>
      <w:keepNext w:val="true"/>
      <w:numPr>
        <w:ilvl w:val="3"/>
        <w:numId w:val="1"/>
      </w:numPr>
      <w:spacing w:before="240" w:after="60"/>
      <w:outlineLvl w:val="3"/>
    </w:pPr>
    <w:rPr>
      <w:rFonts w:ascii="Times New Roman" w:hAnsi="Times New Roman" w:eastAsia="Times New Roman" w:cs="Times New Roman"/>
      <w:b/>
      <w:bCs/>
      <w:i w:val="false"/>
      <w:sz w:val="24"/>
      <w:szCs w:val="24"/>
    </w:rPr>
  </w:style>
  <w:style w:type="paragraph" w:styleId="Heading5">
    <w:name w:val="Heading 5"/>
    <w:basedOn w:val="Normal"/>
    <w:next w:val="Normal"/>
    <w:qFormat/>
    <w:pPr>
      <w:numPr>
        <w:ilvl w:val="4"/>
        <w:numId w:val="1"/>
      </w:numPr>
      <w:spacing w:before="240" w:after="60"/>
      <w:outlineLvl w:val="4"/>
    </w:pPr>
    <w:rPr>
      <w:rFonts w:ascii="Times New Roman" w:hAnsi="Times New Roman" w:eastAsia="Times New Roman" w:cs="Times New Roman"/>
      <w:b/>
      <w:bCs/>
      <w:i w:val="false"/>
      <w:iCs/>
      <w:sz w:val="20"/>
      <w:szCs w:val="20"/>
    </w:rPr>
  </w:style>
  <w:style w:type="paragraph" w:styleId="Heading6">
    <w:name w:val="Heading 6"/>
    <w:basedOn w:val="Normal"/>
    <w:next w:val="Normal"/>
    <w:qFormat/>
    <w:pPr>
      <w:numPr>
        <w:ilvl w:val="5"/>
        <w:numId w:val="1"/>
      </w:numPr>
      <w:spacing w:before="240" w:after="60"/>
      <w:outlineLvl w:val="5"/>
    </w:pPr>
    <w:rPr>
      <w:rFonts w:ascii="Times New Roman" w:hAnsi="Times New Roman" w:eastAsia="Times New Roman" w:cs="Times New Roman"/>
      <w:b/>
      <w:bCs/>
      <w:i w:val="false"/>
      <w:sz w:val="16"/>
      <w:szCs w:val="16"/>
    </w:rPr>
  </w:style>
  <w:style w:type="character" w:styleId="WW8Num1z0">
    <w:name w:val="WW8Num1z0"/>
    <w:qFormat/>
    <w:rPr/>
  </w:style>
  <w:style w:type="character" w:styleId="WW8Num2z0">
    <w:name w:val="WW8Num2z0"/>
    <w:qFormat/>
    <w:rPr/>
  </w:style>
  <w:style w:type="character" w:styleId="WW8Num2z1">
    <w:name w:val="WW8Num2z1"/>
    <w:qFormat/>
    <w:rPr>
      <w:rFonts w:ascii="Arial" w:hAnsi="Arial" w:cs="Arial"/>
    </w:rPr>
  </w:style>
  <w:style w:type="character" w:styleId="WW8Num3z0">
    <w:name w:val="WW8Num3z0"/>
    <w:qFormat/>
    <w:rPr/>
  </w:style>
  <w:style w:type="character" w:styleId="WW8Num4z0">
    <w:name w:val="WW8Num4z0"/>
    <w:qFormat/>
    <w:rPr>
      <w:rFonts w:ascii="Symbol" w:hAnsi="Symbol" w:cs="Symbol"/>
      <w:sz w:val="24"/>
      <w:szCs w:val="24"/>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Arial" w:hAnsi="Arial" w:eastAsia="Arial Unicode MS"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z w:val="22"/>
      <w:szCs w:val="22"/>
    </w:rPr>
  </w:style>
  <w:style w:type="character" w:styleId="WW8Num6z1">
    <w:name w:val="WW8Num6z1"/>
    <w:qFormat/>
    <w:rPr/>
  </w:style>
  <w:style w:type="character" w:styleId="WW8Num6z5">
    <w:name w:val="WW8Num6z5"/>
    <w:qFormat/>
    <w:rPr>
      <w:rFonts w:ascii="Wingdings" w:hAnsi="Wingdings" w:cs="Wingdings"/>
      <w:color w:val="595959"/>
    </w:rPr>
  </w:style>
  <w:style w:type="character" w:styleId="WW8Num6z6">
    <w:name w:val="WW8Num6z6"/>
    <w:qFormat/>
    <w:rPr>
      <w:rFonts w:ascii="Wingdings" w:hAnsi="Wingdings" w:cs="Wingdings"/>
      <w:color w:val="595959"/>
      <w:sz w:val="14"/>
    </w:rPr>
  </w:style>
  <w:style w:type="character" w:styleId="WW8Num6z7">
    <w:name w:val="WW8Num6z7"/>
    <w:qFormat/>
    <w:rPr>
      <w:rFonts w:ascii="Wingdings" w:hAnsi="Wingdings" w:cs="Wingdings"/>
      <w:color w:val="595959"/>
      <w:sz w:val="18"/>
    </w:rPr>
  </w:style>
  <w:style w:type="character" w:styleId="WW8Num7z0">
    <w:name w:val="WW8Num7z0"/>
    <w:qFormat/>
    <w:rPr>
      <w:rFonts w:ascii="Calibri" w:hAnsi="Calibri" w:eastAsia="Times New Roman" w:cs="Calibri"/>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9z0">
    <w:name w:val="WW8Num9z0"/>
    <w:qFormat/>
    <w:rPr/>
  </w:style>
  <w:style w:type="character" w:styleId="WW8Num10z0">
    <w:name w:val="WW8Num10z0"/>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Arial" w:hAnsi="Arial" w:eastAsia="Arial" w:cs="Aria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tyle>
  <w:style w:type="character" w:styleId="WW8Num13z1">
    <w:name w:val="WW8Num13z1"/>
    <w:qFormat/>
    <w:rPr>
      <w:rFonts w:ascii="Arial" w:hAnsi="Arial" w:cs="Arial"/>
    </w:rPr>
  </w:style>
  <w:style w:type="character" w:styleId="WW8Num14z0">
    <w:name w:val="WW8Num14z0"/>
    <w:qFormat/>
    <w:rPr/>
  </w:style>
  <w:style w:type="character" w:styleId="WW8Num14z1">
    <w:name w:val="WW8Num14z1"/>
    <w:qFormat/>
    <w:rPr>
      <w:rFonts w:ascii="Arial" w:hAnsi="Arial" w:cs="Arial"/>
    </w:rPr>
  </w:style>
  <w:style w:type="character" w:styleId="WW8Num15z0">
    <w:name w:val="WW8Num15z0"/>
    <w:qFormat/>
    <w:rPr/>
  </w:style>
  <w:style w:type="character" w:styleId="WW8Num15z1">
    <w:name w:val="WW8Num15z1"/>
    <w:qFormat/>
    <w:rPr>
      <w:rFonts w:ascii="Arial" w:hAnsi="Arial" w:cs="Arial"/>
    </w:rPr>
  </w:style>
  <w:style w:type="character" w:styleId="WW8Num16z0">
    <w:name w:val="WW8Num16z0"/>
    <w:qFormat/>
    <w:rPr/>
  </w:style>
  <w:style w:type="character" w:styleId="WW8Num17z0">
    <w:name w:val="WW8Num17z0"/>
    <w:qFormat/>
    <w:rPr>
      <w:rFonts w:ascii="Calibri" w:hAnsi="Calibri" w:eastAsia="Calibri" w:cs="Calibri"/>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style>
  <w:style w:type="character" w:styleId="WW8Num19z0">
    <w:name w:val="WW8Num19z0"/>
    <w:qFormat/>
    <w:rPr/>
  </w:style>
  <w:style w:type="character" w:styleId="WW8Num19z1">
    <w:name w:val="WW8Num19z1"/>
    <w:qFormat/>
    <w:rPr>
      <w:rFonts w:ascii="Arial" w:hAnsi="Arial" w:cs="Arial"/>
    </w:rPr>
  </w:style>
  <w:style w:type="character" w:styleId="WW8Num20z0">
    <w:name w:val="WW8Num20z0"/>
    <w:qFormat/>
    <w:rPr/>
  </w:style>
  <w:style w:type="character" w:styleId="WW8Num21z0">
    <w:name w:val="WW8Num21z0"/>
    <w:qFormat/>
    <w:rPr/>
  </w:style>
  <w:style w:type="character" w:styleId="WW8Num21z1">
    <w:name w:val="WW8Num21z1"/>
    <w:qFormat/>
    <w:rPr>
      <w:rFonts w:ascii="Arial" w:hAnsi="Arial" w:cs="Arial"/>
    </w:rPr>
  </w:style>
  <w:style w:type="character" w:styleId="WW8Num22z0">
    <w:name w:val="WW8Num22z0"/>
    <w:qFormat/>
    <w:rPr>
      <w:rFonts w:ascii="Arial" w:hAnsi="Arial" w:eastAsia="Arial" w:cs="Aria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sz w:val="22"/>
      <w:szCs w:val="22"/>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style>
  <w:style w:type="character" w:styleId="Policepardfaut">
    <w:name w:val="Police par défaut"/>
    <w:qFormat/>
    <w:rPr/>
  </w:style>
  <w:style w:type="character" w:styleId="ElAppxlargeandbold">
    <w:name w:val="ElApp_xlargeandbold"/>
    <w:qFormat/>
    <w:rPr>
      <w:b/>
      <w:bCs/>
      <w:sz w:val="29"/>
      <w:szCs w:val="29"/>
    </w:rPr>
  </w:style>
  <w:style w:type="character" w:styleId="ElApptexteDP02">
    <w:name w:val="ElApp_texteDP02"/>
    <w:qFormat/>
    <w:rPr>
      <w:color w:val="ED171F"/>
    </w:rPr>
  </w:style>
  <w:style w:type="character" w:styleId="ElAppalink">
    <w:name w:val="ElApp_a_link"/>
    <w:qFormat/>
    <w:rPr>
      <w:color w:val="000000"/>
    </w:rPr>
  </w:style>
  <w:style w:type="character" w:styleId="ElApptinonartf">
    <w:name w:val="ElApp_tinonartf"/>
    <w:qFormat/>
    <w:rPr>
      <w:b/>
      <w:bCs/>
      <w:sz w:val="17"/>
      <w:szCs w:val="17"/>
    </w:rPr>
  </w:style>
  <w:style w:type="character" w:styleId="ElApptiartf2">
    <w:name w:val="ElApp_tiartf2"/>
    <w:qFormat/>
    <w:rPr>
      <w:b/>
      <w:bCs/>
      <w:sz w:val="17"/>
      <w:szCs w:val="17"/>
    </w:rPr>
  </w:style>
  <w:style w:type="character" w:styleId="ElAppnartartf3">
    <w:name w:val="ElApp_nartartf3"/>
    <w:qFormat/>
    <w:rPr>
      <w:b/>
      <w:bCs/>
      <w:i/>
      <w:iCs/>
      <w:sz w:val="17"/>
      <w:szCs w:val="17"/>
    </w:rPr>
  </w:style>
  <w:style w:type="character" w:styleId="ElApptiartf3">
    <w:name w:val="ElApp_tiartf3"/>
    <w:qFormat/>
    <w:rPr>
      <w:b/>
      <w:bCs/>
      <w:sz w:val="17"/>
      <w:szCs w:val="17"/>
    </w:rPr>
  </w:style>
  <w:style w:type="character" w:styleId="ElApplarge">
    <w:name w:val="ElApp_large"/>
    <w:qFormat/>
    <w:rPr>
      <w:sz w:val="26"/>
      <w:szCs w:val="26"/>
    </w:rPr>
  </w:style>
  <w:style w:type="character" w:styleId="EntteCar">
    <w:name w:val="En-tête Car"/>
    <w:qFormat/>
    <w:rPr>
      <w:sz w:val="24"/>
      <w:szCs w:val="24"/>
    </w:rPr>
  </w:style>
  <w:style w:type="character" w:styleId="PieddepageCar">
    <w:name w:val="Pied de page Car"/>
    <w:qFormat/>
    <w:rPr>
      <w:sz w:val="24"/>
      <w:szCs w:val="24"/>
    </w:rPr>
  </w:style>
  <w:style w:type="character" w:styleId="TextedebullesCar">
    <w:name w:val="Texte de bulles Car"/>
    <w:qFormat/>
    <w:rPr>
      <w:rFonts w:ascii="Segoe UI" w:hAnsi="Segoe UI" w:cs="Segoe UI"/>
      <w:sz w:val="18"/>
      <w:szCs w:val="18"/>
    </w:rPr>
  </w:style>
  <w:style w:type="character" w:styleId="Titre1Car">
    <w:name w:val="Titre 1 Car"/>
    <w:qFormat/>
    <w:rPr>
      <w:b/>
      <w:bCs/>
      <w:sz w:val="48"/>
      <w:szCs w:val="48"/>
    </w:rPr>
  </w:style>
  <w:style w:type="character" w:styleId="StrongEmphasis">
    <w:name w:val="Strong Emphasis"/>
    <w:qFormat/>
    <w:rPr>
      <w:b/>
      <w:bCs/>
    </w:rPr>
  </w:style>
  <w:style w:type="character" w:styleId="CorpsdetexteCar">
    <w:name w:val="Corps de texte Car"/>
    <w:qFormat/>
    <w:rPr>
      <w:sz w:val="24"/>
      <w:szCs w:val="24"/>
    </w:rPr>
  </w:style>
  <w:style w:type="character" w:styleId="InternetLink">
    <w:name w:val="Internet Link"/>
    <w:rPr>
      <w:color w:val="0563C1"/>
      <w:u w:val="single"/>
    </w:rPr>
  </w:style>
  <w:style w:type="character" w:styleId="Hl">
    <w:name w:val="hl"/>
    <w:qFormat/>
    <w:rPr/>
  </w:style>
  <w:style w:type="character" w:styleId="CommentaireCar">
    <w:name w:val="Commentaire Car"/>
    <w:qFormat/>
    <w:rPr>
      <w:rFonts w:ascii="Arial" w:hAnsi="Arial" w:cs="Arial"/>
      <w:sz w:val="24"/>
    </w:rPr>
  </w:style>
  <w:style w:type="character" w:styleId="Textegras">
    <w:name w:val="textegras"/>
    <w:qFormat/>
    <w:rPr/>
  </w:style>
  <w:style w:type="character" w:styleId="Marquedecommentaire">
    <w:name w:val="Marque de commentaire"/>
    <w:qFormat/>
    <w:rPr>
      <w:sz w:val="16"/>
      <w:szCs w:val="16"/>
    </w:rPr>
  </w:style>
  <w:style w:type="character" w:styleId="ObjetducommentaireCar">
    <w:name w:val="Objet du commentaire Car"/>
    <w:qFormat/>
    <w:rPr>
      <w:rFonts w:ascii="Arial" w:hAnsi="Arial" w:cs="Arial"/>
      <w:b/>
      <w:bCs/>
      <w:sz w:val="24"/>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ElApp">
    <w:name w:val="ElApp"/>
    <w:basedOn w:val="Normal"/>
    <w:qFormat/>
    <w:pPr/>
    <w:rPr>
      <w:rFonts w:ascii="Arial" w:hAnsi="Arial" w:eastAsia="Arial" w:cs="Arial"/>
      <w:sz w:val="17"/>
      <w:szCs w:val="17"/>
    </w:rPr>
  </w:style>
  <w:style w:type="paragraph" w:styleId="ElAppobs">
    <w:name w:val="ElApp_obs"/>
    <w:basedOn w:val="Normal"/>
    <w:qFormat/>
    <w:pPr>
      <w:shd w:fill="EEEEEE" w:val="clear"/>
    </w:pPr>
    <w:rPr>
      <w:shd w:fill="EEEEEE" w:val="clear"/>
    </w:rPr>
  </w:style>
  <w:style w:type="paragraph" w:styleId="ElApptiint">
    <w:name w:val="ElApp_tiint"/>
    <w:basedOn w:val="Normal"/>
    <w:qFormat/>
    <w:pPr>
      <w:jc w:val="center"/>
    </w:pPr>
    <w:rPr>
      <w:b/>
      <w:bCs/>
      <w:color w:val="666699"/>
      <w:sz w:val="23"/>
      <w:szCs w:val="23"/>
    </w:rPr>
  </w:style>
  <w:style w:type="paragraph" w:styleId="ElAppp">
    <w:name w:val="ElApp_p"/>
    <w:basedOn w:val="Normal"/>
    <w:qFormat/>
    <w:pPr/>
    <w:rPr>
      <w:rFonts w:ascii="Arial" w:hAnsi="Arial" w:eastAsia="Arial" w:cs="Arial"/>
      <w:sz w:val="17"/>
      <w:szCs w:val="17"/>
    </w:rPr>
  </w:style>
  <w:style w:type="paragraph" w:styleId="ElAppchoix">
    <w:name w:val="ElApp_choix"/>
    <w:basedOn w:val="Normal"/>
    <w:qFormat/>
    <w:pPr>
      <w:pBdr/>
      <w:jc w:val="left"/>
    </w:pPr>
    <w:rPr/>
  </w:style>
  <w:style w:type="paragraph" w:styleId="ElAppleftleft">
    <w:name w:val="ElApp_leftleft"/>
    <w:basedOn w:val="Normal"/>
    <w:qFormat/>
    <w:pPr>
      <w:jc w:val="left"/>
    </w:pPr>
    <w:rPr/>
  </w:style>
  <w:style w:type="paragraph" w:styleId="ElAppright">
    <w:name w:val="ElApp_right"/>
    <w:basedOn w:val="Normal"/>
    <w:qFormat/>
    <w:pPr>
      <w:jc w:val="left"/>
    </w:pPr>
    <w:rPr/>
  </w:style>
  <w:style w:type="paragraph" w:styleId="ElAppclear">
    <w:name w:val="ElApp_clear"/>
    <w:basedOn w:val="Normal"/>
    <w:qFormat/>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Paragraphedeliste">
    <w:name w:val="Paragraphe de liste"/>
    <w:basedOn w:val="Normal"/>
    <w:qFormat/>
    <w:pPr>
      <w:spacing w:before="0" w:after="0"/>
      <w:ind w:left="720" w:hanging="0"/>
      <w:contextualSpacing/>
    </w:pPr>
    <w:rPr>
      <w:rFonts w:ascii="Book Antiqua" w:hAnsi="Book Antiqua" w:cs="Book Antiqua"/>
      <w:sz w:val="22"/>
      <w:szCs w:val="22"/>
    </w:rPr>
  </w:style>
  <w:style w:type="paragraph" w:styleId="Textedebulles">
    <w:name w:val="Texte de bulles"/>
    <w:basedOn w:val="Normal"/>
    <w:qFormat/>
    <w:pPr/>
    <w:rPr>
      <w:rFonts w:ascii="Segoe UI" w:hAnsi="Segoe UI" w:cs="Segoe UI"/>
      <w:sz w:val="18"/>
      <w:szCs w:val="18"/>
    </w:rPr>
  </w:style>
  <w:style w:type="paragraph" w:styleId="Default">
    <w:name w:val="Default"/>
    <w:qFormat/>
    <w:pPr>
      <w:widowControl/>
      <w:autoSpaceDE w:val="false"/>
    </w:pPr>
    <w:rPr>
      <w:rFonts w:ascii="NGEIA E+ T T 80 E 4o 00;Calibri" w:hAnsi="NGEIA E+ T T 80 E 4o 00;Calibri" w:eastAsia="Times New Roman" w:cs="NGEIA E+ T T 80 E 4o 00;Calibri"/>
      <w:color w:val="000000"/>
      <w:sz w:val="24"/>
      <w:szCs w:val="24"/>
      <w:lang w:val="fr-FR" w:bidi="ar-SA" w:eastAsia="zh-CN"/>
    </w:rPr>
  </w:style>
  <w:style w:type="paragraph" w:styleId="CWACorpsdetexte">
    <w:name w:val="CWA Corps de texte"/>
    <w:basedOn w:val="Normal"/>
    <w:qFormat/>
    <w:pPr>
      <w:tabs>
        <w:tab w:val="left" w:pos="567" w:leader="none"/>
      </w:tabs>
    </w:pPr>
    <w:rPr>
      <w:rFonts w:cs="Calibri"/>
      <w:lang w:val="en-US"/>
    </w:rPr>
  </w:style>
  <w:style w:type="paragraph" w:styleId="NormalWeb">
    <w:name w:val="Normal (Web)"/>
    <w:basedOn w:val="Normal"/>
    <w:qFormat/>
    <w:pPr>
      <w:spacing w:before="280" w:after="280"/>
    </w:pPr>
    <w:rPr/>
  </w:style>
  <w:style w:type="paragraph" w:styleId="CWATitre1">
    <w:name w:val="CWA Titre 1"/>
    <w:basedOn w:val="Normal"/>
    <w:next w:val="CWACorpsdetexte"/>
    <w:qFormat/>
    <w:pPr>
      <w:numPr>
        <w:ilvl w:val="0"/>
        <w:numId w:val="2"/>
      </w:numPr>
      <w:spacing w:before="480" w:after="240"/>
      <w:ind w:left="720" w:hanging="360"/>
      <w:outlineLvl w:val="1"/>
    </w:pPr>
    <w:rPr>
      <w:rFonts w:ascii="Calibri" w:hAnsi="Calibri" w:cs="Calibri"/>
      <w:b/>
      <w:caps/>
      <w:color w:val="000000"/>
      <w:sz w:val="22"/>
      <w:szCs w:val="28"/>
    </w:rPr>
  </w:style>
  <w:style w:type="paragraph" w:styleId="CWATitre2">
    <w:name w:val="CWA Titre 2"/>
    <w:basedOn w:val="Normal"/>
    <w:next w:val="TextBody"/>
    <w:qFormat/>
    <w:pPr>
      <w:numPr>
        <w:ilvl w:val="0"/>
        <w:numId w:val="2"/>
      </w:numPr>
      <w:spacing w:before="360" w:after="240"/>
      <w:ind w:left="567" w:hanging="0"/>
      <w:outlineLvl w:val="2"/>
    </w:pPr>
    <w:rPr>
      <w:rFonts w:ascii="Calibri" w:hAnsi="Calibri" w:cs="Calibri"/>
      <w:b/>
      <w:smallCaps/>
      <w:sz w:val="22"/>
      <w:szCs w:val="20"/>
    </w:rPr>
  </w:style>
  <w:style w:type="paragraph" w:styleId="CWATitre3">
    <w:name w:val="CWA Titre 3"/>
    <w:basedOn w:val="Normal"/>
    <w:next w:val="CWACorpsdetexte"/>
    <w:qFormat/>
    <w:pPr>
      <w:numPr>
        <w:ilvl w:val="0"/>
        <w:numId w:val="2"/>
      </w:numPr>
      <w:spacing w:before="0" w:after="240"/>
      <w:outlineLvl w:val="3"/>
    </w:pPr>
    <w:rPr>
      <w:rFonts w:ascii="Calibri" w:hAnsi="Calibri" w:cs="Calibri"/>
      <w:b/>
      <w:sz w:val="22"/>
      <w:szCs w:val="22"/>
      <w:lang w:val="en-GB" w:eastAsia="en-GB"/>
    </w:rPr>
  </w:style>
  <w:style w:type="paragraph" w:styleId="CWATitre4">
    <w:name w:val="CWA Titre 4"/>
    <w:basedOn w:val="Normal"/>
    <w:next w:val="CWACorpsdetexte"/>
    <w:qFormat/>
    <w:pPr>
      <w:numPr>
        <w:ilvl w:val="0"/>
        <w:numId w:val="2"/>
      </w:numPr>
      <w:spacing w:before="0" w:after="240"/>
      <w:outlineLvl w:val="4"/>
    </w:pPr>
    <w:rPr>
      <w:rFonts w:ascii="Calibri" w:hAnsi="Calibri" w:cs="Calibri"/>
      <w:caps/>
      <w:sz w:val="22"/>
      <w:szCs w:val="22"/>
    </w:rPr>
  </w:style>
  <w:style w:type="paragraph" w:styleId="CWATitre5">
    <w:name w:val="CWA Titre 5"/>
    <w:basedOn w:val="Normal"/>
    <w:next w:val="Normal"/>
    <w:qFormat/>
    <w:pPr>
      <w:numPr>
        <w:ilvl w:val="0"/>
        <w:numId w:val="2"/>
      </w:numPr>
      <w:spacing w:before="0" w:after="240"/>
      <w:jc w:val="both"/>
      <w:outlineLvl w:val="5"/>
    </w:pPr>
    <w:rPr>
      <w:rFonts w:ascii="Calibri" w:hAnsi="Calibri" w:cs="Calibri"/>
      <w:i/>
      <w:sz w:val="22"/>
      <w:szCs w:val="22"/>
    </w:rPr>
  </w:style>
  <w:style w:type="paragraph" w:styleId="CWATitre6">
    <w:name w:val="CWA Titre 6"/>
    <w:basedOn w:val="Normal"/>
    <w:next w:val="Normal"/>
    <w:qFormat/>
    <w:pPr>
      <w:numPr>
        <w:ilvl w:val="0"/>
        <w:numId w:val="2"/>
      </w:numPr>
      <w:spacing w:before="0" w:after="240"/>
      <w:jc w:val="both"/>
      <w:outlineLvl w:val="6"/>
    </w:pPr>
    <w:rPr>
      <w:rFonts w:ascii="Calibri" w:hAnsi="Calibri" w:cs="Calibri"/>
      <w:sz w:val="22"/>
      <w:szCs w:val="22"/>
    </w:rPr>
  </w:style>
  <w:style w:type="paragraph" w:styleId="CWATitre7">
    <w:name w:val="CWA Titre 7"/>
    <w:basedOn w:val="Normal"/>
    <w:next w:val="Normal"/>
    <w:qFormat/>
    <w:pPr>
      <w:numPr>
        <w:ilvl w:val="0"/>
        <w:numId w:val="2"/>
      </w:numPr>
      <w:spacing w:before="0" w:after="240"/>
      <w:jc w:val="both"/>
      <w:outlineLvl w:val="7"/>
    </w:pPr>
    <w:rPr>
      <w:rFonts w:ascii="Calibri" w:hAnsi="Calibri" w:cs="Calibri"/>
      <w:sz w:val="22"/>
      <w:szCs w:val="22"/>
    </w:rPr>
  </w:style>
  <w:style w:type="paragraph" w:styleId="CWATitre8">
    <w:name w:val="CWA Titre 8"/>
    <w:basedOn w:val="Normal"/>
    <w:next w:val="Normal"/>
    <w:qFormat/>
    <w:pPr>
      <w:numPr>
        <w:ilvl w:val="0"/>
        <w:numId w:val="2"/>
      </w:numPr>
      <w:spacing w:before="0" w:after="240"/>
      <w:jc w:val="both"/>
      <w:outlineLvl w:val="8"/>
    </w:pPr>
    <w:rPr>
      <w:rFonts w:ascii="Calibri" w:hAnsi="Calibri" w:cs="Calibri"/>
      <w:sz w:val="22"/>
      <w:szCs w:val="22"/>
      <w:lang w:val="en-GB"/>
    </w:rPr>
  </w:style>
  <w:style w:type="paragraph" w:styleId="CWAListetirets">
    <w:name w:val="CWA Liste (tirets)"/>
    <w:basedOn w:val="Normal"/>
    <w:qFormat/>
    <w:pPr>
      <w:numPr>
        <w:ilvl w:val="0"/>
        <w:numId w:val="3"/>
      </w:numPr>
      <w:spacing w:before="0" w:after="240"/>
      <w:jc w:val="both"/>
    </w:pPr>
    <w:rPr>
      <w:rFonts w:ascii="Calibri" w:hAnsi="Calibri" w:cs="Calibri"/>
      <w:sz w:val="22"/>
      <w:szCs w:val="22"/>
      <w:lang w:val="en-GB"/>
    </w:rPr>
  </w:style>
  <w:style w:type="paragraph" w:styleId="Voxcorpstexte">
    <w:name w:val="vox_corpstexte"/>
    <w:qFormat/>
    <w:pPr>
      <w:widowControl/>
      <w:spacing w:before="120" w:after="0"/>
      <w:jc w:val="both"/>
    </w:pPr>
    <w:rPr>
      <w:rFonts w:ascii="Arial" w:hAnsi="Arial" w:eastAsia="Times New Roman" w:cs="Arial"/>
      <w:color w:val="auto"/>
      <w:sz w:val="22"/>
      <w:szCs w:val="22"/>
      <w:lang w:val="fr-FR" w:bidi="ar-SA" w:eastAsia="zh-CN"/>
    </w:rPr>
  </w:style>
  <w:style w:type="paragraph" w:styleId="Commentaire">
    <w:name w:val="Commentaire"/>
    <w:basedOn w:val="Normal"/>
    <w:qFormat/>
    <w:pPr>
      <w:spacing w:before="60" w:after="0"/>
      <w:jc w:val="center"/>
    </w:pPr>
    <w:rPr>
      <w:rFonts w:ascii="Arial" w:hAnsi="Arial" w:cs="Arial"/>
      <w:szCs w:val="20"/>
    </w:rPr>
  </w:style>
  <w:style w:type="paragraph" w:styleId="Objetducommentaire">
    <w:name w:val="Objet du commentaire"/>
    <w:basedOn w:val="Commentaire"/>
    <w:next w:val="Commentaire"/>
    <w:qFormat/>
    <w:pPr>
      <w:spacing w:before="0" w:after="0"/>
      <w:jc w:val="left"/>
    </w:pPr>
    <w:rPr>
      <w:rFonts w:ascii="Times New Roman" w:hAnsi="Times New Roman" w:cs="Times New Roman"/>
      <w:b/>
      <w:bCs/>
      <w:sz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eleaccords.travail-emploi.gouv.f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2020-12-09T22:47:00Z</dcterms:created>
  <dc:creator/>
  <dc:description/>
  <dc:language>en-GB</dc:language>
  <cp:lastModifiedBy/>
  <cp:lastPrinted>2020-11-10T16:39:00Z</cp:lastPrinted>
  <dcterms:modified xsi:type="dcterms:W3CDTF">2020-12-09T22:47:00Z</dcterms:modified>
  <cp:revision>2</cp:revision>
  <dc:subject/>
  <dc:title/>
</cp:coreProperties>
</file>