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lang w:val="en-GB" w:eastAsia="en-GB"/>
        </w:rPr>
      </w:pPr>
      <w:r>
        <w:rPr>
          <w:b/>
          <w:sz w:val="24"/>
          <w:szCs w:val="24"/>
          <w:lang w:val="en-GB" w:eastAsia="en-GB"/>
        </w:rPr>
        <w:drawing>
          <wp:anchor behindDoc="0" distT="0" distB="0" distL="114935" distR="114935" simplePos="0" locked="0" layoutInCell="1" allowOverlap="1" relativeHeight="3">
            <wp:simplePos x="0" y="0"/>
            <wp:positionH relativeFrom="column">
              <wp:posOffset>165735</wp:posOffset>
            </wp:positionH>
            <wp:positionV relativeFrom="paragraph">
              <wp:posOffset>2540</wp:posOffset>
            </wp:positionV>
            <wp:extent cx="3495675" cy="54292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 t="-49" r="-7" b="-49"/>
                    <a:stretch>
                      <a:fillRect/>
                    </a:stretch>
                  </pic:blipFill>
                  <pic:spPr bwMode="auto">
                    <a:xfrm>
                      <a:off x="0" y="0"/>
                      <a:ext cx="3495675" cy="542925"/>
                    </a:xfrm>
                    <a:prstGeom prst="rect">
                      <a:avLst/>
                    </a:prstGeom>
                  </pic:spPr>
                </pic:pic>
              </a:graphicData>
            </a:graphic>
          </wp:anchor>
        </w:drawing>
      </w:r>
    </w:p>
    <w:p>
      <w:pPr>
        <w:pStyle w:val="Normal"/>
        <w:spacing w:before="0" w:after="0"/>
        <w:jc w:val="center"/>
        <w:rPr>
          <w:b/>
          <w:b/>
          <w:sz w:val="24"/>
          <w:szCs w:val="24"/>
        </w:rPr>
      </w:pPr>
      <w:r>
        <w:rPr>
          <w:b/>
          <w:sz w:val="24"/>
          <w:szCs w:val="24"/>
        </w:rPr>
      </w:r>
    </w:p>
    <w:p>
      <w:pPr>
        <w:pStyle w:val="Normal"/>
        <w:jc w:val="center"/>
        <w:rPr>
          <w:b/>
          <w:b/>
          <w:caps/>
          <w:sz w:val="36"/>
          <w:szCs w:val="36"/>
          <w:u w:val="single"/>
        </w:rPr>
      </w:pPr>
      <w:r>
        <w:rPr>
          <w:b/>
          <w:caps/>
          <w:sz w:val="36"/>
          <w:szCs w:val="36"/>
          <w:u w:val="single"/>
        </w:rPr>
      </w:r>
    </w:p>
    <w:p>
      <w:pPr>
        <w:pStyle w:val="Normal"/>
        <w:spacing w:before="0" w:after="0"/>
        <w:jc w:val="center"/>
        <w:rPr>
          <w:b/>
          <w:b/>
          <w:caps/>
          <w:sz w:val="28"/>
          <w:szCs w:val="28"/>
        </w:rPr>
      </w:pPr>
      <w:r>
        <w:rPr>
          <w:b/>
          <w:caps/>
          <w:sz w:val="36"/>
          <w:szCs w:val="36"/>
          <w:u w:val="single"/>
        </w:rPr>
        <w:t xml:space="preserve">ACCORD </w:t>
      </w:r>
      <w:r>
        <w:rPr>
          <w:b/>
          <w:caps/>
          <w:sz w:val="28"/>
          <w:szCs w:val="28"/>
        </w:rPr>
        <w:t xml:space="preserve"> </w:t>
      </w:r>
    </w:p>
    <w:p>
      <w:pPr>
        <w:pStyle w:val="Normal"/>
        <w:spacing w:before="0" w:after="0"/>
        <w:jc w:val="center"/>
        <w:rPr>
          <w:b/>
          <w:b/>
          <w:caps/>
          <w:sz w:val="28"/>
          <w:szCs w:val="28"/>
        </w:rPr>
      </w:pPr>
      <w:r>
        <w:rPr>
          <w:b/>
          <w:caps/>
          <w:sz w:val="28"/>
          <w:szCs w:val="28"/>
        </w:rPr>
        <w:t>sur l’égalité professionnelle entre les hommes et les femmes</w:t>
      </w:r>
    </w:p>
    <w:p>
      <w:pPr>
        <w:pStyle w:val="Normal"/>
        <w:rPr>
          <w:b/>
          <w:b/>
          <w:u w:val="single"/>
        </w:rPr>
      </w:pPr>
      <w:r>
        <w:rPr>
          <w:b/>
          <w:u w:val="single"/>
        </w:rPr>
        <w:t>Entre</w:t>
      </w:r>
    </w:p>
    <w:p>
      <w:pPr>
        <w:pStyle w:val="Normal"/>
        <w:spacing w:before="0" w:after="0"/>
        <w:rPr/>
      </w:pPr>
      <w:r>
        <w:rPr/>
        <w:t xml:space="preserve">La société </w:t>
      </w:r>
      <w:r>
        <w:rPr>
          <w:b/>
        </w:rPr>
        <w:t xml:space="preserve">TECHNIFRANCE </w:t>
      </w:r>
    </w:p>
    <w:p>
      <w:pPr>
        <w:pStyle w:val="Normal"/>
        <w:spacing w:before="0" w:after="0"/>
        <w:rPr/>
      </w:pPr>
      <w:r>
        <w:rPr/>
        <w:t xml:space="preserve">dont le siège social est situé 242 route du chapeau rouge, 59229 TETEGHEM, </w:t>
      </w:r>
    </w:p>
    <w:p>
      <w:pPr>
        <w:pStyle w:val="Normal"/>
        <w:spacing w:before="0" w:after="0"/>
        <w:rPr/>
      </w:pPr>
      <w:r>
        <w:rPr/>
        <w:t xml:space="preserve">représentée par XXXXXXXXXXXXXXXXX, </w:t>
      </w:r>
    </w:p>
    <w:p>
      <w:pPr>
        <w:pStyle w:val="Normal"/>
        <w:spacing w:before="0" w:after="0"/>
        <w:rPr/>
      </w:pPr>
      <w:r>
        <w:rPr/>
        <w:t>d’une part,</w:t>
      </w:r>
    </w:p>
    <w:p>
      <w:pPr>
        <w:pStyle w:val="Normal"/>
        <w:spacing w:before="0" w:after="0"/>
        <w:rPr/>
      </w:pPr>
      <w:r>
        <w:rPr/>
        <w:t>et</w:t>
      </w:r>
    </w:p>
    <w:p>
      <w:pPr>
        <w:pStyle w:val="Normal"/>
        <w:spacing w:before="0" w:after="0"/>
        <w:rPr/>
      </w:pPr>
      <w:r>
        <w:rPr/>
        <w:t>D’autre part,</w:t>
      </w:r>
    </w:p>
    <w:p>
      <w:pPr>
        <w:pStyle w:val="Normal"/>
        <w:spacing w:before="0" w:after="0"/>
        <w:rPr/>
      </w:pPr>
      <w:r>
        <w:rPr/>
        <w:t xml:space="preserve">Les représentants titulaires du Comité Social et Economique : </w:t>
      </w:r>
    </w:p>
    <w:p>
      <w:pPr>
        <w:pStyle w:val="Normal"/>
        <w:numPr>
          <w:ilvl w:val="0"/>
          <w:numId w:val="4"/>
        </w:numPr>
        <w:spacing w:before="0" w:after="0"/>
        <w:rPr/>
      </w:pPr>
      <w:r>
        <w:rPr/>
        <w:t xml:space="preserve">XXXXXXXXXXX, </w:t>
      </w:r>
    </w:p>
    <w:p>
      <w:pPr>
        <w:pStyle w:val="Normal"/>
        <w:numPr>
          <w:ilvl w:val="0"/>
          <w:numId w:val="4"/>
        </w:numPr>
        <w:spacing w:before="0" w:after="0"/>
        <w:rPr/>
      </w:pPr>
      <w:r>
        <w:rPr/>
        <w:t xml:space="preserve">XXXXXXXXXXX, </w:t>
      </w:r>
    </w:p>
    <w:p>
      <w:pPr>
        <w:pStyle w:val="Normal"/>
        <w:numPr>
          <w:ilvl w:val="0"/>
          <w:numId w:val="4"/>
        </w:numPr>
        <w:spacing w:before="0" w:after="0"/>
        <w:rPr/>
      </w:pPr>
      <w:r>
        <w:rPr/>
        <w:t>XXXXXXXXXXX,</w:t>
      </w:r>
    </w:p>
    <w:p>
      <w:pPr>
        <w:pStyle w:val="Normal"/>
        <w:numPr>
          <w:ilvl w:val="0"/>
          <w:numId w:val="4"/>
        </w:numPr>
        <w:spacing w:before="0" w:after="0"/>
        <w:rPr/>
      </w:pPr>
      <w:r>
        <w:rPr/>
        <w:t>XXXXXXXXXXXX</w:t>
      </w:r>
    </w:p>
    <w:p>
      <w:pPr>
        <w:pStyle w:val="Normal"/>
        <w:rPr/>
      </w:pPr>
      <w:r>
        <w:rPr/>
        <w:t>Suite aux réunions des 11 septembre, 27 octobre, 9 novembre 2020</w:t>
      </w:r>
    </w:p>
    <w:p>
      <w:pPr>
        <w:pStyle w:val="Normal"/>
        <w:rPr>
          <w:b/>
          <w:b/>
          <w:u w:val="single"/>
        </w:rPr>
      </w:pPr>
      <w:r>
        <w:rPr>
          <w:b/>
          <w:u w:val="single"/>
        </w:rPr>
        <w:t>ARTICLE 1 - PREAMBULE</w:t>
      </w:r>
    </w:p>
    <w:p>
      <w:pPr>
        <w:pStyle w:val="Normal"/>
        <w:jc w:val="both"/>
        <w:rPr/>
      </w:pPr>
      <w:r>
        <w:rPr/>
        <w:t>Le présent accord est conclu en application des articles L. 1141-1 à L. 1146-3, du Code du travail, relatifs à l’égalité professionnelle entre les hommes et les femmes. Il tient compte également de l’accord national du 27 octobre 2014 de la convention collective nationale des bureaux d’études techniques, cabinets d’ingénieurs conseils, société de conseil du 15/12/1987.</w:t>
      </w:r>
    </w:p>
    <w:p>
      <w:pPr>
        <w:pStyle w:val="Normal"/>
        <w:jc w:val="both"/>
        <w:rPr/>
      </w:pPr>
      <w:r>
        <w:rPr/>
        <w:t>TECHNIFRANCE réaffirme que la diversité et l’égalité professionnelle entre les hommes et les femmes constituent des forces pour l’entreprise, sa croissance et son dynamisme social. Elles permettent de mobiliser les talents et les compétences contribuant à la performance de l’entreprise, abstraction faite de toutes autres considérations pouvant être liées, notamment, au sexe de l’individu.</w:t>
      </w:r>
    </w:p>
    <w:p>
      <w:pPr>
        <w:pStyle w:val="Normal"/>
        <w:ind w:left="45" w:hanging="0"/>
        <w:jc w:val="both"/>
        <w:rPr/>
      </w:pPr>
      <w:r>
        <w:rPr/>
        <w:t>Nous nous sommes basés sur les suivis annuels de l’accord (2017-2018-2019) et l’index égalité hommes/femmes déclaré en mars 2020 (pour l’année 2019), pour conduire cette négociation et aboutir à un accord.</w:t>
      </w:r>
    </w:p>
    <w:p>
      <w:pPr>
        <w:pStyle w:val="Normal"/>
        <w:spacing w:before="0" w:after="0"/>
        <w:jc w:val="both"/>
        <w:rPr/>
      </w:pPr>
      <w:r>
        <w:rPr/>
        <w:t>Trois points de vigilance sont mis en avant dans l’accord de branche :</w:t>
      </w:r>
    </w:p>
    <w:p>
      <w:pPr>
        <w:pStyle w:val="Normal"/>
        <w:numPr>
          <w:ilvl w:val="0"/>
          <w:numId w:val="3"/>
        </w:numPr>
        <w:spacing w:before="0" w:after="0"/>
        <w:jc w:val="both"/>
        <w:rPr/>
      </w:pPr>
      <w:r>
        <w:rPr/>
        <w:t>Le recrutement</w:t>
      </w:r>
    </w:p>
    <w:p>
      <w:pPr>
        <w:pStyle w:val="Normal"/>
        <w:numPr>
          <w:ilvl w:val="0"/>
          <w:numId w:val="3"/>
        </w:numPr>
        <w:spacing w:before="0" w:after="0"/>
        <w:jc w:val="both"/>
        <w:rPr/>
      </w:pPr>
      <w:r>
        <w:rPr/>
        <w:t>La promotion professionnelle</w:t>
      </w:r>
    </w:p>
    <w:p>
      <w:pPr>
        <w:pStyle w:val="Normal"/>
        <w:numPr>
          <w:ilvl w:val="0"/>
          <w:numId w:val="3"/>
        </w:numPr>
        <w:jc w:val="both"/>
        <w:rPr/>
      </w:pPr>
      <w:r>
        <w:rPr/>
        <w:t>La rémunération</w:t>
      </w:r>
    </w:p>
    <w:p>
      <w:pPr>
        <w:pStyle w:val="Normal"/>
        <w:spacing w:before="0" w:after="0"/>
        <w:jc w:val="both"/>
        <w:rPr/>
      </w:pPr>
      <w:r>
        <w:rPr/>
        <w:t>TECHNIFRANCE a donc décidé, en accord avec les membres du CSE, de continuer à suivre ces trois critères et d’y ajouter :</w:t>
      </w:r>
    </w:p>
    <w:p>
      <w:pPr>
        <w:pStyle w:val="Normal"/>
        <w:numPr>
          <w:ilvl w:val="0"/>
          <w:numId w:val="3"/>
        </w:numPr>
        <w:spacing w:before="0" w:after="0"/>
        <w:jc w:val="both"/>
        <w:rPr/>
      </w:pPr>
      <w:r>
        <w:rPr/>
        <w:t>La formation professionnelle</w:t>
      </w:r>
    </w:p>
    <w:p>
      <w:pPr>
        <w:pStyle w:val="Normal"/>
        <w:numPr>
          <w:ilvl w:val="0"/>
          <w:numId w:val="3"/>
        </w:numPr>
        <w:spacing w:before="0" w:after="0"/>
        <w:jc w:val="both"/>
        <w:rPr/>
      </w:pPr>
      <w:r>
        <w:rPr/>
        <w:t>L’équilibre entre vie professionnelle et personnelle.</w:t>
      </w:r>
    </w:p>
    <w:p>
      <w:pPr>
        <w:pStyle w:val="Normal"/>
        <w:spacing w:before="0" w:after="0"/>
        <w:jc w:val="both"/>
        <w:rPr/>
      </w:pPr>
      <w:r>
        <w:rPr/>
      </w:r>
      <w:r>
        <w:br w:type="page"/>
      </w:r>
    </w:p>
    <w:p>
      <w:pPr>
        <w:pStyle w:val="Normal"/>
        <w:spacing w:before="0" w:after="0"/>
        <w:ind w:left="405" w:hanging="0"/>
        <w:jc w:val="both"/>
        <w:rPr/>
      </w:pPr>
      <w:r>
        <w:rPr/>
      </w:r>
    </w:p>
    <w:p>
      <w:pPr>
        <w:pStyle w:val="Normal"/>
        <w:rPr>
          <w:b/>
          <w:b/>
          <w:u w:val="single"/>
        </w:rPr>
      </w:pPr>
      <w:r>
        <w:rPr>
          <w:b/>
          <w:u w:val="single"/>
        </w:rPr>
        <w:t>ARTICLE 2 - REPARTITION ACTUELLE DES EFFECTIFS (au 31 décembre 2019)</w:t>
      </w:r>
    </w:p>
    <w:p>
      <w:pPr>
        <w:pStyle w:val="Normal"/>
        <w:rPr/>
      </w:pPr>
      <w:r>
        <w:rPr/>
        <w:t>L’effectif total de TECHNIFRANCE est de 64 salariés dont 54 hommes. Leur représentation est de 84.38% et 10 femmes qui représentent 15.63 % de l’effectif total.</w:t>
      </w:r>
    </w:p>
    <w:tbl>
      <w:tblPr>
        <w:tblW w:w="978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89"/>
        <w:gridCol w:w="1337"/>
        <w:gridCol w:w="1337"/>
        <w:gridCol w:w="1337"/>
        <w:gridCol w:w="1337"/>
        <w:gridCol w:w="1347"/>
      </w:tblGrid>
      <w:tr>
        <w:trPr/>
        <w:tc>
          <w:tcPr>
            <w:tcW w:w="308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Catégories</w:t>
            </w:r>
          </w:p>
        </w:tc>
        <w:tc>
          <w:tcPr>
            <w:tcW w:w="1337"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 xml:space="preserve">Femmes </w:t>
            </w:r>
          </w:p>
        </w:tc>
        <w:tc>
          <w:tcPr>
            <w:tcW w:w="1337"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Hommes</w:t>
            </w:r>
          </w:p>
        </w:tc>
        <w:tc>
          <w:tcPr>
            <w:tcW w:w="1337"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Total</w:t>
            </w:r>
          </w:p>
        </w:tc>
        <w:tc>
          <w:tcPr>
            <w:tcW w:w="1337" w:type="dxa"/>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pacing w:before="0" w:after="0"/>
              <w:jc w:val="center"/>
              <w:rPr>
                <w:b/>
                <w:b/>
              </w:rPr>
            </w:pPr>
            <w:r>
              <w:rPr>
                <w:b/>
              </w:rPr>
              <w:t>Moyenne</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103" w:type="dxa"/>
            </w:tcMar>
          </w:tcPr>
          <w:p>
            <w:pPr>
              <w:pStyle w:val="Normal"/>
              <w:spacing w:before="0" w:after="0"/>
              <w:jc w:val="center"/>
              <w:rPr>
                <w:b/>
                <w:b/>
              </w:rPr>
            </w:pPr>
            <w:r>
              <w:rPr>
                <w:b/>
              </w:rPr>
              <w:t>Écarts</w:t>
            </w:r>
          </w:p>
        </w:tc>
      </w:tr>
      <w:tr>
        <w:trPr>
          <w:trHeight w:val="567" w:hRule="atLeast"/>
        </w:trPr>
        <w:tc>
          <w:tcPr>
            <w:tcW w:w="308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ETAM</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7</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33</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40</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20</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b/>
                <w:b/>
                <w:color w:val="FF0000"/>
              </w:rPr>
            </w:pPr>
            <w:r>
              <w:rPr>
                <w:b/>
                <w:color w:val="FF0000"/>
              </w:rPr>
              <w:t>13</w:t>
            </w:r>
          </w:p>
        </w:tc>
      </w:tr>
      <w:tr>
        <w:trPr>
          <w:trHeight w:val="567" w:hRule="atLeast"/>
        </w:trPr>
        <w:tc>
          <w:tcPr>
            <w:tcW w:w="308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Représentation ETAM %</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17.50%</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82.50%</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100%</w:t>
            </w:r>
          </w:p>
        </w:tc>
        <w:tc>
          <w:tcPr>
            <w:tcW w:w="1337" w:type="dxa"/>
            <w:tcBorders>
              <w:top w:val="single" w:sz="4" w:space="0" w:color="000000"/>
              <w:left w:val="single" w:sz="4" w:space="0" w:color="000000"/>
              <w:bottom w:val="single" w:sz="4" w:space="0" w:color="000000"/>
              <w:insideH w:val="single" w:sz="4" w:space="0" w:color="000000"/>
            </w:tcBorders>
            <w:shd w:fill="95B3D7" w:val="clear"/>
            <w:tcMar>
              <w:left w:w="103" w:type="dxa"/>
            </w:tcMar>
            <w:vAlign w:val="center"/>
          </w:tcPr>
          <w:p>
            <w:pPr>
              <w:pStyle w:val="Normal"/>
              <w:snapToGrid w:val="false"/>
              <w:spacing w:before="0" w:after="0"/>
              <w:jc w:val="center"/>
              <w:rPr>
                <w:b/>
                <w:b/>
              </w:rPr>
            </w:pPr>
            <w:r>
              <w:rPr>
                <w:b/>
              </w:rPr>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b/>
                <w:b/>
                <w:color w:val="FF0000"/>
              </w:rPr>
            </w:pPr>
            <w:r>
              <w:rPr>
                <w:b/>
                <w:color w:val="FF0000"/>
              </w:rPr>
              <w:t>65%</w:t>
            </w:r>
          </w:p>
        </w:tc>
      </w:tr>
      <w:tr>
        <w:trPr>
          <w:trHeight w:val="567" w:hRule="atLeast"/>
        </w:trPr>
        <w:tc>
          <w:tcPr>
            <w:tcW w:w="308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CADRES</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3</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21</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24</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12</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b/>
                <w:b/>
                <w:color w:val="FF0000"/>
              </w:rPr>
            </w:pPr>
            <w:r>
              <w:rPr>
                <w:b/>
                <w:color w:val="FF0000"/>
              </w:rPr>
              <w:t>9</w:t>
            </w:r>
          </w:p>
        </w:tc>
      </w:tr>
      <w:tr>
        <w:trPr>
          <w:trHeight w:val="567" w:hRule="atLeast"/>
        </w:trPr>
        <w:tc>
          <w:tcPr>
            <w:tcW w:w="308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Représentation CADRES %</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12.50%</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87.50%</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100%</w:t>
            </w:r>
          </w:p>
        </w:tc>
        <w:tc>
          <w:tcPr>
            <w:tcW w:w="1337" w:type="dxa"/>
            <w:tcBorders>
              <w:top w:val="single" w:sz="4" w:space="0" w:color="000000"/>
              <w:left w:val="single" w:sz="4" w:space="0" w:color="000000"/>
              <w:bottom w:val="single" w:sz="4" w:space="0" w:color="000000"/>
              <w:insideH w:val="single" w:sz="4" w:space="0" w:color="000000"/>
            </w:tcBorders>
            <w:shd w:fill="95B3D7" w:val="clear"/>
            <w:tcMar>
              <w:left w:w="103" w:type="dxa"/>
            </w:tcMar>
            <w:vAlign w:val="center"/>
          </w:tcPr>
          <w:p>
            <w:pPr>
              <w:pStyle w:val="Normal"/>
              <w:snapToGrid w:val="false"/>
              <w:spacing w:before="0" w:after="0"/>
              <w:jc w:val="center"/>
              <w:rPr>
                <w:b/>
                <w:b/>
              </w:rPr>
            </w:pPr>
            <w:r>
              <w:rPr>
                <w:b/>
              </w:rPr>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b/>
                <w:b/>
                <w:color w:val="FF0000"/>
              </w:rPr>
            </w:pPr>
            <w:r>
              <w:rPr>
                <w:b/>
                <w:color w:val="FF0000"/>
              </w:rPr>
              <w:t>75%</w:t>
            </w:r>
          </w:p>
        </w:tc>
      </w:tr>
      <w:tr>
        <w:trPr>
          <w:trHeight w:val="567" w:hRule="atLeast"/>
        </w:trPr>
        <w:tc>
          <w:tcPr>
            <w:tcW w:w="308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TOTAL ETAM+CADRES</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10</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54</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64</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32</w:t>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b/>
                <w:b/>
                <w:color w:val="FF0000"/>
              </w:rPr>
            </w:pPr>
            <w:r>
              <w:rPr>
                <w:b/>
                <w:color w:val="FF0000"/>
              </w:rPr>
              <w:t>22</w:t>
            </w:r>
          </w:p>
        </w:tc>
      </w:tr>
      <w:tr>
        <w:trPr>
          <w:trHeight w:val="567" w:hRule="atLeast"/>
        </w:trPr>
        <w:tc>
          <w:tcPr>
            <w:tcW w:w="308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Représentation en %</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15.63%</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84.38%</w:t>
            </w:r>
          </w:p>
        </w:tc>
        <w:tc>
          <w:tcPr>
            <w:tcW w:w="133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0"/>
              <w:jc w:val="center"/>
              <w:rPr>
                <w:b/>
                <w:b/>
              </w:rPr>
            </w:pPr>
            <w:r>
              <w:rPr>
                <w:b/>
              </w:rPr>
              <w:t>100%</w:t>
            </w:r>
          </w:p>
        </w:tc>
        <w:tc>
          <w:tcPr>
            <w:tcW w:w="1337" w:type="dxa"/>
            <w:tcBorders>
              <w:top w:val="single" w:sz="4" w:space="0" w:color="000000"/>
              <w:left w:val="single" w:sz="4" w:space="0" w:color="000000"/>
              <w:bottom w:val="single" w:sz="4" w:space="0" w:color="000000"/>
              <w:insideH w:val="single" w:sz="4" w:space="0" w:color="000000"/>
            </w:tcBorders>
            <w:shd w:fill="95B3D7" w:val="clear"/>
            <w:tcMar>
              <w:left w:w="103" w:type="dxa"/>
            </w:tcMar>
            <w:vAlign w:val="center"/>
          </w:tcPr>
          <w:p>
            <w:pPr>
              <w:pStyle w:val="Normal"/>
              <w:snapToGrid w:val="false"/>
              <w:spacing w:before="0" w:after="0"/>
              <w:jc w:val="center"/>
              <w:rPr>
                <w:b/>
                <w:b/>
              </w:rPr>
            </w:pPr>
            <w:r>
              <w:rPr>
                <w:b/>
              </w:rPr>
            </w:r>
          </w:p>
        </w:tc>
        <w:tc>
          <w:tcPr>
            <w:tcW w:w="13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0"/>
              <w:jc w:val="center"/>
              <w:rPr>
                <w:b/>
                <w:b/>
                <w:color w:val="FF0000"/>
              </w:rPr>
            </w:pPr>
            <w:r>
              <w:rPr>
                <w:b/>
                <w:color w:val="FF0000"/>
              </w:rPr>
              <w:t>68.75%</w:t>
            </w:r>
          </w:p>
        </w:tc>
      </w:tr>
    </w:tbl>
    <w:p>
      <w:pPr>
        <w:pStyle w:val="Normal"/>
        <w:spacing w:before="0" w:after="0"/>
        <w:jc w:val="both"/>
        <w:rPr>
          <w:b/>
          <w:b/>
          <w:u w:val="single"/>
        </w:rPr>
      </w:pPr>
      <w:r>
        <w:rPr>
          <w:b/>
          <w:u w:val="single"/>
        </w:rPr>
      </w:r>
    </w:p>
    <w:p>
      <w:pPr>
        <w:pStyle w:val="Normal"/>
        <w:jc w:val="both"/>
        <w:rPr/>
      </w:pPr>
      <w:r>
        <w:rPr/>
        <w:t>Les métiers présents au sein de TECHNIFRANCE ont une dominante fortement technique, ces métiers sont particulièrement occupés par des hommes. Il est à noter que la répartition, par sexe, dans le secteur de l’ingénierie est de 70% d’hommes et 30% de femmes.</w:t>
      </w:r>
    </w:p>
    <w:p>
      <w:pPr>
        <w:pStyle w:val="Normal"/>
        <w:spacing w:before="0" w:after="0"/>
        <w:rPr>
          <w:b/>
          <w:b/>
          <w:u w:val="single"/>
        </w:rPr>
      </w:pPr>
      <w:r>
        <w:rPr>
          <w:b/>
          <w:u w:val="single"/>
        </w:rPr>
        <w:t xml:space="preserve">ARTICLE 3 - </w:t>
      </w:r>
      <w:r>
        <w:rPr>
          <w:b/>
          <w:caps/>
          <w:u w:val="single"/>
        </w:rPr>
        <w:t>le recrutement</w:t>
      </w:r>
      <w:r>
        <w:rPr>
          <w:b/>
          <w:u w:val="single"/>
        </w:rPr>
        <w:t> :</w:t>
      </w:r>
    </w:p>
    <w:p>
      <w:pPr>
        <w:pStyle w:val="Paragraphedeliste"/>
        <w:ind w:left="0" w:hanging="0"/>
        <w:jc w:val="both"/>
        <w:rPr>
          <w:b/>
          <w:b/>
          <w:u w:val="single"/>
        </w:rPr>
      </w:pPr>
      <w:r>
        <w:rPr>
          <w:b/>
          <w:u w:val="single"/>
        </w:rPr>
      </w:r>
    </w:p>
    <w:p>
      <w:pPr>
        <w:pStyle w:val="Paragraphedeliste"/>
        <w:ind w:left="0" w:hanging="0"/>
        <w:jc w:val="both"/>
        <w:rPr/>
      </w:pPr>
      <w:r>
        <w:rPr/>
        <w:t>Conformément à la loi relative à l’article 1142-1, suivant le code du travail qui rend la discrimination à l’embauche illégale, il n’existe pas au sein de TECHNIFRANCE de critères particuliers concernant le sexe ou même l’apparence physique, les caractéristiques génétiques, les mœurs ou les orientations sexuelles.</w:t>
      </w:r>
    </w:p>
    <w:p>
      <w:pPr>
        <w:pStyle w:val="Paragraphedeliste"/>
        <w:ind w:left="0" w:hanging="0"/>
        <w:jc w:val="both"/>
        <w:rPr/>
      </w:pPr>
      <w:r>
        <w:rPr/>
        <w:t>Chacun de ces critères dans la Loi, constitue une discrimination s’il est utilisé en tant qu’élément de sélection, de rejet ou d’exclusion. Seuls les critères professionnels doivent être examinés et retenus. Le règlement intérieur tient compte de cet état et prévoit les sanctions applicables en cas de nécessité.</w:t>
      </w:r>
    </w:p>
    <w:p>
      <w:pPr>
        <w:pStyle w:val="Paragraphedeliste"/>
        <w:ind w:left="0" w:hanging="0"/>
        <w:jc w:val="both"/>
        <w:rPr>
          <w:b/>
          <w:b/>
          <w:u w:val="single"/>
        </w:rPr>
      </w:pPr>
      <w:r>
        <w:rPr>
          <w:b/>
          <w:u w:val="single"/>
        </w:rPr>
      </w:r>
    </w:p>
    <w:p>
      <w:pPr>
        <w:pStyle w:val="Paragraphedeliste"/>
        <w:spacing w:before="0" w:after="0"/>
        <w:ind w:left="0" w:hanging="0"/>
        <w:contextualSpacing/>
        <w:jc w:val="both"/>
        <w:rPr>
          <w:b/>
          <w:b/>
          <w:bCs/>
          <w:u w:val="single"/>
        </w:rPr>
      </w:pPr>
      <w:r>
        <w:rPr>
          <w:b/>
          <w:bCs/>
          <w:u w:val="single"/>
        </w:rPr>
        <w:t>Diagnostic :</w:t>
      </w:r>
    </w:p>
    <w:p>
      <w:pPr>
        <w:pStyle w:val="Paragraphedeliste"/>
        <w:spacing w:before="0" w:after="0"/>
        <w:ind w:left="0" w:hanging="0"/>
        <w:contextualSpacing/>
        <w:jc w:val="both"/>
        <w:rPr/>
      </w:pPr>
      <w:r>
        <w:rPr/>
        <w:t>Il n’existe pas à notre connaissance d’inégalité à l’embauche des hommes et des femmes chez TECHNIFRANCE. La tendance masculine de notre filière de métiers, déséquilibre les taux d’embauches hommes / femmes. Il y a très peu de candidatures féminines.</w:t>
      </w:r>
    </w:p>
    <w:p>
      <w:pPr>
        <w:pStyle w:val="Normal"/>
        <w:spacing w:before="0" w:after="0"/>
        <w:jc w:val="both"/>
        <w:rPr>
          <w:b/>
          <w:b/>
          <w:u w:val="single"/>
        </w:rPr>
      </w:pPr>
      <w:r>
        <w:rPr>
          <w:b/>
          <w:u w:val="single"/>
        </w:rPr>
      </w:r>
    </w:p>
    <w:p>
      <w:pPr>
        <w:pStyle w:val="Normal"/>
        <w:spacing w:before="0" w:after="0"/>
        <w:jc w:val="both"/>
        <w:rPr>
          <w:b/>
          <w:b/>
          <w:u w:val="single"/>
        </w:rPr>
      </w:pPr>
      <w:r>
        <w:rPr>
          <w:b/>
          <w:u w:val="single"/>
        </w:rPr>
        <w:t xml:space="preserve">Action : </w:t>
      </w:r>
    </w:p>
    <w:p>
      <w:pPr>
        <w:pStyle w:val="Normal"/>
        <w:spacing w:before="0" w:after="0"/>
        <w:jc w:val="both"/>
        <w:rPr/>
      </w:pPr>
      <w:r>
        <w:rPr>
          <w:bCs/>
        </w:rPr>
        <w:t>Nous suivrons la répartition des embauches, de façon annuelle avec le tableau suivant afin de suivre le taux d’embauche.</w:t>
      </w:r>
      <w:r>
        <w:br w:type="page"/>
      </w:r>
    </w:p>
    <w:p>
      <w:pPr>
        <w:pStyle w:val="Normal"/>
        <w:spacing w:before="0" w:after="0"/>
        <w:jc w:val="both"/>
        <w:rPr>
          <w:bCs/>
        </w:rPr>
      </w:pPr>
      <w:r>
        <w:rPr>
          <w:bCs/>
        </w:rPr>
      </w:r>
    </w:p>
    <w:tbl>
      <w:tblPr>
        <w:tblW w:w="957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59"/>
        <w:gridCol w:w="1322"/>
        <w:gridCol w:w="1322"/>
        <w:gridCol w:w="1322"/>
        <w:gridCol w:w="1322"/>
        <w:gridCol w:w="1332"/>
      </w:tblGrid>
      <w:tr>
        <w:trPr/>
        <w:tc>
          <w:tcPr>
            <w:tcW w:w="295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Catégories</w:t>
            </w:r>
          </w:p>
        </w:tc>
        <w:tc>
          <w:tcPr>
            <w:tcW w:w="1322"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 xml:space="preserve">Femmes </w:t>
            </w:r>
          </w:p>
        </w:tc>
        <w:tc>
          <w:tcPr>
            <w:tcW w:w="1322"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Hommes</w:t>
            </w:r>
          </w:p>
        </w:tc>
        <w:tc>
          <w:tcPr>
            <w:tcW w:w="1322"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Total</w:t>
            </w:r>
          </w:p>
        </w:tc>
        <w:tc>
          <w:tcPr>
            <w:tcW w:w="1322" w:type="dxa"/>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pacing w:before="0" w:after="0"/>
              <w:jc w:val="center"/>
              <w:rPr>
                <w:b/>
                <w:b/>
              </w:rPr>
            </w:pPr>
            <w:r>
              <w:rPr>
                <w:b/>
              </w:rPr>
              <w:t>Moyenne</w:t>
            </w:r>
          </w:p>
        </w:tc>
        <w:tc>
          <w:tcPr>
            <w:tcW w:w="13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103" w:type="dxa"/>
            </w:tcMar>
          </w:tcPr>
          <w:p>
            <w:pPr>
              <w:pStyle w:val="Normal"/>
              <w:spacing w:before="0" w:after="0"/>
              <w:jc w:val="center"/>
              <w:rPr>
                <w:b/>
                <w:b/>
              </w:rPr>
            </w:pPr>
            <w:r>
              <w:rPr>
                <w:b/>
              </w:rPr>
              <w:t>Écarts</w:t>
            </w:r>
          </w:p>
        </w:tc>
      </w:tr>
      <w:tr>
        <w:trPr>
          <w:trHeight w:val="567" w:hRule="atLeast"/>
        </w:trPr>
        <w:tc>
          <w:tcPr>
            <w:tcW w:w="295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ETAM</w:t>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center"/>
              <w:rPr>
                <w:b/>
                <w:b/>
              </w:rPr>
            </w:pPr>
            <w:r>
              <w:rPr>
                <w:b/>
              </w:rPr>
            </w:r>
          </w:p>
        </w:tc>
      </w:tr>
      <w:tr>
        <w:trPr>
          <w:trHeight w:val="567" w:hRule="atLeast"/>
        </w:trPr>
        <w:tc>
          <w:tcPr>
            <w:tcW w:w="295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Représentation ETAM %</w:t>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95B3D7" w:val="clear"/>
            <w:tcMar>
              <w:left w:w="103" w:type="dxa"/>
            </w:tcMar>
            <w:vAlign w:val="center"/>
          </w:tcPr>
          <w:p>
            <w:pPr>
              <w:pStyle w:val="Normal"/>
              <w:snapToGrid w:val="false"/>
              <w:spacing w:before="0" w:after="0"/>
              <w:jc w:val="center"/>
              <w:rPr>
                <w:b/>
                <w:b/>
              </w:rPr>
            </w:pPr>
            <w:r>
              <w:rPr>
                <w:b/>
              </w:rPr>
            </w:r>
          </w:p>
        </w:tc>
        <w:tc>
          <w:tcPr>
            <w:tcW w:w="13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center"/>
              <w:rPr>
                <w:b/>
                <w:b/>
              </w:rPr>
            </w:pPr>
            <w:r>
              <w:rPr>
                <w:b/>
              </w:rPr>
            </w:r>
          </w:p>
        </w:tc>
      </w:tr>
      <w:tr>
        <w:trPr>
          <w:trHeight w:val="567" w:hRule="atLeast"/>
        </w:trPr>
        <w:tc>
          <w:tcPr>
            <w:tcW w:w="295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CADRES</w:t>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center"/>
              <w:rPr>
                <w:b/>
                <w:b/>
              </w:rPr>
            </w:pPr>
            <w:r>
              <w:rPr>
                <w:b/>
              </w:rPr>
            </w:r>
          </w:p>
        </w:tc>
      </w:tr>
      <w:tr>
        <w:trPr>
          <w:trHeight w:val="567" w:hRule="atLeast"/>
        </w:trPr>
        <w:tc>
          <w:tcPr>
            <w:tcW w:w="295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Représentation CADRES %</w:t>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95B3D7" w:val="clear"/>
            <w:tcMar>
              <w:left w:w="103" w:type="dxa"/>
            </w:tcMar>
            <w:vAlign w:val="center"/>
          </w:tcPr>
          <w:p>
            <w:pPr>
              <w:pStyle w:val="Normal"/>
              <w:snapToGrid w:val="false"/>
              <w:spacing w:before="0" w:after="0"/>
              <w:jc w:val="center"/>
              <w:rPr>
                <w:b/>
                <w:b/>
              </w:rPr>
            </w:pPr>
            <w:r>
              <w:rPr>
                <w:b/>
              </w:rPr>
            </w:r>
          </w:p>
        </w:tc>
        <w:tc>
          <w:tcPr>
            <w:tcW w:w="13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center"/>
              <w:rPr>
                <w:b/>
                <w:b/>
              </w:rPr>
            </w:pPr>
            <w:r>
              <w:rPr>
                <w:b/>
              </w:rPr>
            </w:r>
          </w:p>
        </w:tc>
      </w:tr>
      <w:tr>
        <w:trPr>
          <w:trHeight w:val="567" w:hRule="atLeast"/>
        </w:trPr>
        <w:tc>
          <w:tcPr>
            <w:tcW w:w="295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TOTAL ETAM+CADRES</w:t>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center"/>
              <w:rPr>
                <w:b/>
                <w:b/>
              </w:rPr>
            </w:pPr>
            <w:r>
              <w:rPr>
                <w:b/>
              </w:rPr>
            </w:r>
          </w:p>
        </w:tc>
      </w:tr>
      <w:tr>
        <w:trPr>
          <w:trHeight w:val="567" w:hRule="atLeast"/>
        </w:trPr>
        <w:tc>
          <w:tcPr>
            <w:tcW w:w="2959"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rPr>
                <w:b/>
                <w:b/>
              </w:rPr>
            </w:pPr>
            <w:r>
              <w:rPr>
                <w:b/>
              </w:rPr>
              <w:t>Représentation en %</w:t>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22" w:type="dxa"/>
            <w:tcBorders>
              <w:top w:val="single" w:sz="4" w:space="0" w:color="000000"/>
              <w:left w:val="single" w:sz="4" w:space="0" w:color="000000"/>
              <w:bottom w:val="single" w:sz="4" w:space="0" w:color="000000"/>
              <w:insideH w:val="single" w:sz="4" w:space="0" w:color="000000"/>
            </w:tcBorders>
            <w:shd w:fill="95B3D7" w:val="clear"/>
            <w:tcMar>
              <w:left w:w="103" w:type="dxa"/>
            </w:tcMar>
            <w:vAlign w:val="center"/>
          </w:tcPr>
          <w:p>
            <w:pPr>
              <w:pStyle w:val="Normal"/>
              <w:snapToGrid w:val="false"/>
              <w:spacing w:before="0" w:after="0"/>
              <w:jc w:val="center"/>
              <w:rPr>
                <w:b/>
                <w:b/>
              </w:rPr>
            </w:pPr>
            <w:r>
              <w:rPr>
                <w:b/>
              </w:rPr>
            </w:r>
          </w:p>
        </w:tc>
        <w:tc>
          <w:tcPr>
            <w:tcW w:w="13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center"/>
              <w:rPr>
                <w:b/>
                <w:b/>
              </w:rPr>
            </w:pPr>
            <w:r>
              <w:rPr>
                <w:b/>
              </w:rPr>
            </w:r>
          </w:p>
        </w:tc>
      </w:tr>
    </w:tbl>
    <w:p>
      <w:pPr>
        <w:pStyle w:val="Normal"/>
        <w:spacing w:before="0" w:after="0"/>
        <w:jc w:val="both"/>
        <w:rPr>
          <w:bCs/>
        </w:rPr>
      </w:pPr>
      <w:r>
        <w:rPr>
          <w:bCs/>
        </w:rPr>
      </w:r>
    </w:p>
    <w:p>
      <w:pPr>
        <w:pStyle w:val="Normal"/>
        <w:spacing w:before="0" w:after="0"/>
        <w:jc w:val="both"/>
        <w:rPr>
          <w:b/>
          <w:b/>
          <w:u w:val="single"/>
        </w:rPr>
      </w:pPr>
      <w:r>
        <w:rPr>
          <w:b/>
          <w:u w:val="single"/>
        </w:rPr>
        <w:t>Afin d’assurer la mixité des emplois, TECHNIFRANCE, s’engage à donner les mêmes possibilités d’embauche et ce par le maintien de ces différentes pratiques</w:t>
      </w:r>
    </w:p>
    <w:p>
      <w:pPr>
        <w:pStyle w:val="Normal"/>
        <w:spacing w:before="0" w:after="0"/>
        <w:jc w:val="both"/>
        <w:rPr>
          <w:b/>
          <w:b/>
          <w:u w:val="single"/>
        </w:rPr>
      </w:pPr>
      <w:r>
        <w:rPr>
          <w:b/>
          <w:u w:val="single"/>
        </w:rPr>
      </w:r>
    </w:p>
    <w:p>
      <w:pPr>
        <w:pStyle w:val="Normal"/>
        <w:numPr>
          <w:ilvl w:val="0"/>
          <w:numId w:val="2"/>
        </w:numPr>
        <w:jc w:val="both"/>
        <w:rPr>
          <w:b/>
          <w:b/>
          <w:u w:val="single"/>
        </w:rPr>
      </w:pPr>
      <w:r>
        <w:rPr>
          <w:b/>
          <w:u w:val="single"/>
        </w:rPr>
        <w:t>L’offre d’emploi</w:t>
      </w:r>
    </w:p>
    <w:p>
      <w:pPr>
        <w:pStyle w:val="Paragraphedeliste"/>
        <w:ind w:left="0" w:hanging="0"/>
        <w:jc w:val="both"/>
        <w:rPr/>
      </w:pPr>
      <w:r>
        <w:rPr/>
        <w:t>L’offre d’emploi TECHNIFRANCE est conforme à la loi, elle respecte et protège les droits du candidat à l’embauche et exclut toute discrimination possible (sexe, origine, mœurs orientation sexuelle, âge, situation de famille, grossesse, apparence physique…).</w:t>
      </w:r>
    </w:p>
    <w:p>
      <w:pPr>
        <w:pStyle w:val="Paragraphedeliste"/>
        <w:ind w:left="0" w:hanging="0"/>
        <w:jc w:val="both"/>
        <w:rPr/>
      </w:pPr>
      <w:r>
        <w:rPr/>
        <w:t>Les annonceurs que nous utilisons pour la parution d’annonces, tels que Pole Emploi ou APEC, vérifient les offres d’emploi déposées afin quelles soient conformes, en tout point, au principe de non-discrimination.</w:t>
      </w:r>
    </w:p>
    <w:p>
      <w:pPr>
        <w:pStyle w:val="Normal"/>
        <w:numPr>
          <w:ilvl w:val="0"/>
          <w:numId w:val="2"/>
        </w:numPr>
        <w:jc w:val="both"/>
        <w:rPr>
          <w:b/>
          <w:b/>
          <w:u w:val="single"/>
        </w:rPr>
      </w:pPr>
      <w:r>
        <w:rPr>
          <w:b/>
          <w:u w:val="single"/>
        </w:rPr>
        <w:t>Le recrutement</w:t>
      </w:r>
    </w:p>
    <w:p>
      <w:pPr>
        <w:pStyle w:val="Paragraphedeliste"/>
        <w:ind w:left="0" w:hanging="0"/>
        <w:jc w:val="both"/>
        <w:rPr/>
      </w:pPr>
      <w:r>
        <w:rPr/>
        <w:t>TECHNIFRANCE fonde ses recrutements sur les seules compétences, expériences professionnelles, formation et qualifications des candidats.</w:t>
      </w:r>
    </w:p>
    <w:p>
      <w:pPr>
        <w:pStyle w:val="Paragraphedeliste"/>
        <w:spacing w:before="0" w:after="200"/>
        <w:ind w:left="0" w:hanging="0"/>
        <w:jc w:val="both"/>
        <w:rPr/>
      </w:pPr>
      <w:r>
        <w:rPr/>
        <w:t>Les processus de recrutement sont identiques et appliqués de la même manière que les candidats soient des femmes ou des hommes.</w:t>
      </w:r>
    </w:p>
    <w:p>
      <w:pPr>
        <w:pStyle w:val="Paragraphedeliste"/>
        <w:numPr>
          <w:ilvl w:val="0"/>
          <w:numId w:val="2"/>
        </w:numPr>
        <w:spacing w:before="240" w:after="200"/>
        <w:ind w:left="714" w:hanging="357"/>
        <w:jc w:val="both"/>
        <w:rPr>
          <w:b/>
          <w:b/>
          <w:u w:val="single"/>
        </w:rPr>
      </w:pPr>
      <w:r>
        <w:rPr>
          <w:b/>
          <w:u w:val="single"/>
        </w:rPr>
        <w:t>La conduite de l’entretien</w:t>
      </w:r>
    </w:p>
    <w:p>
      <w:pPr>
        <w:pStyle w:val="Paragraphedeliste"/>
        <w:spacing w:before="0" w:after="0"/>
        <w:ind w:left="0" w:hanging="0"/>
        <w:contextualSpacing/>
        <w:jc w:val="both"/>
        <w:rPr/>
      </w:pPr>
      <w:r>
        <w:rPr/>
        <w:t>Lors de ses entretiens de recrutement, conformément à la loi, TECHNIFRANCE s’abstient de questionner le ou la candidat(e) sur sa vie privée, un projet de maternité, ses charges familiales, les questions posées lors de l’entretien sont uniquement en lien avec le poste proposé.</w:t>
      </w:r>
    </w:p>
    <w:p>
      <w:pPr>
        <w:pStyle w:val="Paragraphedeliste"/>
        <w:spacing w:before="0" w:after="0"/>
        <w:ind w:left="0" w:hanging="0"/>
        <w:contextualSpacing/>
        <w:jc w:val="both"/>
        <w:rPr/>
      </w:pPr>
      <w:r>
        <w:rPr/>
        <w:t>Des critères de recrutement objectifs et fondés sur les compétences requises sont repris dans le guide d’entretien et d’évaluation (CV, référentiel de compétences, tests de mise en situation…).</w:t>
      </w:r>
    </w:p>
    <w:p>
      <w:pPr>
        <w:pStyle w:val="Paragraphedeliste"/>
        <w:ind w:left="360" w:hanging="0"/>
        <w:jc w:val="both"/>
        <w:rPr/>
      </w:pPr>
      <w:r>
        <w:rPr/>
      </w:r>
    </w:p>
    <w:p>
      <w:pPr>
        <w:pStyle w:val="Paragraphedeliste"/>
        <w:pBdr>
          <w:top w:val="single" w:sz="4" w:space="1" w:color="000000"/>
          <w:left w:val="single" w:sz="4" w:space="4" w:color="000000"/>
          <w:bottom w:val="single" w:sz="4" w:space="1" w:color="000000"/>
          <w:right w:val="single" w:sz="4" w:space="4" w:color="000000"/>
        </w:pBdr>
        <w:ind w:left="360" w:hanging="0"/>
        <w:jc w:val="both"/>
        <w:rPr/>
      </w:pPr>
      <w:r>
        <w:rPr>
          <w:b/>
          <w:u w:val="single"/>
        </w:rPr>
        <w:t xml:space="preserve">Mesure : </w:t>
      </w:r>
      <w:r>
        <w:rPr/>
        <w:t>veiller au choix des intitulés, des contenus des offres d’emploi et de la terminologie (formuler les offres d’emploi de manière asexuée)</w:t>
      </w:r>
    </w:p>
    <w:p>
      <w:pPr>
        <w:pStyle w:val="Paragraphedeliste"/>
        <w:pBdr>
          <w:top w:val="single" w:sz="4" w:space="1" w:color="000000"/>
          <w:left w:val="single" w:sz="4" w:space="4" w:color="000000"/>
          <w:bottom w:val="single" w:sz="4" w:space="1" w:color="000000"/>
          <w:right w:val="single" w:sz="4" w:space="4" w:color="000000"/>
        </w:pBdr>
        <w:ind w:left="360" w:hanging="0"/>
        <w:jc w:val="both"/>
        <w:rPr>
          <w:b/>
          <w:b/>
        </w:rPr>
      </w:pPr>
      <w:r>
        <w:rPr>
          <w:b/>
          <w:u w:val="single"/>
        </w:rPr>
        <w:t>Indicateur :</w:t>
      </w:r>
      <w:r>
        <w:rPr>
          <w:u w:val="single"/>
        </w:rPr>
        <w:t xml:space="preserve"> </w:t>
      </w:r>
      <w:r>
        <w:rPr/>
        <w:t>nombre d’offres d’emploi analysées et validées</w:t>
      </w:r>
    </w:p>
    <w:p>
      <w:pPr>
        <w:pStyle w:val="Paragraphedeliste"/>
        <w:pBdr>
          <w:top w:val="single" w:sz="4" w:space="1" w:color="000000"/>
          <w:left w:val="single" w:sz="4" w:space="4" w:color="000000"/>
          <w:bottom w:val="single" w:sz="4" w:space="1" w:color="000000"/>
          <w:right w:val="single" w:sz="4" w:space="4" w:color="000000"/>
        </w:pBdr>
        <w:ind w:left="360" w:hanging="0"/>
        <w:jc w:val="both"/>
        <w:rPr/>
      </w:pPr>
      <w:r>
        <w:rPr>
          <w:b/>
          <w:u w:val="single"/>
        </w:rPr>
        <w:t>Objectif de progression :</w:t>
      </w:r>
      <w:r>
        <w:rPr>
          <w:u w:val="single"/>
        </w:rPr>
        <w:t xml:space="preserve"> </w:t>
      </w:r>
      <w:r>
        <w:rPr/>
        <w:t>TECHNIFRANCE continuera à veiller à ce que sur l’ensemble des offres d’emploi, 100 % ne mentionnent pas de critères liés au sexe. NCD = 0</w:t>
      </w:r>
    </w:p>
    <w:p>
      <w:pPr>
        <w:pStyle w:val="Paragraphedeliste"/>
        <w:spacing w:before="0" w:after="0"/>
        <w:ind w:left="0" w:hanging="0"/>
        <w:contextualSpacing/>
        <w:jc w:val="both"/>
        <w:rPr/>
      </w:pPr>
      <w:r>
        <w:rPr/>
      </w:r>
      <w:r>
        <w:br w:type="page"/>
      </w:r>
    </w:p>
    <w:p>
      <w:pPr>
        <w:pStyle w:val="Paragraphedeliste"/>
        <w:spacing w:before="0" w:after="0"/>
        <w:ind w:left="0" w:hanging="0"/>
        <w:contextualSpacing/>
        <w:jc w:val="both"/>
        <w:rPr/>
      </w:pPr>
      <w:r>
        <w:rPr/>
      </w:r>
    </w:p>
    <w:p>
      <w:pPr>
        <w:pStyle w:val="Normal"/>
        <w:spacing w:before="0" w:after="120"/>
        <w:jc w:val="both"/>
        <w:rPr>
          <w:b/>
          <w:b/>
          <w:caps/>
          <w:u w:val="single"/>
        </w:rPr>
      </w:pPr>
      <w:r>
        <w:rPr>
          <w:b/>
          <w:caps/>
          <w:u w:val="single"/>
        </w:rPr>
        <w:t xml:space="preserve">Article 4 – LA PROMOTION PROFESSIONNELLE </w:t>
      </w:r>
    </w:p>
    <w:p>
      <w:pPr>
        <w:pStyle w:val="Normal"/>
        <w:spacing w:before="0" w:after="120"/>
        <w:jc w:val="both"/>
        <w:rPr/>
      </w:pPr>
      <w:r>
        <w:rPr/>
        <w:t xml:space="preserve">Concernant la promotion professionnelle, l’égalité de traitement devra être assurée en matière de déroulement de carrière. Les femmes et les hommes ne devront subir aucun retard dans leur carrière professionnelle du fait de congés maternité, paternité, d’adoption ou parentaux. </w:t>
      </w:r>
    </w:p>
    <w:p>
      <w:pPr>
        <w:pStyle w:val="Normal"/>
        <w:spacing w:before="0" w:after="0"/>
        <w:jc w:val="both"/>
        <w:rPr/>
      </w:pPr>
      <w:r>
        <w:rPr/>
        <w:t>Les femmes et les hommes doivent avoir accès à tous les emplois liés à leurs compétences et expériences, quel qu’en soit leur niveau de responsabilités y compris les plus élevés.</w:t>
      </w:r>
    </w:p>
    <w:p>
      <w:pPr>
        <w:pStyle w:val="Normal"/>
        <w:spacing w:before="0" w:after="0"/>
        <w:jc w:val="both"/>
        <w:rPr>
          <w:b/>
          <w:b/>
          <w:u w:val="single"/>
        </w:rPr>
      </w:pPr>
      <w:r>
        <w:rPr>
          <w:b/>
          <w:u w:val="single"/>
        </w:rPr>
      </w:r>
    </w:p>
    <w:p>
      <w:pPr>
        <w:pStyle w:val="Normal"/>
        <w:spacing w:before="0" w:after="0"/>
        <w:jc w:val="both"/>
        <w:rPr>
          <w:b/>
          <w:b/>
          <w:u w:val="single"/>
        </w:rPr>
      </w:pPr>
      <w:r>
        <w:rPr>
          <w:b/>
          <w:u w:val="single"/>
        </w:rPr>
        <w:t xml:space="preserve">Action : </w:t>
      </w:r>
    </w:p>
    <w:p>
      <w:pPr>
        <w:pStyle w:val="Normal"/>
        <w:spacing w:before="0" w:after="0"/>
        <w:jc w:val="both"/>
        <w:rPr/>
      </w:pPr>
      <w:r>
        <w:rPr>
          <w:bCs/>
        </w:rPr>
        <w:t xml:space="preserve">Nous suivrons l’évolution de carrière des hommes et des femmes, de façon annuelle avec le tableau suivant </w:t>
      </w:r>
    </w:p>
    <w:p>
      <w:pPr>
        <w:pStyle w:val="Normal"/>
        <w:spacing w:before="0" w:after="0"/>
        <w:jc w:val="both"/>
        <w:rPr/>
      </w:pPr>
      <w:r>
        <w:rPr/>
        <w:t>On entend par « évolution » : la revalorisation des salaires ainsi que les promotions professionnelles.</w:t>
      </w:r>
    </w:p>
    <w:p>
      <w:pPr>
        <w:pStyle w:val="Normal"/>
        <w:spacing w:before="0" w:after="0"/>
        <w:jc w:val="both"/>
        <w:rPr>
          <w:b/>
          <w:b/>
          <w:u w:val="single"/>
        </w:rPr>
      </w:pPr>
      <w:r>
        <w:rPr>
          <w:b/>
          <w:u w:val="single"/>
        </w:rPr>
      </w:r>
    </w:p>
    <w:p>
      <w:pPr>
        <w:pStyle w:val="Normal"/>
        <w:spacing w:before="0" w:after="0"/>
        <w:jc w:val="both"/>
        <w:rPr/>
      </w:pPr>
      <w:r>
        <w:rPr/>
      </w:r>
      <w:r>
        <mc:AlternateContent>
          <mc:Choice Requires="wps">
            <w:drawing>
              <wp:anchor behindDoc="0" distT="0" distB="0" distL="89535" distR="89535" simplePos="0" locked="0" layoutInCell="1" allowOverlap="1" relativeHeight="2">
                <wp:simplePos x="0" y="0"/>
                <wp:positionH relativeFrom="column">
                  <wp:align>center</wp:align>
                </wp:positionH>
                <wp:positionV relativeFrom="paragraph">
                  <wp:posOffset>635</wp:posOffset>
                </wp:positionV>
                <wp:extent cx="6530975" cy="2972435"/>
                <wp:effectExtent l="0" t="0" r="0" b="0"/>
                <wp:wrapSquare wrapText="bothSides"/>
                <wp:docPr id="2" name="Frame1"/>
                <a:graphic xmlns:a="http://schemas.openxmlformats.org/drawingml/2006/main">
                  <a:graphicData uri="http://schemas.microsoft.com/office/word/2010/wordprocessingShape">
                    <wps:wsp>
                      <wps:cNvSpPr txBox="1"/>
                      <wps:spPr>
                        <a:xfrm>
                          <a:off x="0" y="0"/>
                          <a:ext cx="6530975" cy="2972435"/>
                        </a:xfrm>
                        <a:prstGeom prst="rect"/>
                        <a:solidFill>
                          <a:srgbClr val="FFFFFF">
                            <a:alpha val="0"/>
                          </a:srgbClr>
                        </a:solidFill>
                      </wps:spPr>
                      <wps:txbx>
                        <w:txbxContent>
                          <w:tbl>
                            <w:tblPr>
                              <w:tblW w:w="10285"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763"/>
                              <w:gridCol w:w="921"/>
                              <w:gridCol w:w="920"/>
                              <w:gridCol w:w="923"/>
                              <w:gridCol w:w="992"/>
                              <w:gridCol w:w="993"/>
                              <w:gridCol w:w="920"/>
                              <w:gridCol w:w="922"/>
                              <w:gridCol w:w="931"/>
                            </w:tblGrid>
                            <w:tr>
                              <w:trPr>
                                <w:trHeight w:val="702" w:hRule="atLeast"/>
                              </w:trPr>
                              <w:tc>
                                <w:tcPr>
                                  <w:tcW w:w="2763" w:type="dxa"/>
                                  <w:vMerge w:val="restart"/>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Catégories</w:t>
                                  </w:r>
                                </w:p>
                              </w:tc>
                              <w:tc>
                                <w:tcPr>
                                  <w:tcW w:w="1841" w:type="dxa"/>
                                  <w:gridSpan w:val="2"/>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Effectif</w:t>
                                  </w:r>
                                </w:p>
                              </w:tc>
                              <w:tc>
                                <w:tcPr>
                                  <w:tcW w:w="1915" w:type="dxa"/>
                                  <w:gridSpan w:val="2"/>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pPr>
                                  <w:r>
                                    <w:rPr>
                                      <w:rFonts w:eastAsia="Times New Roman" w:cs="Calibri"/>
                                      <w:b/>
                                      <w:bCs/>
                                      <w:sz w:val="20"/>
                                      <w:szCs w:val="20"/>
                                      <w:lang w:eastAsia="fr-FR"/>
                                    </w:rPr>
                                    <w:t xml:space="preserve">Ancienneté moyenne </w:t>
                                  </w:r>
                                </w:p>
                              </w:tc>
                              <w:tc>
                                <w:tcPr>
                                  <w:tcW w:w="1913" w:type="dxa"/>
                                  <w:gridSpan w:val="2"/>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 Revalorisation salariale »</w:t>
                                  </w:r>
                                </w:p>
                              </w:tc>
                              <w:tc>
                                <w:tcPr>
                                  <w:tcW w:w="1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65" w:type="dxa"/>
                                  </w:tcMar>
                                  <w:vAlign w:val="center"/>
                                </w:tcPr>
                                <w:p>
                                  <w:pPr>
                                    <w:pStyle w:val="Normal"/>
                                    <w:spacing w:lineRule="auto" w:line="240" w:before="0" w:after="0"/>
                                    <w:jc w:val="center"/>
                                    <w:rPr/>
                                  </w:pPr>
                                  <w:r>
                                    <w:rPr>
                                      <w:rFonts w:eastAsia="Times New Roman" w:cs="Calibri"/>
                                      <w:b/>
                                      <w:bCs/>
                                      <w:sz w:val="20"/>
                                      <w:szCs w:val="20"/>
                                      <w:lang w:eastAsia="fr-FR"/>
                                    </w:rPr>
                                    <w:t>« Promotion professionnelle »</w:t>
                                  </w:r>
                                </w:p>
                              </w:tc>
                            </w:tr>
                            <w:tr>
                              <w:trPr>
                                <w:trHeight w:val="567" w:hRule="atLeast"/>
                              </w:trPr>
                              <w:tc>
                                <w:tcPr>
                                  <w:tcW w:w="2763" w:type="dxa"/>
                                  <w:vMerge w:val="continue"/>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napToGrid w:val="false"/>
                                    <w:spacing w:lineRule="auto" w:line="240" w:before="0" w:after="0"/>
                                    <w:jc w:val="center"/>
                                    <w:rPr>
                                      <w:rFonts w:ascii="Times New Roman" w:hAnsi="Times New Roman" w:eastAsia="Times New Roman" w:cs="Calibri"/>
                                      <w:b/>
                                      <w:b/>
                                      <w:bCs/>
                                      <w:sz w:val="20"/>
                                      <w:szCs w:val="20"/>
                                      <w:lang w:eastAsia="fr-FR"/>
                                    </w:rPr>
                                  </w:pPr>
                                  <w:r>
                                    <w:rPr>
                                      <w:rFonts w:eastAsia="Times New Roman" w:cs="Calibri" w:ascii="Times New Roman" w:hAnsi="Times New Roman"/>
                                      <w:b/>
                                      <w:bCs/>
                                      <w:sz w:val="20"/>
                                      <w:szCs w:val="20"/>
                                      <w:lang w:eastAsia="fr-FR"/>
                                    </w:rPr>
                                  </w:r>
                                </w:p>
                              </w:tc>
                              <w:tc>
                                <w:tcPr>
                                  <w:tcW w:w="921"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Femmes</w:t>
                                  </w:r>
                                </w:p>
                              </w:tc>
                              <w:tc>
                                <w:tcPr>
                                  <w:tcW w:w="920"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Hommes</w:t>
                                  </w:r>
                                </w:p>
                              </w:tc>
                              <w:tc>
                                <w:tcPr>
                                  <w:tcW w:w="92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Femmes</w:t>
                                  </w:r>
                                </w:p>
                              </w:tc>
                              <w:tc>
                                <w:tcPr>
                                  <w:tcW w:w="992"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Hommes</w:t>
                                  </w:r>
                                </w:p>
                              </w:tc>
                              <w:tc>
                                <w:tcPr>
                                  <w:tcW w:w="99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Femmes</w:t>
                                  </w:r>
                                </w:p>
                              </w:tc>
                              <w:tc>
                                <w:tcPr>
                                  <w:tcW w:w="920"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Hommes</w:t>
                                  </w:r>
                                </w:p>
                              </w:tc>
                              <w:tc>
                                <w:tcPr>
                                  <w:tcW w:w="922"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Femmes</w:t>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Hommes</w:t>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ETAM</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Représentation ETAM %</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CADRES</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Représentation CADRES %</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TOTAL ETAM+CADRES</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Représentation en %</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bl>
                        </w:txbxContent>
                      </wps:txbx>
                      <wps:bodyPr anchor="t">
                        <a:noAutofit/>
                      </wps:bodyPr>
                    </wps:wsp>
                  </a:graphicData>
                </a:graphic>
              </wp:anchor>
            </w:drawing>
          </mc:Choice>
          <mc:Fallback>
            <w:pict>
              <v:rect fillcolor="#FFFFFF" style="position:absolute;rotation:0;width:514.25pt;height:234.05pt;mso-wrap-distance-left:7.05pt;mso-wrap-distance-right:7.05pt;margin-top:0.05pt;mso-position-vertical-relative:text;margin-left:4.55pt;mso-position-horizontal:center;mso-position-horizontal-relative:text">
                <v:fill opacity="0f"/>
                <v:textbox>
                  <w:txbxContent>
                    <w:tbl>
                      <w:tblPr>
                        <w:tblW w:w="10285"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2763"/>
                        <w:gridCol w:w="921"/>
                        <w:gridCol w:w="920"/>
                        <w:gridCol w:w="923"/>
                        <w:gridCol w:w="992"/>
                        <w:gridCol w:w="993"/>
                        <w:gridCol w:w="920"/>
                        <w:gridCol w:w="922"/>
                        <w:gridCol w:w="931"/>
                      </w:tblGrid>
                      <w:tr>
                        <w:trPr>
                          <w:trHeight w:val="702" w:hRule="atLeast"/>
                        </w:trPr>
                        <w:tc>
                          <w:tcPr>
                            <w:tcW w:w="2763" w:type="dxa"/>
                            <w:vMerge w:val="restart"/>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Catégories</w:t>
                            </w:r>
                          </w:p>
                        </w:tc>
                        <w:tc>
                          <w:tcPr>
                            <w:tcW w:w="1841" w:type="dxa"/>
                            <w:gridSpan w:val="2"/>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Effectif</w:t>
                            </w:r>
                          </w:p>
                        </w:tc>
                        <w:tc>
                          <w:tcPr>
                            <w:tcW w:w="1915" w:type="dxa"/>
                            <w:gridSpan w:val="2"/>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pPr>
                            <w:r>
                              <w:rPr>
                                <w:rFonts w:eastAsia="Times New Roman" w:cs="Calibri"/>
                                <w:b/>
                                <w:bCs/>
                                <w:sz w:val="20"/>
                                <w:szCs w:val="20"/>
                                <w:lang w:eastAsia="fr-FR"/>
                              </w:rPr>
                              <w:t xml:space="preserve">Ancienneté moyenne </w:t>
                            </w:r>
                          </w:p>
                        </w:tc>
                        <w:tc>
                          <w:tcPr>
                            <w:tcW w:w="1913" w:type="dxa"/>
                            <w:gridSpan w:val="2"/>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 Revalorisation salariale »</w:t>
                            </w:r>
                          </w:p>
                        </w:tc>
                        <w:tc>
                          <w:tcPr>
                            <w:tcW w:w="185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65" w:type="dxa"/>
                            </w:tcMar>
                            <w:vAlign w:val="center"/>
                          </w:tcPr>
                          <w:p>
                            <w:pPr>
                              <w:pStyle w:val="Normal"/>
                              <w:spacing w:lineRule="auto" w:line="240" w:before="0" w:after="0"/>
                              <w:jc w:val="center"/>
                              <w:rPr/>
                            </w:pPr>
                            <w:r>
                              <w:rPr>
                                <w:rFonts w:eastAsia="Times New Roman" w:cs="Calibri"/>
                                <w:b/>
                                <w:bCs/>
                                <w:sz w:val="20"/>
                                <w:szCs w:val="20"/>
                                <w:lang w:eastAsia="fr-FR"/>
                              </w:rPr>
                              <w:t>« Promotion professionnelle »</w:t>
                            </w:r>
                          </w:p>
                        </w:tc>
                      </w:tr>
                      <w:tr>
                        <w:trPr>
                          <w:trHeight w:val="567" w:hRule="atLeast"/>
                        </w:trPr>
                        <w:tc>
                          <w:tcPr>
                            <w:tcW w:w="2763" w:type="dxa"/>
                            <w:vMerge w:val="continue"/>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napToGrid w:val="false"/>
                              <w:spacing w:lineRule="auto" w:line="240" w:before="0" w:after="0"/>
                              <w:jc w:val="center"/>
                              <w:rPr>
                                <w:rFonts w:ascii="Times New Roman" w:hAnsi="Times New Roman" w:eastAsia="Times New Roman" w:cs="Calibri"/>
                                <w:b/>
                                <w:b/>
                                <w:bCs/>
                                <w:sz w:val="20"/>
                                <w:szCs w:val="20"/>
                                <w:lang w:eastAsia="fr-FR"/>
                              </w:rPr>
                            </w:pPr>
                            <w:r>
                              <w:rPr>
                                <w:rFonts w:eastAsia="Times New Roman" w:cs="Calibri" w:ascii="Times New Roman" w:hAnsi="Times New Roman"/>
                                <w:b/>
                                <w:bCs/>
                                <w:sz w:val="20"/>
                                <w:szCs w:val="20"/>
                                <w:lang w:eastAsia="fr-FR"/>
                              </w:rPr>
                            </w:r>
                          </w:p>
                        </w:tc>
                        <w:tc>
                          <w:tcPr>
                            <w:tcW w:w="921"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Femmes</w:t>
                            </w:r>
                          </w:p>
                        </w:tc>
                        <w:tc>
                          <w:tcPr>
                            <w:tcW w:w="920"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Hommes</w:t>
                            </w:r>
                          </w:p>
                        </w:tc>
                        <w:tc>
                          <w:tcPr>
                            <w:tcW w:w="92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Femmes</w:t>
                            </w:r>
                          </w:p>
                        </w:tc>
                        <w:tc>
                          <w:tcPr>
                            <w:tcW w:w="992"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Hommes</w:t>
                            </w:r>
                          </w:p>
                        </w:tc>
                        <w:tc>
                          <w:tcPr>
                            <w:tcW w:w="99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Femmes</w:t>
                            </w:r>
                          </w:p>
                        </w:tc>
                        <w:tc>
                          <w:tcPr>
                            <w:tcW w:w="920"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Hommes</w:t>
                            </w:r>
                          </w:p>
                        </w:tc>
                        <w:tc>
                          <w:tcPr>
                            <w:tcW w:w="922"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Femmes</w:t>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t>Hommes</w:t>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ETAM</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Représentation ETAM %</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CADRES</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Représentation CADRES %</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TOTAL ETAM+CADRES</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r>
                        <w:trPr>
                          <w:trHeight w:val="567" w:hRule="atLeast"/>
                        </w:trPr>
                        <w:tc>
                          <w:tcPr>
                            <w:tcW w:w="2763" w:type="dxa"/>
                            <w:tcBorders>
                              <w:top w:val="single" w:sz="4" w:space="0" w:color="000000"/>
                              <w:left w:val="single" w:sz="4" w:space="0" w:color="000000"/>
                              <w:bottom w:val="single" w:sz="4" w:space="0" w:color="000000"/>
                              <w:insideH w:val="single" w:sz="4" w:space="0" w:color="000000"/>
                            </w:tcBorders>
                            <w:shd w:fill="8EAADB" w:val="clear"/>
                            <w:tcMar>
                              <w:left w:w="65" w:type="dxa"/>
                            </w:tcMar>
                            <w:vAlign w:val="center"/>
                          </w:tcPr>
                          <w:p>
                            <w:pPr>
                              <w:pStyle w:val="Normal"/>
                              <w:spacing w:lineRule="auto" w:line="240" w:before="0" w:after="0"/>
                              <w:jc w:val="center"/>
                              <w:rPr>
                                <w:rFonts w:eastAsia="Times New Roman" w:cs="Calibri"/>
                                <w:b/>
                                <w:b/>
                                <w:bCs/>
                                <w:sz w:val="20"/>
                                <w:szCs w:val="20"/>
                                <w:lang w:eastAsia="fr-FR"/>
                              </w:rPr>
                            </w:pPr>
                            <w:r>
                              <w:rPr>
                                <w:b/>
                              </w:rPr>
                              <w:t>Représentation en %</w:t>
                            </w:r>
                          </w:p>
                        </w:tc>
                        <w:tc>
                          <w:tcPr>
                            <w:tcW w:w="921"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3"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2" w:type="dxa"/>
                            <w:tcBorders>
                              <w:top w:val="single" w:sz="4" w:space="0" w:color="000000"/>
                              <w:left w:val="single" w:sz="4" w:space="0" w:color="000000"/>
                              <w:bottom w:val="single" w:sz="4" w:space="0" w:color="000000"/>
                              <w:insideH w:val="single" w:sz="4" w:space="0" w:color="000000"/>
                            </w:tcBorders>
                            <w:shd w:fill="95B3D7"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2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c>
                          <w:tcPr>
                            <w:tcW w:w="9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center"/>
                          </w:tcPr>
                          <w:p>
                            <w:pPr>
                              <w:pStyle w:val="Normal"/>
                              <w:snapToGrid w:val="false"/>
                              <w:spacing w:lineRule="auto" w:line="240" w:before="0" w:after="0"/>
                              <w:jc w:val="center"/>
                              <w:rPr>
                                <w:rFonts w:eastAsia="Times New Roman" w:cs="Calibri"/>
                                <w:b/>
                                <w:b/>
                                <w:bCs/>
                                <w:sz w:val="20"/>
                                <w:szCs w:val="20"/>
                                <w:lang w:eastAsia="fr-FR"/>
                              </w:rPr>
                            </w:pPr>
                            <w:r>
                              <w:rPr>
                                <w:rFonts w:eastAsia="Times New Roman" w:cs="Calibri"/>
                                <w:b/>
                                <w:bCs/>
                                <w:sz w:val="20"/>
                                <w:szCs w:val="20"/>
                                <w:lang w:eastAsia="fr-FR"/>
                              </w:rPr>
                            </w:r>
                          </w:p>
                        </w:tc>
                      </w:tr>
                    </w:tbl>
                  </w:txbxContent>
                </v:textbox>
                <w10:wrap type="square"/>
              </v:rect>
            </w:pict>
          </mc:Fallback>
        </mc:AlternateContent>
      </w:r>
    </w:p>
    <w:p>
      <w:pPr>
        <w:pStyle w:val="Normal"/>
        <w:pBdr>
          <w:top w:val="single" w:sz="4" w:space="1" w:color="000000"/>
          <w:left w:val="single" w:sz="4" w:space="4" w:color="000000"/>
          <w:bottom w:val="single" w:sz="4" w:space="0" w:color="000000"/>
          <w:right w:val="single" w:sz="4" w:space="4" w:color="000000"/>
        </w:pBdr>
        <w:spacing w:before="0" w:after="0"/>
        <w:jc w:val="both"/>
        <w:rPr/>
      </w:pPr>
      <w:r>
        <w:rPr>
          <w:b/>
          <w:u w:val="single"/>
        </w:rPr>
        <w:t>Mesure </w:t>
      </w:r>
      <w:r>
        <w:rPr>
          <w:b/>
        </w:rPr>
        <w:t>:</w:t>
      </w:r>
      <w:r>
        <w:rPr/>
        <w:t xml:space="preserve"> lors des revues annuelles de salaire, TECHNIFRANCE s’assurera que l’équilibre femmes / hommes soit respecté dans les revalorisations salariales. Cet engagement sera validé lors des revues annuelles des salariés effectuées entre les responsables hiérarchiques et l’équipe Ressources Humaines.</w:t>
      </w:r>
    </w:p>
    <w:p>
      <w:pPr>
        <w:pStyle w:val="Normal"/>
        <w:pBdr>
          <w:top w:val="single" w:sz="4" w:space="1" w:color="000000"/>
          <w:left w:val="single" w:sz="4" w:space="4" w:color="000000"/>
          <w:bottom w:val="single" w:sz="4" w:space="0" w:color="000000"/>
          <w:right w:val="single" w:sz="4" w:space="4" w:color="000000"/>
        </w:pBdr>
        <w:spacing w:before="0" w:after="0"/>
        <w:jc w:val="both"/>
        <w:rPr/>
      </w:pPr>
      <w:r>
        <w:rPr>
          <w:b/>
          <w:u w:val="single"/>
        </w:rPr>
        <w:t>Indicateur :</w:t>
      </w:r>
      <w:r>
        <w:rPr/>
        <w:t xml:space="preserve"> « ERS » écart en % de la représentation des revalorisations salariales annuelles pour chaque sexe et chaque catégorie.</w:t>
      </w:r>
    </w:p>
    <w:p>
      <w:pPr>
        <w:pStyle w:val="Normal"/>
        <w:pBdr>
          <w:top w:val="single" w:sz="4" w:space="1" w:color="000000"/>
          <w:left w:val="single" w:sz="4" w:space="4" w:color="000000"/>
          <w:bottom w:val="single" w:sz="4" w:space="0" w:color="000000"/>
          <w:right w:val="single" w:sz="4" w:space="4" w:color="000000"/>
        </w:pBdr>
        <w:spacing w:before="0" w:after="0"/>
        <w:jc w:val="both"/>
        <w:rPr/>
      </w:pPr>
      <w:r>
        <w:rPr>
          <w:b/>
          <w:u w:val="single"/>
        </w:rPr>
        <w:t>Objectif de progression :</w:t>
      </w:r>
      <w:r>
        <w:rPr/>
        <w:t xml:space="preserve"> l’entreprise s’engage à maintenir l’équilibre des revalorisations salariales afin que les écarts n’excèdent pas le seuil des 10 % entre les deux sexes.</w:t>
      </w:r>
    </w:p>
    <w:p>
      <w:pPr>
        <w:pStyle w:val="Normal"/>
        <w:spacing w:before="0" w:after="0"/>
        <w:jc w:val="both"/>
        <w:rPr>
          <w:b/>
          <w:b/>
          <w:u w:val="single"/>
        </w:rPr>
      </w:pPr>
      <w:r>
        <w:rPr>
          <w:b/>
          <w:u w:val="single"/>
        </w:rPr>
      </w:r>
    </w:p>
    <w:p>
      <w:pPr>
        <w:pStyle w:val="Normal"/>
        <w:spacing w:before="0" w:after="0"/>
        <w:jc w:val="both"/>
        <w:rPr>
          <w:b/>
          <w:b/>
          <w:u w:val="single"/>
        </w:rPr>
      </w:pPr>
      <w:r>
        <w:rPr>
          <w:b/>
          <w:u w:val="single"/>
        </w:rPr>
        <w:t>ARTICLE 5 - DISPOSITIF FAVORABLE A L’EGALITE DE LA REMUNERATION :</w:t>
      </w:r>
    </w:p>
    <w:p>
      <w:pPr>
        <w:pStyle w:val="Normal"/>
        <w:spacing w:before="0" w:after="0"/>
        <w:jc w:val="both"/>
        <w:rPr>
          <w:b/>
          <w:b/>
          <w:u w:val="single"/>
        </w:rPr>
      </w:pPr>
      <w:r>
        <w:rPr>
          <w:b/>
          <w:u w:val="single"/>
        </w:rPr>
      </w:r>
    </w:p>
    <w:p>
      <w:pPr>
        <w:pStyle w:val="Normal"/>
        <w:spacing w:before="0" w:after="0"/>
        <w:jc w:val="both"/>
        <w:rPr/>
      </w:pPr>
      <w:r>
        <w:rPr/>
        <w:t>TECHNIFRANCE s’engage à ce que la rémunération brute et la classification appliquée aux nouveaux salarié(e)s soient les mêmes pour les hommes que pour les femmes et ne soient fondées que sur les niveaux de qualifications et expériences acquis et au niveau de responsabilités confiées aux salarié(e)s.</w:t>
      </w:r>
    </w:p>
    <w:p>
      <w:pPr>
        <w:pStyle w:val="Normal"/>
        <w:spacing w:before="0" w:after="0"/>
        <w:jc w:val="both"/>
        <w:rPr/>
      </w:pPr>
      <w:r>
        <w:rPr/>
      </w:r>
    </w:p>
    <w:p>
      <w:pPr>
        <w:pStyle w:val="Normal"/>
        <w:spacing w:before="0" w:after="0"/>
        <w:jc w:val="both"/>
        <w:rPr>
          <w:b/>
          <w:b/>
          <w:u w:val="single"/>
        </w:rPr>
      </w:pPr>
      <w:r>
        <w:rPr>
          <w:b/>
          <w:u w:val="single"/>
        </w:rPr>
        <w:t xml:space="preserve">Action : </w:t>
      </w:r>
    </w:p>
    <w:p>
      <w:pPr>
        <w:sectPr>
          <w:footerReference w:type="default" r:id="rId3"/>
          <w:type w:val="nextPage"/>
          <w:pgSz w:w="11906" w:h="16838"/>
          <w:pgMar w:left="720" w:right="720" w:header="0" w:top="720" w:footer="708" w:bottom="764" w:gutter="0"/>
          <w:pgNumType w:fmt="decimal"/>
          <w:formProt w:val="false"/>
          <w:textDirection w:val="lrTb"/>
          <w:docGrid w:type="default" w:linePitch="360" w:charSpace="0"/>
        </w:sectPr>
        <w:pStyle w:val="Normal"/>
        <w:spacing w:before="0" w:after="0"/>
        <w:jc w:val="both"/>
        <w:rPr/>
      </w:pPr>
      <w:r>
        <w:rPr>
          <w:bCs/>
        </w:rPr>
        <w:t>Nous suivrons la répartition des rémunérations brutes des hommes et des femmes dans le tableau</w:t>
      </w:r>
      <w:r>
        <w:rPr/>
        <w:t xml:space="preserve"> suivant (il est identique à celui utilisé pour la déclaration de l’index annuel).</w:t>
      </w:r>
    </w:p>
    <w:tbl>
      <w:tblPr>
        <w:tblW w:w="1562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14"/>
        <w:gridCol w:w="1389"/>
        <w:gridCol w:w="1392"/>
        <w:gridCol w:w="1394"/>
        <w:gridCol w:w="1485"/>
        <w:gridCol w:w="1402"/>
        <w:gridCol w:w="1388"/>
        <w:gridCol w:w="1391"/>
        <w:gridCol w:w="1385"/>
        <w:gridCol w:w="1386"/>
        <w:gridCol w:w="1398"/>
      </w:tblGrid>
      <w:tr>
        <w:trPr>
          <w:trHeight w:val="553" w:hRule="atLeast"/>
        </w:trPr>
        <w:tc>
          <w:tcPr>
            <w:tcW w:w="161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CSP/coefficient</w:t>
            </w:r>
          </w:p>
        </w:tc>
        <w:tc>
          <w:tcPr>
            <w:tcW w:w="1389"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Tranche âge</w:t>
            </w:r>
          </w:p>
        </w:tc>
        <w:tc>
          <w:tcPr>
            <w:tcW w:w="2786" w:type="dxa"/>
            <w:gridSpan w:val="2"/>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Rémunération brute</w:t>
            </w:r>
          </w:p>
        </w:tc>
        <w:tc>
          <w:tcPr>
            <w:tcW w:w="1485"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Ecart rémunération moyenne</w:t>
            </w:r>
          </w:p>
        </w:tc>
        <w:tc>
          <w:tcPr>
            <w:tcW w:w="1402"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Ecart après application du seuil de pertinence</w:t>
            </w:r>
          </w:p>
        </w:tc>
        <w:tc>
          <w:tcPr>
            <w:tcW w:w="2779" w:type="dxa"/>
            <w:gridSpan w:val="2"/>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Nombre de salariés</w:t>
            </w:r>
          </w:p>
        </w:tc>
        <w:tc>
          <w:tcPr>
            <w:tcW w:w="1385"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Validité du groupe</w:t>
            </w:r>
          </w:p>
        </w:tc>
        <w:tc>
          <w:tcPr>
            <w:tcW w:w="1386"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Effectifs valides</w:t>
            </w:r>
          </w:p>
        </w:tc>
        <w:tc>
          <w:tcPr>
            <w:tcW w:w="13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103" w:type="dxa"/>
            </w:tcMar>
            <w:vAlign w:val="center"/>
          </w:tcPr>
          <w:p>
            <w:pPr>
              <w:pStyle w:val="Normal"/>
              <w:spacing w:before="0" w:after="0"/>
              <w:jc w:val="both"/>
              <w:rPr>
                <w:b/>
                <w:b/>
              </w:rPr>
            </w:pPr>
            <w:r>
              <w:rPr>
                <w:b/>
              </w:rPr>
              <w:t>Ecart pondéré</w:t>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2"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Femmes</w:t>
            </w:r>
          </w:p>
        </w:tc>
        <w:tc>
          <w:tcPr>
            <w:tcW w:w="1394"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Hommes</w:t>
            </w:r>
          </w:p>
        </w:tc>
        <w:tc>
          <w:tcPr>
            <w:tcW w:w="1485"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402"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Femmes</w:t>
            </w:r>
          </w:p>
        </w:tc>
        <w:tc>
          <w:tcPr>
            <w:tcW w:w="1391"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Hommes</w:t>
            </w:r>
          </w:p>
        </w:tc>
        <w:tc>
          <w:tcPr>
            <w:tcW w:w="13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240-275-310</w:t>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&lt;30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30 à 39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40 à 49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50 ans et +</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355-400</w:t>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&lt;30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30 à 39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40 à 49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50 ans et +</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450-500</w:t>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&lt;30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30 à 39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40 à 49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50 ans et +</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95-100-105</w:t>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&lt;30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30 à 39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40 à 49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50 ans et +</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115-130</w:t>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&lt;30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30 à 39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40 à 49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50 ans et +</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150-170- et +</w:t>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&lt;30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30 à 39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40 à 49 ans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b/>
                <w:b/>
              </w:rPr>
            </w:pPr>
            <w:r>
              <w:rPr>
                <w:b/>
              </w:rPr>
            </w:r>
          </w:p>
        </w:tc>
        <w:tc>
          <w:tcPr>
            <w:tcW w:w="1389" w:type="dxa"/>
            <w:tcBorders>
              <w:top w:val="single" w:sz="4" w:space="0" w:color="000000"/>
              <w:left w:val="single" w:sz="4" w:space="0" w:color="000000"/>
              <w:bottom w:val="single" w:sz="4" w:space="0" w:color="000000"/>
              <w:insideH w:val="single" w:sz="4" w:space="0" w:color="000000"/>
            </w:tcBorders>
            <w:shd w:fill="D9E2F3" w:val="clear"/>
            <w:tcMar>
              <w:left w:w="103" w:type="dxa"/>
            </w:tcMar>
            <w:vAlign w:val="center"/>
          </w:tcPr>
          <w:p>
            <w:pPr>
              <w:pStyle w:val="Normal"/>
              <w:spacing w:before="0" w:after="0"/>
              <w:jc w:val="both"/>
              <w:rPr>
                <w:b/>
                <w:b/>
              </w:rPr>
            </w:pPr>
            <w:r>
              <w:rPr>
                <w:b/>
              </w:rPr>
              <w:t>50 ans et +</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r>
        <w:trPr/>
        <w:tc>
          <w:tcPr>
            <w:tcW w:w="3003" w:type="dxa"/>
            <w:gridSpan w:val="2"/>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Ensemble des salariés</w:t>
            </w:r>
          </w:p>
        </w:tc>
        <w:tc>
          <w:tcPr>
            <w:tcW w:w="13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3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center"/>
              <w:rPr>
                <w:b/>
                <w:b/>
              </w:rPr>
            </w:pPr>
            <w:r>
              <w:rPr>
                <w:b/>
              </w:rPr>
            </w:r>
          </w:p>
        </w:tc>
        <w:tc>
          <w:tcPr>
            <w:tcW w:w="14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40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0"/>
              <w:jc w:val="both"/>
              <w:rPr>
                <w:b/>
                <w:b/>
              </w:rPr>
            </w:pPr>
            <w:r>
              <w:rPr>
                <w:b/>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0"/>
              <w:jc w:val="both"/>
              <w:rPr>
                <w:b/>
                <w:b/>
              </w:rPr>
            </w:pPr>
            <w:r>
              <w:rPr>
                <w:b/>
              </w:rPr>
            </w:r>
          </w:p>
        </w:tc>
      </w:tr>
    </w:tbl>
    <w:p>
      <w:pPr>
        <w:pStyle w:val="Normal"/>
        <w:spacing w:before="0" w:after="0"/>
        <w:jc w:val="both"/>
        <w:rPr>
          <w:b/>
          <w:b/>
          <w:u w:val="single"/>
        </w:rPr>
      </w:pPr>
      <w:r>
        <w:rPr>
          <w:b/>
          <w:u w:val="single"/>
        </w:rPr>
      </w:r>
    </w:p>
    <w:p>
      <w:pPr>
        <w:sectPr>
          <w:footerReference w:type="default" r:id="rId4"/>
          <w:type w:val="nextPage"/>
          <w:pgSz w:orient="landscape" w:w="16838" w:h="11906"/>
          <w:pgMar w:left="720" w:right="720" w:header="0" w:top="720" w:footer="708" w:bottom="764" w:gutter="0"/>
          <w:pgNumType w:fmt="decimal"/>
          <w:formProt w:val="false"/>
          <w:textDirection w:val="lrTb"/>
          <w:docGrid w:type="default" w:linePitch="360" w:charSpace="0"/>
        </w:sectPr>
        <w:pStyle w:val="Normal"/>
        <w:spacing w:before="0" w:after="0"/>
        <w:jc w:val="both"/>
        <w:rPr>
          <w:b/>
          <w:b/>
          <w:u w:val="single"/>
        </w:rPr>
      </w:pPr>
      <w:r>
        <w:rPr>
          <w:b/>
          <w:u w:val="single"/>
        </w:rPr>
      </w:r>
    </w:p>
    <w:p>
      <w:pPr>
        <w:pStyle w:val="Normal"/>
        <w:spacing w:before="0" w:after="0"/>
        <w:jc w:val="both"/>
        <w:rPr/>
      </w:pPr>
      <w:r>
        <w:rPr/>
      </w:r>
    </w:p>
    <w:p>
      <w:pPr>
        <w:pStyle w:val="Normal"/>
        <w:pBdr>
          <w:top w:val="single" w:sz="4" w:space="1" w:color="000000"/>
          <w:left w:val="single" w:sz="4" w:space="4" w:color="000000"/>
          <w:bottom w:val="single" w:sz="4" w:space="0" w:color="000000"/>
          <w:right w:val="single" w:sz="4" w:space="4" w:color="000000"/>
        </w:pBdr>
        <w:spacing w:before="0" w:after="0"/>
        <w:jc w:val="both"/>
        <w:rPr/>
      </w:pPr>
      <w:r>
        <w:rPr>
          <w:b/>
          <w:u w:val="single"/>
        </w:rPr>
        <w:t>Mesure </w:t>
      </w:r>
      <w:r>
        <w:rPr>
          <w:b/>
        </w:rPr>
        <w:t>:</w:t>
      </w:r>
      <w:r>
        <w:rPr/>
        <w:t xml:space="preserve"> lors des revues annuelles de salaire, TECHNIFRANCE continuera à s’assurer que l’équilibre femmes / hommes soit respecté en matière de rémunération. Cet engagement sera validé lors des revues annuelles des salaires effectuées entre les responsables hiérarchiques et l’équipe Ressources Humaines.</w:t>
      </w:r>
    </w:p>
    <w:p>
      <w:pPr>
        <w:pStyle w:val="Normal"/>
        <w:pBdr>
          <w:top w:val="single" w:sz="4" w:space="1" w:color="000000"/>
          <w:left w:val="single" w:sz="4" w:space="4" w:color="000000"/>
          <w:bottom w:val="single" w:sz="4" w:space="0" w:color="000000"/>
          <w:right w:val="single" w:sz="4" w:space="4" w:color="000000"/>
        </w:pBdr>
        <w:spacing w:before="0" w:after="0"/>
        <w:jc w:val="both"/>
        <w:rPr/>
      </w:pPr>
      <w:r>
        <w:rPr>
          <w:b/>
          <w:u w:val="single"/>
        </w:rPr>
        <w:t>Indicateur :</w:t>
      </w:r>
      <w:r>
        <w:rPr/>
        <w:t xml:space="preserve"> ER, écart en % de la rémunération brute mensuelle (hors prime vacances) entre les hommes et les femmes.</w:t>
      </w:r>
    </w:p>
    <w:p>
      <w:pPr>
        <w:pStyle w:val="Normal"/>
        <w:pBdr>
          <w:top w:val="single" w:sz="4" w:space="1" w:color="000000"/>
          <w:left w:val="single" w:sz="4" w:space="4" w:color="000000"/>
          <w:bottom w:val="single" w:sz="4" w:space="0" w:color="000000"/>
          <w:right w:val="single" w:sz="4" w:space="4" w:color="000000"/>
        </w:pBdr>
        <w:spacing w:before="0" w:after="0"/>
        <w:jc w:val="both"/>
        <w:rPr/>
      </w:pPr>
      <w:r>
        <w:rPr>
          <w:b/>
          <w:u w:val="single"/>
        </w:rPr>
        <w:t>Objectif de progression :</w:t>
      </w:r>
      <w:r>
        <w:rPr/>
        <w:t xml:space="preserve"> l’entreprise s’engage à maintenir un faible écart</w:t>
      </w:r>
      <w:r>
        <w:rPr>
          <w:b/>
          <w:color w:val="FF0000"/>
        </w:rPr>
        <w:t xml:space="preserve"> </w:t>
      </w:r>
      <w:r>
        <w:rPr/>
        <w:t xml:space="preserve">qui n’excède pas </w:t>
      </w:r>
      <w:r>
        <w:rPr>
          <w:b/>
        </w:rPr>
        <w:t>le seuil des 5%</w:t>
      </w:r>
      <w:r>
        <w:rPr/>
        <w:t xml:space="preserve"> entre les deux sexes en matière de rémunération. Elle se conformera également aux résultats de l’index déclaré chaque année.</w:t>
      </w:r>
    </w:p>
    <w:p>
      <w:pPr>
        <w:pStyle w:val="Normal"/>
        <w:spacing w:before="0" w:after="0"/>
        <w:rPr>
          <w:b/>
          <w:b/>
          <w:u w:val="single"/>
        </w:rPr>
      </w:pPr>
      <w:r>
        <w:rPr>
          <w:b/>
          <w:u w:val="single"/>
        </w:rPr>
      </w:r>
    </w:p>
    <w:p>
      <w:pPr>
        <w:pStyle w:val="Normal"/>
        <w:rPr>
          <w:b/>
          <w:b/>
          <w:u w:val="single"/>
        </w:rPr>
      </w:pPr>
      <w:r>
        <w:rPr>
          <w:b/>
          <w:u w:val="single"/>
        </w:rPr>
        <w:t>ARTICLE 6 – DISPOSITIF FAVORABLE A L’EGALITE DE LA FORMATION PROFESSIONNELLE</w:t>
      </w:r>
    </w:p>
    <w:p>
      <w:pPr>
        <w:pStyle w:val="Normal"/>
        <w:jc w:val="both"/>
        <w:rPr/>
      </w:pPr>
      <w:r>
        <w:rPr/>
        <w:t>La formation professionnelle, vecteur de l’évolution professionnelle au sein de l’entreprise, est essentielle. L’accès aux actions de formation doit être égal pour les hommes et pour les femmes, afin de développer de manière équivalente leur employabilité, et leurs compétences.</w:t>
      </w:r>
    </w:p>
    <w:p>
      <w:pPr>
        <w:pStyle w:val="Normal"/>
        <w:jc w:val="both"/>
        <w:rPr/>
      </w:pPr>
      <w:r>
        <w:rPr/>
        <w:t xml:space="preserve">Lorsqu’un(e) salarié(e) s’inscrit à une formation, il / elle peut informer l’équipe en charge de l’organisation du cursus, de ses contraintes familiales. Celle-ci devra prendre en compte au maximum ces éléments et trouver avec le/la salarié(e), la solution adaptée à la demande. </w:t>
      </w:r>
    </w:p>
    <w:p>
      <w:pPr>
        <w:pStyle w:val="Normal"/>
        <w:spacing w:before="0" w:after="0"/>
        <w:jc w:val="both"/>
        <w:rPr>
          <w:b/>
          <w:b/>
          <w:u w:val="single"/>
        </w:rPr>
      </w:pPr>
      <w:r>
        <w:rPr>
          <w:b/>
          <w:u w:val="single"/>
        </w:rPr>
        <w:t xml:space="preserve">Action : </w:t>
      </w:r>
    </w:p>
    <w:p>
      <w:pPr>
        <w:pStyle w:val="Normal"/>
        <w:spacing w:before="0" w:after="0"/>
        <w:jc w:val="both"/>
        <w:rPr>
          <w:b/>
          <w:b/>
          <w:u w:val="single"/>
        </w:rPr>
      </w:pPr>
      <w:r>
        <w:rPr>
          <w:bCs/>
        </w:rPr>
        <w:t>Nous suivrons la répartition des heures de formation / an / salarié(e) hors habilitation et sécurité</w:t>
      </w:r>
    </w:p>
    <w:p>
      <w:pPr>
        <w:pStyle w:val="Normal"/>
        <w:spacing w:before="0" w:after="0"/>
        <w:jc w:val="both"/>
        <w:rPr>
          <w:b/>
          <w:b/>
          <w:u w:val="single"/>
        </w:rPr>
      </w:pPr>
      <w:r>
        <w:rPr>
          <w:b/>
          <w:u w:val="single"/>
        </w:rPr>
      </w:r>
    </w:p>
    <w:tbl>
      <w:tblPr>
        <w:tblW w:w="1060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14"/>
        <w:gridCol w:w="1134"/>
        <w:gridCol w:w="1134"/>
        <w:gridCol w:w="1134"/>
        <w:gridCol w:w="1134"/>
        <w:gridCol w:w="1134"/>
        <w:gridCol w:w="1134"/>
        <w:gridCol w:w="1134"/>
        <w:gridCol w:w="1056"/>
      </w:tblGrid>
      <w:tr>
        <w:trPr>
          <w:trHeight w:val="309" w:hRule="atLeast"/>
        </w:trPr>
        <w:tc>
          <w:tcPr>
            <w:tcW w:w="161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Coefficient</w:t>
            </w:r>
          </w:p>
        </w:tc>
        <w:tc>
          <w:tcPr>
            <w:tcW w:w="2268" w:type="dxa"/>
            <w:gridSpan w:val="2"/>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Effectif</w:t>
            </w:r>
          </w:p>
        </w:tc>
        <w:tc>
          <w:tcPr>
            <w:tcW w:w="2268" w:type="dxa"/>
            <w:gridSpan w:val="2"/>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Nbre heures de formation</w:t>
            </w:r>
          </w:p>
        </w:tc>
        <w:tc>
          <w:tcPr>
            <w:tcW w:w="1134" w:type="dxa"/>
            <w:vMerge w:val="restart"/>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Nbre heures /coeff</w:t>
            </w:r>
          </w:p>
        </w:tc>
        <w:tc>
          <w:tcPr>
            <w:tcW w:w="2268" w:type="dxa"/>
            <w:gridSpan w:val="2"/>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center"/>
              <w:rPr>
                <w:b/>
                <w:b/>
              </w:rPr>
            </w:pPr>
            <w:r>
              <w:rPr>
                <w:b/>
              </w:rPr>
              <w:t>Nbre heures de formation par sexe</w:t>
            </w:r>
          </w:p>
        </w:tc>
        <w:tc>
          <w:tcPr>
            <w:tcW w:w="105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103" w:type="dxa"/>
            </w:tcMar>
            <w:vAlign w:val="center"/>
          </w:tcPr>
          <w:p>
            <w:pPr>
              <w:pStyle w:val="Normal"/>
              <w:spacing w:before="0" w:after="0"/>
              <w:jc w:val="center"/>
              <w:rPr>
                <w:b/>
                <w:b/>
              </w:rPr>
            </w:pPr>
            <w:r>
              <w:rPr>
                <w:b/>
              </w:rPr>
              <w:t>Ecart</w:t>
            </w:r>
          </w:p>
        </w:tc>
      </w:tr>
      <w:tr>
        <w:trPr>
          <w:trHeight w:val="309" w:hRule="atLeast"/>
        </w:trPr>
        <w:tc>
          <w:tcPr>
            <w:tcW w:w="161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napToGrid w:val="false"/>
              <w:spacing w:before="0" w:after="0"/>
              <w:jc w:val="both"/>
              <w:rPr>
                <w:rFonts w:cs="Calibri"/>
                <w:b/>
                <w:b/>
                <w:sz w:val="20"/>
                <w:szCs w:val="20"/>
                <w:lang w:eastAsia="fr-FR"/>
              </w:rPr>
            </w:pPr>
            <w:r>
              <w:rPr>
                <w:rFonts w:cs="Calibri"/>
                <w:b/>
                <w:sz w:val="20"/>
                <w:szCs w:val="20"/>
                <w:lang w:eastAsia="fr-FR"/>
              </w:rPr>
            </w:r>
          </w:p>
        </w:tc>
        <w:tc>
          <w:tcPr>
            <w:tcW w:w="1134" w:type="dxa"/>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pacing w:before="0" w:after="0"/>
              <w:jc w:val="center"/>
              <w:rPr>
                <w:b/>
                <w:b/>
              </w:rPr>
            </w:pPr>
            <w:r>
              <w:rPr>
                <w:b/>
              </w:rPr>
              <w:t>Femmes</w:t>
            </w:r>
          </w:p>
        </w:tc>
        <w:tc>
          <w:tcPr>
            <w:tcW w:w="1134" w:type="dxa"/>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pacing w:before="0" w:after="0"/>
              <w:jc w:val="center"/>
              <w:rPr>
                <w:b/>
                <w:b/>
              </w:rPr>
            </w:pPr>
            <w:r>
              <w:rPr>
                <w:b/>
              </w:rPr>
              <w:t>Hommes</w:t>
            </w:r>
          </w:p>
        </w:tc>
        <w:tc>
          <w:tcPr>
            <w:tcW w:w="1134" w:type="dxa"/>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pacing w:before="0" w:after="0"/>
              <w:jc w:val="both"/>
              <w:rPr>
                <w:b/>
                <w:b/>
              </w:rPr>
            </w:pPr>
            <w:r>
              <w:rPr>
                <w:b/>
              </w:rPr>
              <w:t>Femmes</w:t>
            </w:r>
          </w:p>
        </w:tc>
        <w:tc>
          <w:tcPr>
            <w:tcW w:w="1134" w:type="dxa"/>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pacing w:before="0" w:after="0"/>
              <w:jc w:val="both"/>
              <w:rPr>
                <w:b/>
                <w:b/>
              </w:rPr>
            </w:pPr>
            <w:r>
              <w:rPr>
                <w:b/>
              </w:rPr>
              <w:t>Hommes</w:t>
            </w:r>
          </w:p>
        </w:tc>
        <w:tc>
          <w:tcPr>
            <w:tcW w:w="1134" w:type="dxa"/>
            <w:vMerge w:val="continue"/>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pacing w:before="0" w:after="0"/>
              <w:jc w:val="both"/>
              <w:rPr>
                <w:b/>
                <w:b/>
              </w:rPr>
            </w:pPr>
            <w:r>
              <w:rPr>
                <w:b/>
              </w:rPr>
              <w:t>Femmes</w:t>
            </w:r>
          </w:p>
        </w:tc>
        <w:tc>
          <w:tcPr>
            <w:tcW w:w="1134" w:type="dxa"/>
            <w:tcBorders>
              <w:top w:val="single" w:sz="4" w:space="0" w:color="000000"/>
              <w:left w:val="single" w:sz="4" w:space="0" w:color="000000"/>
              <w:bottom w:val="single" w:sz="4" w:space="0" w:color="000000"/>
              <w:insideH w:val="single" w:sz="4" w:space="0" w:color="000000"/>
            </w:tcBorders>
            <w:shd w:fill="8EAADB" w:val="clear"/>
            <w:tcMar>
              <w:left w:w="103" w:type="dxa"/>
            </w:tcMar>
          </w:tcPr>
          <w:p>
            <w:pPr>
              <w:pStyle w:val="Normal"/>
              <w:spacing w:before="0" w:after="0"/>
              <w:jc w:val="both"/>
              <w:rPr>
                <w:b/>
                <w:b/>
              </w:rPr>
            </w:pPr>
            <w:r>
              <w:rPr>
                <w:b/>
              </w:rPr>
              <w:t>Hommes</w:t>
            </w:r>
          </w:p>
        </w:tc>
        <w:tc>
          <w:tcPr>
            <w:tcW w:w="105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8EAADB" w:val="clear"/>
            <w:tcMar>
              <w:left w:w="103" w:type="dxa"/>
            </w:tcMar>
          </w:tcPr>
          <w:p>
            <w:pPr>
              <w:pStyle w:val="Normal"/>
              <w:snapToGrid w:val="false"/>
              <w:spacing w:before="0" w:after="0"/>
              <w:jc w:val="both"/>
              <w:rPr>
                <w:b/>
                <w:b/>
              </w:rPr>
            </w:pPr>
            <w:r>
              <w:rPr>
                <w:b/>
              </w:rPr>
            </w:r>
          </w:p>
        </w:tc>
      </w:tr>
      <w:tr>
        <w:trPr>
          <w:trHeight w:val="680" w:hRule="atLeast"/>
        </w:trPr>
        <w:tc>
          <w:tcPr>
            <w:tcW w:w="1614"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240-275-310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both"/>
              <w:rPr>
                <w:b/>
                <w:b/>
              </w:rPr>
            </w:pPr>
            <w:r>
              <w:rPr>
                <w:b/>
              </w:rPr>
            </w:r>
          </w:p>
        </w:tc>
      </w:tr>
      <w:tr>
        <w:trPr>
          <w:trHeight w:val="680" w:hRule="atLeast"/>
        </w:trPr>
        <w:tc>
          <w:tcPr>
            <w:tcW w:w="1614"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355-400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both"/>
              <w:rPr>
                <w:b/>
                <w:b/>
              </w:rPr>
            </w:pPr>
            <w:r>
              <w:rPr>
                <w:b/>
              </w:rPr>
            </w:r>
          </w:p>
        </w:tc>
      </w:tr>
      <w:tr>
        <w:trPr>
          <w:trHeight w:val="680" w:hRule="atLeast"/>
        </w:trPr>
        <w:tc>
          <w:tcPr>
            <w:tcW w:w="1614"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450-500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both"/>
              <w:rPr>
                <w:b/>
                <w:b/>
              </w:rPr>
            </w:pPr>
            <w:r>
              <w:rPr>
                <w:b/>
              </w:rPr>
            </w:r>
          </w:p>
        </w:tc>
      </w:tr>
      <w:tr>
        <w:trPr>
          <w:trHeight w:val="680" w:hRule="atLeast"/>
        </w:trPr>
        <w:tc>
          <w:tcPr>
            <w:tcW w:w="1614"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95-100-105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both"/>
              <w:rPr>
                <w:b/>
                <w:b/>
              </w:rPr>
            </w:pPr>
            <w:r>
              <w:rPr>
                <w:b/>
              </w:rPr>
            </w:r>
          </w:p>
        </w:tc>
      </w:tr>
      <w:tr>
        <w:trPr>
          <w:trHeight w:val="680" w:hRule="atLeast"/>
        </w:trPr>
        <w:tc>
          <w:tcPr>
            <w:tcW w:w="1614"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115-130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both"/>
              <w:rPr>
                <w:b/>
                <w:b/>
              </w:rPr>
            </w:pPr>
            <w:r>
              <w:rPr>
                <w:b/>
              </w:rPr>
            </w:r>
          </w:p>
        </w:tc>
      </w:tr>
      <w:tr>
        <w:trPr>
          <w:trHeight w:val="680" w:hRule="atLeast"/>
        </w:trPr>
        <w:tc>
          <w:tcPr>
            <w:tcW w:w="1614"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150-170- et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both"/>
              <w:rPr>
                <w:b/>
                <w:b/>
              </w:rPr>
            </w:pPr>
            <w:r>
              <w:rPr>
                <w:b/>
              </w:rPr>
            </w:r>
          </w:p>
        </w:tc>
      </w:tr>
      <w:tr>
        <w:trPr>
          <w:trHeight w:val="680" w:hRule="atLeast"/>
        </w:trPr>
        <w:tc>
          <w:tcPr>
            <w:tcW w:w="1614" w:type="dxa"/>
            <w:tcBorders>
              <w:top w:val="single" w:sz="4" w:space="0" w:color="000000"/>
              <w:left w:val="single" w:sz="4" w:space="0" w:color="000000"/>
              <w:bottom w:val="single" w:sz="4" w:space="0" w:color="000000"/>
              <w:insideH w:val="single" w:sz="4" w:space="0" w:color="000000"/>
            </w:tcBorders>
            <w:shd w:fill="8EAADB" w:val="clear"/>
            <w:tcMar>
              <w:left w:w="103" w:type="dxa"/>
            </w:tcMar>
            <w:vAlign w:val="center"/>
          </w:tcPr>
          <w:p>
            <w:pPr>
              <w:pStyle w:val="Normal"/>
              <w:spacing w:before="0" w:after="0"/>
              <w:jc w:val="both"/>
              <w:rPr>
                <w:b/>
                <w:b/>
              </w:rPr>
            </w:pPr>
            <w:r>
              <w:rPr>
                <w:b/>
              </w:rPr>
              <w:t>Effectif TOTAL</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0"/>
              <w:jc w:val="both"/>
              <w:rPr>
                <w:b/>
                <w:b/>
              </w:rPr>
            </w:pPr>
            <w:r>
              <w:rPr>
                <w:b/>
              </w:rPr>
            </w:r>
          </w:p>
        </w:tc>
        <w:tc>
          <w:tcPr>
            <w:tcW w:w="1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0"/>
              <w:jc w:val="both"/>
              <w:rPr>
                <w:b/>
                <w:b/>
              </w:rPr>
            </w:pPr>
            <w:r>
              <w:rPr>
                <w:b/>
              </w:rPr>
            </w:r>
          </w:p>
        </w:tc>
      </w:tr>
    </w:tbl>
    <w:p>
      <w:pPr>
        <w:pStyle w:val="Normal"/>
        <w:spacing w:before="0" w:after="0"/>
        <w:jc w:val="both"/>
        <w:rPr>
          <w:b/>
          <w:b/>
          <w:u w:val="single"/>
        </w:rPr>
      </w:pPr>
      <w:r>
        <w:rPr>
          <w:b/>
          <w:u w:val="single"/>
        </w:rPr>
      </w:r>
    </w:p>
    <w:p>
      <w:pPr>
        <w:pStyle w:val="Normal"/>
        <w:pBdr>
          <w:top w:val="single" w:sz="4" w:space="1" w:color="000000"/>
          <w:left w:val="single" w:sz="4" w:space="4" w:color="000000"/>
          <w:bottom w:val="single" w:sz="4" w:space="1" w:color="000000"/>
          <w:right w:val="single" w:sz="4" w:space="4" w:color="000000"/>
        </w:pBdr>
        <w:spacing w:before="0" w:after="0"/>
        <w:jc w:val="both"/>
        <w:rPr/>
      </w:pPr>
      <w:r>
        <w:rPr>
          <w:b/>
          <w:i/>
          <w:u w:val="single"/>
        </w:rPr>
        <w:t>Mesure </w:t>
      </w:r>
      <w:r>
        <w:rPr>
          <w:b/>
          <w:i/>
        </w:rPr>
        <w:t>:</w:t>
      </w:r>
      <w:r>
        <w:rPr>
          <w:i/>
        </w:rPr>
        <w:t xml:space="preserve"> L’entreprise veillera au suivi des entretiens professionnels et entretien d’évaluation pour recenser les freins éventuels et les besoins éventuels en formation.</w:t>
      </w:r>
    </w:p>
    <w:p>
      <w:pPr>
        <w:pStyle w:val="Normal"/>
        <w:pBdr>
          <w:top w:val="single" w:sz="4" w:space="1" w:color="000000"/>
          <w:left w:val="single" w:sz="4" w:space="4" w:color="000000"/>
          <w:bottom w:val="single" w:sz="4" w:space="1" w:color="000000"/>
          <w:right w:val="single" w:sz="4" w:space="4" w:color="000000"/>
        </w:pBdr>
        <w:spacing w:before="0" w:after="0"/>
        <w:jc w:val="both"/>
        <w:rPr>
          <w:i/>
          <w:i/>
        </w:rPr>
      </w:pPr>
      <w:r>
        <w:rPr>
          <w:i/>
        </w:rPr>
        <w:t>Elle devra proposer une réponse adaptée aux salarié(e)s et aux besoins de l’entreprise.</w:t>
      </w:r>
    </w:p>
    <w:p>
      <w:pPr>
        <w:pStyle w:val="Normal"/>
        <w:pBdr>
          <w:top w:val="single" w:sz="4" w:space="1" w:color="000000"/>
          <w:left w:val="single" w:sz="4" w:space="4" w:color="000000"/>
          <w:bottom w:val="single" w:sz="4" w:space="1" w:color="000000"/>
          <w:right w:val="single" w:sz="4" w:space="4" w:color="000000"/>
        </w:pBdr>
        <w:spacing w:before="0" w:after="0"/>
        <w:jc w:val="both"/>
        <w:rPr>
          <w:b/>
          <w:b/>
          <w:i/>
          <w:i/>
          <w:u w:val="single"/>
        </w:rPr>
      </w:pPr>
      <w:r>
        <w:rPr>
          <w:b/>
          <w:i/>
          <w:u w:val="single"/>
        </w:rPr>
        <w:t>Indicateur </w:t>
      </w:r>
      <w:r>
        <w:rPr>
          <w:i/>
        </w:rPr>
        <w:t>: « </w:t>
      </w:r>
      <w:r>
        <w:rPr/>
        <w:t>EFP », écart en % du nombre d’heures de formation entre les hommes et les femmes</w:t>
      </w:r>
    </w:p>
    <w:p>
      <w:pPr>
        <w:pStyle w:val="Normal"/>
        <w:pBdr>
          <w:top w:val="single" w:sz="4" w:space="1" w:color="000000"/>
          <w:left w:val="single" w:sz="4" w:space="4" w:color="000000"/>
          <w:bottom w:val="single" w:sz="4" w:space="1" w:color="000000"/>
          <w:right w:val="single" w:sz="4" w:space="4" w:color="000000"/>
        </w:pBdr>
        <w:spacing w:before="0" w:after="0"/>
        <w:jc w:val="both"/>
        <w:rPr>
          <w:i/>
          <w:i/>
        </w:rPr>
      </w:pPr>
      <w:r>
        <w:rPr>
          <w:b/>
          <w:i/>
          <w:u w:val="single"/>
        </w:rPr>
        <w:t>Objectif de progression :</w:t>
      </w:r>
      <w:r>
        <w:rPr>
          <w:i/>
        </w:rPr>
        <w:t xml:space="preserve"> EFP&lt;15% </w:t>
      </w:r>
    </w:p>
    <w:p>
      <w:pPr>
        <w:pStyle w:val="Paragraphedeliste"/>
        <w:ind w:left="0" w:hanging="0"/>
        <w:jc w:val="both"/>
        <w:rPr>
          <w:b/>
          <w:b/>
          <w:i/>
          <w:i/>
          <w:caps/>
          <w:u w:val="single"/>
        </w:rPr>
      </w:pPr>
      <w:r>
        <w:rPr>
          <w:b/>
          <w:i/>
          <w:caps/>
          <w:u w:val="single"/>
        </w:rPr>
      </w:r>
    </w:p>
    <w:p>
      <w:pPr>
        <w:pStyle w:val="Normal"/>
        <w:jc w:val="both"/>
        <w:rPr>
          <w:b/>
          <w:b/>
          <w:i/>
          <w:i/>
          <w:u w:val="single"/>
        </w:rPr>
      </w:pPr>
      <w:r>
        <w:rPr>
          <w:b/>
          <w:i/>
          <w:u w:val="single"/>
        </w:rPr>
        <w:t>ARTICLE 7 - DISPOSITIF FAVORABLE EN MATIERE D’EQUILIBRE ENTRE LA VIE PROFESSIONNELLE ET LA VIE PERSONNELLE</w:t>
      </w:r>
    </w:p>
    <w:p>
      <w:pPr>
        <w:pStyle w:val="Normal"/>
        <w:spacing w:before="0" w:after="0"/>
        <w:jc w:val="both"/>
        <w:rPr/>
      </w:pPr>
      <w:r>
        <w:rPr/>
        <w:t>TECHNIFRANCE est consciente que la conciliation entre la vie professionnelle et la vie personnelle (incluant la vie familiale notamment la parentalité) a une incidence :</w:t>
      </w:r>
    </w:p>
    <w:p>
      <w:pPr>
        <w:pStyle w:val="Normal"/>
        <w:numPr>
          <w:ilvl w:val="0"/>
          <w:numId w:val="1"/>
        </w:numPr>
        <w:spacing w:before="0" w:after="0"/>
        <w:jc w:val="both"/>
        <w:rPr/>
      </w:pPr>
      <w:r>
        <w:rPr/>
        <w:t>Sur les modes d’organisation et de gestion de l’entreprise</w:t>
      </w:r>
    </w:p>
    <w:p>
      <w:pPr>
        <w:pStyle w:val="Normal"/>
        <w:numPr>
          <w:ilvl w:val="0"/>
          <w:numId w:val="1"/>
        </w:numPr>
        <w:spacing w:before="0" w:after="0"/>
        <w:jc w:val="both"/>
        <w:rPr/>
      </w:pPr>
      <w:r>
        <w:rPr/>
        <w:t>Sur l’efficacité pour l’entreprise</w:t>
      </w:r>
    </w:p>
    <w:p>
      <w:pPr>
        <w:pStyle w:val="Normal"/>
        <w:numPr>
          <w:ilvl w:val="0"/>
          <w:numId w:val="1"/>
        </w:numPr>
        <w:spacing w:before="0" w:after="0"/>
        <w:jc w:val="both"/>
        <w:rPr/>
      </w:pPr>
      <w:r>
        <w:rPr/>
        <w:t>Sur la motivation des salarié(e)s</w:t>
      </w:r>
    </w:p>
    <w:p>
      <w:pPr>
        <w:pStyle w:val="Normal"/>
        <w:numPr>
          <w:ilvl w:val="0"/>
          <w:numId w:val="1"/>
        </w:numPr>
        <w:spacing w:before="0" w:after="0"/>
        <w:jc w:val="both"/>
        <w:rPr/>
      </w:pPr>
      <w:r>
        <w:rPr/>
        <w:t>Sur l’égalité des chances dans un cadre plus général</w:t>
      </w:r>
    </w:p>
    <w:p>
      <w:pPr>
        <w:pStyle w:val="Normal"/>
        <w:spacing w:before="0" w:after="0"/>
        <w:jc w:val="both"/>
        <w:rPr>
          <w:b/>
          <w:b/>
          <w:i/>
          <w:i/>
          <w:u w:val="single"/>
        </w:rPr>
      </w:pPr>
      <w:r>
        <w:rPr>
          <w:b/>
          <w:i/>
          <w:u w:val="single"/>
        </w:rPr>
      </w:r>
    </w:p>
    <w:p>
      <w:pPr>
        <w:pStyle w:val="Normal"/>
        <w:spacing w:before="0" w:after="0"/>
        <w:jc w:val="both"/>
        <w:rPr>
          <w:b/>
          <w:b/>
          <w:i/>
          <w:i/>
          <w:u w:val="single"/>
        </w:rPr>
      </w:pPr>
      <w:r>
        <w:rPr>
          <w:b/>
          <w:i/>
          <w:u w:val="single"/>
        </w:rPr>
        <w:t>Dans le cadre d’un congé maternité / paternité / parental /adoption/de proche aidant :</w:t>
      </w:r>
    </w:p>
    <w:p>
      <w:pPr>
        <w:pStyle w:val="Normal"/>
        <w:spacing w:before="0" w:after="0"/>
        <w:jc w:val="both"/>
        <w:rPr/>
      </w:pPr>
      <w:r>
        <w:rPr/>
        <w:t>Au retour de l’un de ces congés, et comme le prévoit la loi, le ou la salarié(e) bénéficiera d’un entretien professionnel afin de faire de point sur la reprise d’activité et les contraintes personnelles.</w:t>
      </w:r>
    </w:p>
    <w:p>
      <w:pPr>
        <w:pStyle w:val="Normal"/>
        <w:spacing w:before="0" w:after="0"/>
        <w:jc w:val="both"/>
        <w:rPr>
          <w:b/>
          <w:b/>
          <w:u w:val="single"/>
        </w:rPr>
      </w:pPr>
      <w:r>
        <w:rPr>
          <w:b/>
          <w:u w:val="single"/>
        </w:rPr>
      </w:r>
    </w:p>
    <w:p>
      <w:pPr>
        <w:pStyle w:val="Normal"/>
        <w:spacing w:before="0" w:after="0"/>
        <w:jc w:val="both"/>
        <w:rPr>
          <w:b/>
          <w:b/>
          <w:u w:val="single"/>
        </w:rPr>
      </w:pPr>
      <w:r>
        <w:rPr>
          <w:b/>
          <w:u w:val="single"/>
        </w:rPr>
        <w:t>Dans le cadre du travail à temps partiel</w:t>
      </w:r>
    </w:p>
    <w:p>
      <w:pPr>
        <w:pStyle w:val="Normal"/>
        <w:spacing w:before="0" w:after="0"/>
        <w:jc w:val="both"/>
        <w:rPr/>
      </w:pPr>
      <w:r>
        <w:rPr/>
        <w:t>L’aménagement du temps de travail doit permettre la conciliation entre :</w:t>
      </w:r>
    </w:p>
    <w:p>
      <w:pPr>
        <w:pStyle w:val="Normal"/>
        <w:numPr>
          <w:ilvl w:val="0"/>
          <w:numId w:val="1"/>
        </w:numPr>
        <w:spacing w:before="0" w:after="0"/>
        <w:jc w:val="both"/>
        <w:rPr/>
      </w:pPr>
      <w:r>
        <w:rPr/>
        <w:t>Les contraintes collectives de l’entreprise</w:t>
      </w:r>
    </w:p>
    <w:p>
      <w:pPr>
        <w:pStyle w:val="Normal"/>
        <w:numPr>
          <w:ilvl w:val="0"/>
          <w:numId w:val="1"/>
        </w:numPr>
        <w:spacing w:before="0" w:after="0"/>
        <w:jc w:val="both"/>
        <w:rPr/>
      </w:pPr>
      <w:r>
        <w:rPr/>
        <w:t>Les aspirations individuelles des salarié(e)s</w:t>
      </w:r>
    </w:p>
    <w:p>
      <w:pPr>
        <w:pStyle w:val="Normal"/>
        <w:spacing w:before="0" w:after="0"/>
        <w:jc w:val="both"/>
        <w:rPr/>
      </w:pPr>
      <w:r>
        <w:rPr/>
      </w:r>
    </w:p>
    <w:p>
      <w:pPr>
        <w:pStyle w:val="Normal"/>
        <w:spacing w:before="0" w:after="0"/>
        <w:jc w:val="both"/>
        <w:rPr/>
      </w:pPr>
      <w:r>
        <w:rPr/>
        <w:t>Durant la durée du plan d’action, et en cas d’embauche à temps partiel ou de passage à temps partiel de salarié, TECHNIFRANCE souhaite :</w:t>
      </w:r>
    </w:p>
    <w:p>
      <w:pPr>
        <w:pStyle w:val="Normal"/>
        <w:spacing w:before="0" w:after="0"/>
        <w:ind w:left="720" w:hanging="0"/>
        <w:jc w:val="both"/>
        <w:rPr/>
      </w:pPr>
      <w:r>
        <w:rPr/>
      </w:r>
    </w:p>
    <w:p>
      <w:pPr>
        <w:pStyle w:val="Normal"/>
        <w:spacing w:before="0" w:after="0"/>
        <w:jc w:val="both"/>
        <w:rPr/>
      </w:pPr>
      <w:r>
        <w:rPr>
          <w:b/>
          <w:u w:val="single"/>
        </w:rPr>
        <w:t>Mesure :</w:t>
      </w:r>
      <w:r>
        <w:rPr/>
        <w:t xml:space="preserve"> TECHNIFRANCE veillera à prendre en compte les horaires des salarié(e)s à temps partiel dans la fixation des réunions.</w:t>
      </w:r>
    </w:p>
    <w:p>
      <w:pPr>
        <w:pStyle w:val="Normal"/>
        <w:spacing w:before="0" w:after="0"/>
        <w:jc w:val="both"/>
        <w:rPr>
          <w:b/>
          <w:b/>
          <w:u w:val="single"/>
        </w:rPr>
      </w:pPr>
      <w:r>
        <w:rPr>
          <w:b/>
          <w:u w:val="single"/>
        </w:rPr>
        <w:t>Mesure :</w:t>
      </w:r>
      <w:r>
        <w:rPr/>
        <w:t xml:space="preserve"> TECHNIFRANCE veillera à programmer à l’avance les stages de formation professionnelle afin de permettre au(x) salarié(e)s d’aménager l’organisation familiale (gardes d’enfants…)</w:t>
      </w:r>
    </w:p>
    <w:p>
      <w:pPr>
        <w:pStyle w:val="Normal"/>
        <w:tabs>
          <w:tab w:val="left" w:pos="3225" w:leader="none"/>
        </w:tabs>
        <w:spacing w:before="0" w:after="0"/>
        <w:jc w:val="both"/>
        <w:rPr>
          <w:b/>
          <w:b/>
          <w:u w:val="single"/>
        </w:rPr>
      </w:pPr>
      <w:r>
        <w:rPr>
          <w:b/>
          <w:u w:val="single"/>
        </w:rPr>
      </w:r>
    </w:p>
    <w:p>
      <w:pPr>
        <w:pStyle w:val="Normal"/>
        <w:tabs>
          <w:tab w:val="left" w:pos="3225" w:leader="none"/>
        </w:tabs>
        <w:spacing w:before="0" w:after="0"/>
        <w:jc w:val="both"/>
        <w:rPr>
          <w:b/>
          <w:b/>
          <w:u w:val="single"/>
        </w:rPr>
      </w:pPr>
      <w:r>
        <w:rPr>
          <w:b/>
          <w:u w:val="single"/>
        </w:rPr>
        <w:t>ARTICLE  8 – ENTREE EN VIGUEUR ET DUREE DE L’ACCORD</w:t>
      </w:r>
    </w:p>
    <w:p>
      <w:pPr>
        <w:pStyle w:val="Normal"/>
        <w:tabs>
          <w:tab w:val="left" w:pos="3225" w:leader="none"/>
        </w:tabs>
        <w:spacing w:before="0" w:after="0"/>
        <w:jc w:val="both"/>
        <w:rPr>
          <w:b/>
          <w:b/>
          <w:u w:val="single"/>
        </w:rPr>
      </w:pPr>
      <w:r>
        <w:rPr>
          <w:b/>
          <w:u w:val="single"/>
        </w:rPr>
      </w:r>
    </w:p>
    <w:p>
      <w:pPr>
        <w:pStyle w:val="Normal"/>
        <w:tabs>
          <w:tab w:val="left" w:pos="3225" w:leader="none"/>
        </w:tabs>
        <w:spacing w:before="0" w:after="0"/>
        <w:jc w:val="both"/>
        <w:rPr/>
      </w:pPr>
      <w:r>
        <w:rPr/>
        <w:t>Le présent plan d’action entre en vigueur au lendemain de son dépôt auprès de la DIRECCTE.</w:t>
      </w:r>
    </w:p>
    <w:p>
      <w:pPr>
        <w:pStyle w:val="Normal"/>
        <w:tabs>
          <w:tab w:val="left" w:pos="3225" w:leader="none"/>
        </w:tabs>
        <w:spacing w:before="0" w:after="0"/>
        <w:jc w:val="both"/>
        <w:rPr/>
      </w:pPr>
      <w:r>
        <w:rPr/>
        <w:t xml:space="preserve">Le présent plan d’action à une durée déterminée de 3 ans. </w:t>
      </w:r>
    </w:p>
    <w:p>
      <w:pPr>
        <w:pStyle w:val="Normal"/>
        <w:tabs>
          <w:tab w:val="left" w:pos="3225" w:leader="none"/>
        </w:tabs>
        <w:spacing w:before="0" w:after="0"/>
        <w:rPr/>
      </w:pPr>
      <w:r>
        <w:rPr/>
      </w:r>
    </w:p>
    <w:p>
      <w:pPr>
        <w:pStyle w:val="Normal"/>
        <w:tabs>
          <w:tab w:val="left" w:pos="3225" w:leader="none"/>
        </w:tabs>
        <w:rPr/>
      </w:pPr>
      <w:r>
        <w:rPr>
          <w:b/>
          <w:u w:val="single"/>
        </w:rPr>
        <w:t>ARTICLE  9 – BILAN ANNUEL</w:t>
      </w:r>
    </w:p>
    <w:p>
      <w:pPr>
        <w:pStyle w:val="Normal"/>
        <w:tabs>
          <w:tab w:val="left" w:pos="3225" w:leader="none"/>
        </w:tabs>
        <w:spacing w:before="0" w:after="0"/>
        <w:jc w:val="both"/>
        <w:rPr/>
      </w:pPr>
      <w:r>
        <w:rPr/>
        <w:t>Une présentation du suivi de l’accord sera effectuée annuellement au CSSCT lors de la réunion du 4</w:t>
      </w:r>
      <w:r>
        <w:rPr>
          <w:vertAlign w:val="superscript"/>
        </w:rPr>
        <w:t>ème</w:t>
      </w:r>
      <w:r>
        <w:rPr/>
        <w:t xml:space="preserve"> trimestre, de plus, un bilan comportant les éléments de mesures prévus dans le présent plan d’action sera présenté une fois par an au Comité Social Economique. En cas de « dérive » éventuelle de cet accord, une réunion spécifique sera réalisée pour mettre en œuvre une éventuelle action corrective.</w:t>
      </w:r>
    </w:p>
    <w:p>
      <w:pPr>
        <w:pStyle w:val="Normal"/>
        <w:tabs>
          <w:tab w:val="left" w:pos="3225" w:leader="none"/>
        </w:tabs>
        <w:spacing w:before="0" w:after="0"/>
        <w:rPr/>
      </w:pPr>
      <w:r>
        <w:rPr/>
      </w:r>
    </w:p>
    <w:p>
      <w:pPr>
        <w:pStyle w:val="Normal"/>
        <w:tabs>
          <w:tab w:val="left" w:pos="3225" w:leader="none"/>
        </w:tabs>
        <w:rPr/>
      </w:pPr>
      <w:r>
        <w:rPr>
          <w:b/>
          <w:u w:val="single"/>
        </w:rPr>
        <w:t>ARTICLE 10 – PUBLICITE</w:t>
      </w:r>
    </w:p>
    <w:p>
      <w:pPr>
        <w:pStyle w:val="Normal"/>
        <w:tabs>
          <w:tab w:val="left" w:pos="3225" w:leader="none"/>
        </w:tabs>
        <w:jc w:val="both"/>
        <w:rPr/>
      </w:pPr>
      <w:r>
        <w:rPr/>
        <w:t>Dès lors qu'un accord est signé, il sera notifié aux organisations syndicales représentatives. Celles-ci disposent d’un délai de 8 jours à compter de la notification pour exercer leur droit d’opposition.</w:t>
      </w:r>
    </w:p>
    <w:p>
      <w:pPr>
        <w:pStyle w:val="Normal"/>
        <w:tabs>
          <w:tab w:val="left" w:pos="3225" w:leader="none"/>
        </w:tabs>
        <w:jc w:val="both"/>
        <w:rPr/>
      </w:pPr>
      <w:r>
        <w:rPr/>
        <w:t xml:space="preserve">Le dépôt de l’accord sur cette plateforme vaut dépôt auprès de la </w:t>
      </w:r>
      <w:hyperlink r:id="rId5" w:tgtFrame="_blank">
        <w:r>
          <w:rPr>
            <w:rStyle w:val="InternetLink"/>
            <w:color w:val="000000"/>
            <w:u w:val="none"/>
          </w:rPr>
          <w:t>DIRECCTE</w:t>
        </w:r>
      </w:hyperlink>
      <w:r>
        <w:rPr/>
        <w:t xml:space="preserve">. Un récépissé de dépôt est délivré. </w:t>
      </w:r>
    </w:p>
    <w:p>
      <w:pPr>
        <w:pStyle w:val="Normal"/>
        <w:tabs>
          <w:tab w:val="left" w:pos="3225" w:leader="none"/>
        </w:tabs>
        <w:jc w:val="both"/>
        <w:rPr/>
      </w:pPr>
      <w:r>
        <w:rPr/>
        <w:t>L’accord sera déposé en 1 exemplaire original auprès du secrétariat greffe du Conseil de Prud’hommes (Dunkerque et Valenciennes).</w:t>
      </w:r>
    </w:p>
    <w:p>
      <w:pPr>
        <w:pStyle w:val="Normal"/>
        <w:tabs>
          <w:tab w:val="left" w:pos="3225" w:leader="none"/>
        </w:tabs>
        <w:jc w:val="both"/>
        <w:rPr/>
      </w:pPr>
      <w:r>
        <w:rPr/>
        <w:t>Cet accord ainsi que les indicateurs seront portés à la connaissance des salarié(e)s, par tout moyen, en leur précisant le lieu et les modalités de consultation de l’accord.</w:t>
      </w:r>
    </w:p>
    <w:p>
      <w:pPr>
        <w:pStyle w:val="Normal"/>
        <w:tabs>
          <w:tab w:val="left" w:pos="3225" w:leader="none"/>
        </w:tabs>
        <w:ind w:left="2124" w:hanging="2124"/>
        <w:rPr>
          <w:b/>
          <w:b/>
          <w:u w:val="single"/>
        </w:rPr>
      </w:pPr>
      <w:r>
        <w:rPr>
          <w:b/>
          <w:u w:val="single"/>
        </w:rPr>
        <w:t>ARTICLE 11 – REVISION</w:t>
      </w:r>
    </w:p>
    <w:p>
      <w:pPr>
        <w:pStyle w:val="Normal"/>
        <w:tabs>
          <w:tab w:val="left" w:pos="3225" w:leader="none"/>
        </w:tabs>
        <w:ind w:left="2124" w:hanging="2124"/>
        <w:jc w:val="both"/>
        <w:rPr/>
      </w:pPr>
      <w:r>
        <w:rPr/>
        <w:t>Le présent accord pourra être révisé, à tout moment, pendant la période d’application par accord entre les parties.</w:t>
      </w:r>
    </w:p>
    <w:p>
      <w:pPr>
        <w:pStyle w:val="Normal"/>
        <w:tabs>
          <w:tab w:val="left" w:pos="3225" w:leader="none"/>
        </w:tabs>
        <w:jc w:val="both"/>
        <w:rPr/>
      </w:pPr>
      <w:r>
        <w:rPr/>
        <w:t>Toute demande de révision, totale ou partielle, devra être effectuée par lettre recommandée avec accusé de réception adressée aux autres parties signataires. Elle doit être accompagnée d’une proposition nouvelle sur les points à réviser.</w:t>
      </w:r>
    </w:p>
    <w:p>
      <w:pPr>
        <w:pStyle w:val="Normal"/>
        <w:tabs>
          <w:tab w:val="left" w:pos="3225" w:leader="none"/>
        </w:tabs>
        <w:jc w:val="both"/>
        <w:rPr/>
      </w:pPr>
      <w:r>
        <w:rPr/>
        <w:t>La discussion de la demande de révision doit s’engager dans les 3 mois suivants la présentation de celle-ci. Toute modification fera l’objet d’un avenant conclu dans les conditions prévues par les dispositions réglementaires.</w:t>
      </w:r>
    </w:p>
    <w:p>
      <w:pPr>
        <w:pStyle w:val="Normal"/>
        <w:tabs>
          <w:tab w:val="left" w:pos="3225" w:leader="none"/>
        </w:tabs>
        <w:ind w:left="2124" w:hanging="2124"/>
        <w:rPr/>
      </w:pPr>
      <w:r>
        <w:rPr/>
      </w:r>
    </w:p>
    <w:p>
      <w:pPr>
        <w:pStyle w:val="Normal"/>
        <w:tabs>
          <w:tab w:val="left" w:pos="3225" w:leader="none"/>
        </w:tabs>
        <w:spacing w:before="0" w:after="0"/>
        <w:ind w:left="2124" w:hanging="2124"/>
        <w:jc w:val="right"/>
        <w:rPr/>
      </w:pPr>
      <w:r>
        <w:rPr/>
        <w:t>Fait à Téteghem, le 9 novembre 2020</w:t>
      </w:r>
    </w:p>
    <w:p>
      <w:pPr>
        <w:pStyle w:val="Normal"/>
        <w:tabs>
          <w:tab w:val="left" w:pos="3225" w:leader="none"/>
        </w:tabs>
        <w:spacing w:before="0" w:after="0"/>
        <w:ind w:left="2124" w:hanging="2124"/>
        <w:jc w:val="right"/>
        <w:rPr/>
      </w:pPr>
      <w:r>
        <w:rPr/>
        <w:t>En 10 exemplaires originaux</w:t>
      </w:r>
    </w:p>
    <w:p>
      <w:pPr>
        <w:pStyle w:val="Normal"/>
        <w:tabs>
          <w:tab w:val="left" w:pos="3225" w:leader="none"/>
        </w:tabs>
        <w:rPr/>
      </w:pPr>
      <w:r>
        <w:rPr/>
      </w:r>
    </w:p>
    <w:tbl>
      <w:tblPr>
        <w:tblW w:w="1069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28"/>
        <w:gridCol w:w="2129"/>
        <w:gridCol w:w="2130"/>
        <w:gridCol w:w="2191"/>
        <w:gridCol w:w="1914"/>
      </w:tblGrid>
      <w:tr>
        <w:trPr/>
        <w:tc>
          <w:tcPr>
            <w:tcW w:w="23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225" w:leader="none"/>
              </w:tabs>
              <w:spacing w:before="0" w:after="0"/>
              <w:jc w:val="center"/>
              <w:rPr/>
            </w:pPr>
            <w:r>
              <w:rPr/>
              <w:t xml:space="preserve">Pour TECHNIFRANCE </w:t>
            </w:r>
          </w:p>
          <w:p>
            <w:pPr>
              <w:pStyle w:val="Normal"/>
              <w:tabs>
                <w:tab w:val="left" w:pos="3225" w:leader="none"/>
              </w:tabs>
              <w:spacing w:before="0" w:after="0"/>
              <w:jc w:val="center"/>
              <w:rPr/>
            </w:pPr>
            <w:r>
              <w:rPr/>
              <w:t>XXXXXXXXXXXXXXXX</w:t>
            </w:r>
          </w:p>
          <w:p>
            <w:pPr>
              <w:pStyle w:val="Normal"/>
              <w:tabs>
                <w:tab w:val="left" w:pos="3225" w:leader="none"/>
              </w:tabs>
              <w:spacing w:before="0" w:after="0"/>
              <w:jc w:val="center"/>
              <w:rPr/>
            </w:pPr>
            <w:r>
              <w:rPr/>
              <w:t>Président Directeur Général</w:t>
            </w:r>
          </w:p>
        </w:tc>
        <w:tc>
          <w:tcPr>
            <w:tcW w:w="2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225" w:leader="none"/>
              </w:tabs>
              <w:spacing w:before="0" w:after="0"/>
              <w:jc w:val="center"/>
              <w:rPr/>
            </w:pPr>
            <w:r>
              <w:rPr/>
              <w:t>XXXXXXXXX</w:t>
            </w:r>
          </w:p>
          <w:p>
            <w:pPr>
              <w:pStyle w:val="Normal"/>
              <w:tabs>
                <w:tab w:val="left" w:pos="3225" w:leader="none"/>
              </w:tabs>
              <w:spacing w:before="0" w:after="0"/>
              <w:jc w:val="center"/>
              <w:rPr/>
            </w:pPr>
            <w:r>
              <w:rPr/>
              <w:t>Titulaire du CSE</w:t>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225" w:leader="none"/>
              </w:tabs>
              <w:spacing w:before="0" w:after="0"/>
              <w:jc w:val="center"/>
              <w:rPr/>
            </w:pPr>
            <w:r>
              <w:rPr/>
              <w:t>XXXXXXXXX</w:t>
            </w:r>
          </w:p>
          <w:p>
            <w:pPr>
              <w:pStyle w:val="Normal"/>
              <w:tabs>
                <w:tab w:val="left" w:pos="3225" w:leader="none"/>
              </w:tabs>
              <w:spacing w:before="0" w:after="0"/>
              <w:jc w:val="center"/>
              <w:rPr/>
            </w:pPr>
            <w:r>
              <w:rPr/>
              <w:t>Titulaire du CSE</w:t>
            </w:r>
          </w:p>
        </w:tc>
        <w:tc>
          <w:tcPr>
            <w:tcW w:w="21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225" w:leader="none"/>
              </w:tabs>
              <w:spacing w:before="0" w:after="0"/>
              <w:jc w:val="center"/>
              <w:rPr/>
            </w:pPr>
            <w:r>
              <w:rPr/>
              <w:t>XXXXXXXXXX</w:t>
            </w:r>
          </w:p>
          <w:p>
            <w:pPr>
              <w:pStyle w:val="Normal"/>
              <w:tabs>
                <w:tab w:val="left" w:pos="3225" w:leader="none"/>
              </w:tabs>
              <w:spacing w:before="0" w:after="0"/>
              <w:jc w:val="center"/>
              <w:rPr/>
            </w:pPr>
            <w:r>
              <w:rPr/>
              <w:t>Titulaire du CSE</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225" w:leader="none"/>
              </w:tabs>
              <w:spacing w:before="0" w:after="0"/>
              <w:jc w:val="center"/>
              <w:rPr/>
            </w:pPr>
            <w:r>
              <w:rPr/>
              <w:t>XXXXXXXXXXXXX</w:t>
            </w:r>
          </w:p>
          <w:p>
            <w:pPr>
              <w:pStyle w:val="Normal"/>
              <w:tabs>
                <w:tab w:val="left" w:pos="3225" w:leader="none"/>
              </w:tabs>
              <w:spacing w:before="0" w:after="0"/>
              <w:jc w:val="center"/>
              <w:rPr/>
            </w:pPr>
            <w:r>
              <w:rPr/>
              <w:t>Titulaire du CSE</w:t>
            </w:r>
          </w:p>
        </w:tc>
      </w:tr>
      <w:tr>
        <w:trPr/>
        <w:tc>
          <w:tcPr>
            <w:tcW w:w="23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225" w:leader="none"/>
              </w:tabs>
              <w:snapToGrid w:val="false"/>
              <w:spacing w:before="0" w:after="200"/>
              <w:rPr/>
            </w:pPr>
            <w:r>
              <w:rPr/>
            </w:r>
          </w:p>
        </w:tc>
        <w:tc>
          <w:tcPr>
            <w:tcW w:w="21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225" w:leader="none"/>
              </w:tabs>
              <w:snapToGrid w:val="false"/>
              <w:spacing w:before="0" w:after="200"/>
              <w:rPr/>
            </w:pPr>
            <w:r>
              <w:rPr/>
            </w:r>
          </w:p>
        </w:tc>
        <w:tc>
          <w:tcPr>
            <w:tcW w:w="21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225" w:leader="none"/>
              </w:tabs>
              <w:snapToGrid w:val="false"/>
              <w:spacing w:before="0" w:after="200"/>
              <w:rPr/>
            </w:pPr>
            <w:r>
              <w:rPr/>
            </w:r>
          </w:p>
        </w:tc>
        <w:tc>
          <w:tcPr>
            <w:tcW w:w="21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225" w:leader="none"/>
              </w:tabs>
              <w:snapToGrid w:val="false"/>
              <w:rPr/>
            </w:pPr>
            <w:r>
              <w:rPr/>
            </w:r>
          </w:p>
          <w:p>
            <w:pPr>
              <w:pStyle w:val="Normal"/>
              <w:tabs>
                <w:tab w:val="left" w:pos="3225" w:leader="none"/>
              </w:tabs>
              <w:rPr/>
            </w:pPr>
            <w:r>
              <w:rPr/>
            </w:r>
          </w:p>
          <w:p>
            <w:pPr>
              <w:pStyle w:val="Normal"/>
              <w:tabs>
                <w:tab w:val="left" w:pos="3225" w:leader="none"/>
              </w:tabs>
              <w:rPr/>
            </w:pPr>
            <w:r>
              <w:rPr/>
            </w:r>
          </w:p>
          <w:p>
            <w:pPr>
              <w:pStyle w:val="Normal"/>
              <w:tabs>
                <w:tab w:val="left" w:pos="3225" w:leader="none"/>
              </w:tabs>
              <w:spacing w:before="0" w:after="200"/>
              <w:rPr/>
            </w:pPr>
            <w:r>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225" w:leader="none"/>
              </w:tabs>
              <w:snapToGrid w:val="false"/>
              <w:spacing w:before="0" w:after="200"/>
              <w:rPr/>
            </w:pPr>
            <w:r>
              <w:rPr/>
            </w:r>
          </w:p>
        </w:tc>
      </w:tr>
    </w:tbl>
    <w:p>
      <w:pPr>
        <w:pStyle w:val="Normal"/>
        <w:tabs>
          <w:tab w:val="left" w:pos="3225" w:leader="none"/>
        </w:tabs>
        <w:spacing w:before="0" w:after="200"/>
        <w:rPr/>
      </w:pPr>
      <w:r>
        <w:rPr/>
      </w:r>
    </w:p>
    <w:sectPr>
      <w:footerReference w:type="default" r:id="rId6"/>
      <w:type w:val="nextPage"/>
      <w:pgSz w:w="11906" w:h="16838"/>
      <w:pgMar w:left="720" w:right="720" w:header="0" w:top="720" w:footer="708" w:bottom="7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200"/>
      <w:rPr/>
    </w:pPr>
    <w:r>
      <w:rPr>
        <w:lang w:val="fr-FR"/>
      </w:rPr>
      <w:t>Accord Egalité professionnelle Femmes/Hommes – 2020</w:t>
      <w:tab/>
      <w:tab/>
      <w:tab/>
    </w:r>
    <w:r>
      <w:rPr/>
      <w:fldChar w:fldCharType="begin"/>
    </w:r>
    <w:r>
      <w:instrText> PAGE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200"/>
      <w:rPr/>
    </w:pPr>
    <w:r>
      <w:rPr>
        <w:lang w:val="fr-FR"/>
      </w:rPr>
      <w:t>Accord Egalité professionnelle Femmes/Hommes – 2020</w:t>
      <w:tab/>
      <w:tab/>
      <w:tab/>
    </w:r>
    <w:r>
      <w:rPr/>
      <w:fldChar w:fldCharType="begin"/>
    </w:r>
    <w:r>
      <w:instrText> PAGE </w:instrText>
    </w:r>
    <w:r>
      <w:fldChar w:fldCharType="separate"/>
    </w:r>
    <w:r>
      <w:t>5</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0" w:after="200"/>
      <w:rPr/>
    </w:pPr>
    <w:r>
      <w:rPr>
        <w:lang w:val="fr-FR"/>
      </w:rPr>
      <w:t>Accord Egalité professionnelle Femmes/Hommes – 2020</w:t>
      <w:tab/>
      <w:tab/>
      <w:tab/>
    </w:r>
    <w:r>
      <w:rPr/>
      <w:fldChar w:fldCharType="begin"/>
    </w:r>
    <w:r>
      <w:instrText> PAGE </w:instrText>
    </w:r>
    <w:r>
      <w:fldChar w:fldCharType="separate"/>
    </w:r>
    <w:r>
      <w:t>8</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Times New Roman"/>
      </w:rPr>
    </w:lvl>
  </w:abstractNum>
  <w:abstractNum w:abstractNumId="2">
    <w:lvl w:ilvl="0">
      <w:start w:val="1"/>
      <w:numFmt w:val="bullet"/>
      <w:lvlText w:val=""/>
      <w:lvlJc w:val="left"/>
      <w:pPr>
        <w:ind w:left="720" w:hanging="360"/>
      </w:pPr>
      <w:rPr>
        <w:rFonts w:ascii="Wingdings" w:hAnsi="Wingdings" w:cs="Wingdings" w:hint="default"/>
        <w:rFonts w:cs="Wingdings"/>
      </w:rPr>
    </w:lvl>
  </w:abstractNum>
  <w:abstractNum w:abstractNumId="3">
    <w:lvl w:ilvl="0">
      <w:start w:val="1"/>
      <w:numFmt w:val="bullet"/>
      <w:lvlText w:val="-"/>
      <w:lvlJc w:val="left"/>
      <w:pPr>
        <w:ind w:left="405" w:hanging="360"/>
      </w:pPr>
      <w:rPr>
        <w:rFonts w:ascii="Calibri" w:hAnsi="Calibri" w:cs="Calibri" w:hint="default"/>
        <w:rFonts w:cs="Times New Roman"/>
      </w:rPr>
    </w:lvl>
  </w:abstractNum>
  <w:abstractNum w:abstractNumId="4">
    <w:lvl w:ilvl="0">
      <w:numFmt w:val="bullet"/>
      <w:lvlText w:val="-"/>
      <w:lvlJc w:val="left"/>
      <w:pPr>
        <w:ind w:left="720" w:hanging="360"/>
      </w:pPr>
      <w:rPr>
        <w:rFonts w:ascii="Calibri" w:hAnsi="Calibri" w:cs="Calibri" w:hint="default"/>
        <w:rFonts w:cs="Calibri"/>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rFonts w:ascii="Calibri" w:hAnsi="Calibri"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eastAsia="Calibri" w:cs="Calibri"/>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Calibri" w:hAnsi="Calibri" w:eastAsia="Calibri" w:cs="Calibri"/>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Calibri" w:hAnsi="Calibri" w:eastAsia="Calibri"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Calibri" w:hAnsi="Calibri" w:eastAsia="Calibri" w:cs="Calibri"/>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Calibri" w:hAnsi="Calibri" w:eastAsia="Calibri" w:cs="Calibri"/>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Policepardfaut">
    <w:name w:val="Police par défaut"/>
    <w:qFormat/>
    <w:rPr/>
  </w:style>
  <w:style w:type="character" w:styleId="EntteCar">
    <w:name w:val="En-tête Car"/>
    <w:qFormat/>
    <w:rPr>
      <w:sz w:val="22"/>
      <w:szCs w:val="22"/>
    </w:rPr>
  </w:style>
  <w:style w:type="character" w:styleId="PieddepageCar">
    <w:name w:val="Pied de page Car"/>
    <w:qFormat/>
    <w:rPr>
      <w:sz w:val="22"/>
      <w:szCs w:val="22"/>
    </w:rPr>
  </w:style>
  <w:style w:type="character" w:styleId="TextedebullesCar">
    <w:name w:val="Texte de bulles Car"/>
    <w:qFormat/>
    <w:rPr>
      <w:rFonts w:ascii="Tahoma" w:hAnsi="Tahoma" w:cs="Tahoma"/>
      <w:sz w:val="16"/>
      <w:szCs w:val="16"/>
    </w:rPr>
  </w:style>
  <w:style w:type="character" w:styleId="NotedebasdepageCar">
    <w:name w:val="Note de bas de page Car"/>
    <w:qFormat/>
    <w:rPr>
      <w:rFonts w:eastAsia="Times New Roman"/>
    </w:rPr>
  </w:style>
  <w:style w:type="character" w:styleId="Emphaseple">
    <w:name w:val="Emphase pâle"/>
    <w:qFormat/>
    <w:rPr>
      <w:i/>
      <w:iCs/>
      <w:color w:val="000000"/>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spacing w:before="0" w:after="200"/>
      <w:ind w:left="720" w:hanging="0"/>
      <w:contextualSpacing/>
    </w:pPr>
    <w:rPr/>
  </w:style>
  <w:style w:type="paragraph" w:styleId="Header">
    <w:name w:val="Header"/>
    <w:basedOn w:val="Normal"/>
    <w:pPr>
      <w:tabs>
        <w:tab w:val="center" w:pos="4536" w:leader="none"/>
        <w:tab w:val="right" w:pos="9072" w:leader="none"/>
      </w:tabs>
    </w:pPr>
    <w:rPr>
      <w:lang w:val="en-GB"/>
    </w:rPr>
  </w:style>
  <w:style w:type="paragraph" w:styleId="Footer">
    <w:name w:val="Footer"/>
    <w:basedOn w:val="Normal"/>
    <w:pPr>
      <w:tabs>
        <w:tab w:val="center" w:pos="4536" w:leader="none"/>
        <w:tab w:val="right" w:pos="9072" w:leader="none"/>
      </w:tabs>
    </w:pPr>
    <w:rPr>
      <w:lang w:val="en-GB"/>
    </w:rPr>
  </w:style>
  <w:style w:type="paragraph" w:styleId="Textedebulles">
    <w:name w:val="Texte de bulles"/>
    <w:basedOn w:val="Normal"/>
    <w:qFormat/>
    <w:pPr>
      <w:spacing w:lineRule="auto" w:line="240" w:before="0" w:after="0"/>
    </w:pPr>
    <w:rPr>
      <w:rFonts w:ascii="Tahoma" w:hAnsi="Tahoma" w:cs="Tahoma"/>
      <w:sz w:val="16"/>
      <w:szCs w:val="16"/>
      <w:lang w:val="en-GB"/>
    </w:rPr>
  </w:style>
  <w:style w:type="paragraph" w:styleId="NormalWeb">
    <w:name w:val="Normal (Web)"/>
    <w:basedOn w:val="Normal"/>
    <w:qFormat/>
    <w:pPr>
      <w:spacing w:lineRule="auto" w:line="240" w:before="280" w:after="280"/>
    </w:pPr>
    <w:rPr>
      <w:rFonts w:ascii="Times New Roman" w:hAnsi="Times New Roman" w:eastAsia="Calibri" w:cs="Times New Roman"/>
      <w:sz w:val="24"/>
      <w:szCs w:val="24"/>
    </w:rPr>
  </w:style>
  <w:style w:type="paragraph" w:styleId="DecimalAligned">
    <w:name w:val="Decimal Aligned"/>
    <w:basedOn w:val="Normal"/>
    <w:qFormat/>
    <w:pPr>
      <w:tabs>
        <w:tab w:val="decimal" w:pos="360" w:leader="none"/>
      </w:tabs>
    </w:pPr>
    <w:rPr>
      <w:rFonts w:ascii="Calibri" w:hAnsi="Calibri" w:eastAsia="Calibri" w:cs="Times New Roman"/>
    </w:rPr>
  </w:style>
  <w:style w:type="paragraph" w:styleId="Footnote">
    <w:name w:val="Footnote Text"/>
    <w:basedOn w:val="Normal"/>
    <w:pPr>
      <w:spacing w:lineRule="auto" w:line="240" w:before="0" w:after="0"/>
    </w:pPr>
    <w:rPr>
      <w:rFonts w:eastAsia="Times New Roman"/>
      <w:sz w:val="20"/>
      <w:szCs w:val="20"/>
      <w:lang w:val="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www.legisocial.fr/definition-direccte-direction-regionale-des-entreprises-de-la-concurrence-de-la-consommation-du-travail-et-de-l-emploi.html"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2020-11-24T11:39:00Z</dcterms:created>
  <dc:creator/>
  <dc:description/>
  <dc:language>en-GB</dc:language>
  <cp:lastModifiedBy/>
  <cp:lastPrinted>2020-11-09T10:41:00Z</cp:lastPrinted>
  <dcterms:modified xsi:type="dcterms:W3CDTF">2020-12-22T15:32:00Z</dcterms:modified>
  <cp:revision>6</cp:revision>
  <dc:subject/>
  <dc:title/>
</cp:coreProperties>
</file>