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55" w:leader="none"/>
        </w:tabs>
        <w:rPr>
          <w:rFonts w:ascii="AGaramond;Times New Roman" w:hAnsi="AGaramond;Times New Roman" w:cs="AGaramond;Times New Roman"/>
        </w:rPr>
      </w:pPr>
      <w:r>
        <w:rPr>
          <w:rFonts w:cs="AGaramond;Times New Roman" w:ascii="AGaramond;Times New Roman" w:hAnsi="AGaramond;Times New Roman"/>
        </w:rPr>
        <w:tab/>
      </w:r>
    </w:p>
    <w:p>
      <w:pPr>
        <w:pStyle w:val="Heading1"/>
        <w:numPr>
          <w:ilvl w:val="0"/>
          <w:numId w:val="1"/>
        </w:numPr>
        <w:pBdr/>
        <w:rPr>
          <w:rFonts w:ascii="AGaramond;Times New Roman" w:hAnsi="AGaramond;Times New Roman" w:cs="AGaramond;Times New Roman"/>
          <w:sz w:val="28"/>
          <w:szCs w:val="12"/>
        </w:rPr>
      </w:pPr>
      <w:r>
        <w:rPr>
          <w:rFonts w:cs="AGaramond;Times New Roman"/>
          <w:sz w:val="28"/>
          <w:szCs w:val="12"/>
        </w:rPr>
      </w:r>
    </w:p>
    <w:p>
      <w:pPr>
        <w:pStyle w:val="Heading1"/>
        <w:numPr>
          <w:ilvl w:val="0"/>
          <w:numId w:val="1"/>
        </w:numPr>
        <w:pBdr/>
        <w:rPr>
          <w:rFonts w:ascii="Tahoma" w:hAnsi="Tahoma" w:cs="Tahoma"/>
          <w:sz w:val="32"/>
          <w:szCs w:val="32"/>
        </w:rPr>
      </w:pPr>
      <w:r>
        <w:rPr>
          <w:rFonts w:cs="Tahoma" w:ascii="Tahoma" w:hAnsi="Tahoma"/>
          <w:sz w:val="32"/>
          <w:szCs w:val="32"/>
        </w:rPr>
        <w:t xml:space="preserve">ACCORD RELATIF AUX </w:t>
      </w:r>
    </w:p>
    <w:p>
      <w:pPr>
        <w:pStyle w:val="Heading1"/>
        <w:numPr>
          <w:ilvl w:val="0"/>
          <w:numId w:val="1"/>
        </w:numPr>
        <w:pBdr/>
        <w:rPr>
          <w:rFonts w:ascii="Tahoma" w:hAnsi="Tahoma" w:cs="Tahoma"/>
          <w:sz w:val="32"/>
          <w:szCs w:val="32"/>
        </w:rPr>
      </w:pPr>
      <w:r>
        <w:rPr>
          <w:rFonts w:cs="Tahoma" w:ascii="Tahoma" w:hAnsi="Tahoma"/>
          <w:sz w:val="32"/>
          <w:szCs w:val="32"/>
        </w:rPr>
        <w:t>NEGOCIATIONS ANNUELLES OBLIGATOIRES 2020</w:t>
      </w:r>
    </w:p>
    <w:p>
      <w:pPr>
        <w:pStyle w:val="Normal"/>
        <w:shd w:fill="C0C0C0" w:val="clear"/>
        <w:rPr>
          <w:rFonts w:ascii="Tahoma" w:hAnsi="Tahoma" w:cs="Tahoma"/>
          <w:b/>
          <w:b/>
          <w:bCs/>
          <w:sz w:val="32"/>
          <w:szCs w:val="32"/>
        </w:rPr>
      </w:pPr>
      <w:r>
        <w:rPr>
          <w:rFonts w:cs="Tahoma" w:ascii="Tahoma" w:hAnsi="Tahoma"/>
          <w:b/>
          <w:bCs/>
          <w:sz w:val="32"/>
          <w:szCs w:val="32"/>
        </w:rPr>
      </w:r>
    </w:p>
    <w:p>
      <w:pPr>
        <w:pStyle w:val="Normal"/>
        <w:rPr>
          <w:rFonts w:ascii="Tahoma" w:hAnsi="Tahoma" w:cs="Tahoma"/>
          <w:b/>
          <w:b/>
          <w:bCs/>
          <w:sz w:val="32"/>
          <w:szCs w:val="32"/>
        </w:rPr>
      </w:pPr>
      <w:r>
        <w:rPr>
          <w:rFonts w:cs="Tahoma" w:ascii="Tahoma" w:hAnsi="Tahoma"/>
          <w:b/>
          <w:bCs/>
          <w:sz w:val="32"/>
          <w:szCs w:val="32"/>
        </w:rPr>
      </w:r>
    </w:p>
    <w:p>
      <w:pPr>
        <w:pStyle w:val="Normal"/>
        <w:rPr>
          <w:rFonts w:ascii="Tahoma" w:hAnsi="Tahoma" w:cs="Tahoma"/>
          <w:sz w:val="22"/>
          <w:szCs w:val="22"/>
        </w:rPr>
      </w:pPr>
      <w:r>
        <w:rPr>
          <w:rFonts w:cs="Tahoma" w:ascii="Tahoma" w:hAnsi="Tahoma"/>
          <w:sz w:val="22"/>
          <w:szCs w:val="22"/>
        </w:rPr>
        <w:t>Entre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b/>
          <w:bCs/>
          <w:sz w:val="22"/>
          <w:szCs w:val="22"/>
        </w:rPr>
        <w:t>La Société Vibracoustic Nantes SAS</w:t>
      </w:r>
      <w:r>
        <w:rPr>
          <w:rFonts w:cs="Tahoma" w:ascii="Tahoma" w:hAnsi="Tahoma"/>
          <w:sz w:val="22"/>
          <w:szCs w:val="22"/>
        </w:rPr>
        <w:t>, dont le siège social est situé Rue du Tertre, ZI de Nantes, BP 10419, 44474 CARQUEFOU, représentée par</w:t>
      </w:r>
      <w:r>
        <w:rPr>
          <w:rFonts w:cs="Tahoma" w:ascii="Tahoma" w:hAnsi="Tahoma"/>
          <w:b/>
          <w:bCs/>
          <w:sz w:val="22"/>
          <w:szCs w:val="22"/>
        </w:rPr>
        <w:t>….</w:t>
      </w:r>
      <w:r>
        <w:rPr>
          <w:rFonts w:cs="Tahoma" w:ascii="Tahoma" w:hAnsi="Tahoma"/>
          <w:sz w:val="22"/>
          <w:szCs w:val="22"/>
        </w:rPr>
        <w:t>, Directeur d’Usine,</w:t>
      </w:r>
    </w:p>
    <w:p>
      <w:pPr>
        <w:pStyle w:val="Normal"/>
        <w:jc w:val="both"/>
        <w:rPr>
          <w:rFonts w:ascii="Tahoma" w:hAnsi="Tahoma" w:cs="Tahoma"/>
          <w:sz w:val="22"/>
          <w:szCs w:val="22"/>
        </w:rPr>
      </w:pPr>
      <w:r>
        <w:rPr>
          <w:rFonts w:cs="Tahoma" w:ascii="Tahoma" w:hAnsi="Tahoma"/>
          <w:sz w:val="22"/>
          <w:szCs w:val="22"/>
        </w:rPr>
      </w:r>
    </w:p>
    <w:p>
      <w:pPr>
        <w:pStyle w:val="Normal"/>
        <w:ind w:left="7080" w:firstLine="708"/>
        <w:jc w:val="both"/>
        <w:rPr/>
      </w:pPr>
      <w:r>
        <w:rPr>
          <w:rFonts w:cs="Tahoma" w:ascii="Tahoma" w:hAnsi="Tahoma"/>
          <w:sz w:val="22"/>
          <w:szCs w:val="22"/>
        </w:rPr>
        <w:t xml:space="preserve">d’une part, </w:t>
      </w:r>
    </w:p>
    <w:p>
      <w:pPr>
        <w:pStyle w:val="Normal"/>
        <w:jc w:val="both"/>
        <w:rPr>
          <w:rFonts w:ascii="Tahoma" w:hAnsi="Tahoma" w:cs="Tahoma"/>
          <w:sz w:val="22"/>
          <w:szCs w:val="22"/>
        </w:rPr>
      </w:pPr>
      <w:r>
        <w:rPr>
          <w:rFonts w:cs="Tahoma" w:ascii="Tahoma" w:hAnsi="Tahoma"/>
          <w:sz w:val="22"/>
          <w:szCs w:val="22"/>
        </w:rPr>
        <w:t xml:space="preserve">Et </w:t>
      </w:r>
    </w:p>
    <w:p>
      <w:pPr>
        <w:pStyle w:val="Normal"/>
        <w:jc w:val="both"/>
        <w:rPr>
          <w:rFonts w:ascii="Tahoma" w:hAnsi="Tahoma" w:cs="Tahoma"/>
          <w:sz w:val="22"/>
          <w:szCs w:val="22"/>
        </w:rPr>
      </w:pPr>
      <w:r>
        <w:rPr>
          <w:rFonts w:cs="Tahoma" w:ascii="Tahoma" w:hAnsi="Tahoma"/>
          <w:sz w:val="22"/>
          <w:szCs w:val="22"/>
        </w:rPr>
        <w:t>Les organisations syndicales représentatives au sein de la Société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b/>
          <w:bCs/>
          <w:sz w:val="22"/>
          <w:szCs w:val="22"/>
        </w:rPr>
        <w:t>C.F.D.T.</w:t>
      </w:r>
      <w:r>
        <w:rPr>
          <w:rFonts w:cs="Tahoma" w:ascii="Tahoma" w:hAnsi="Tahoma"/>
          <w:sz w:val="22"/>
          <w:szCs w:val="22"/>
        </w:rPr>
        <w:t xml:space="preserve"> représentée par </w:t>
      </w:r>
      <w:r>
        <w:rPr>
          <w:rFonts w:cs="Tahoma" w:ascii="Tahoma" w:hAnsi="Tahoma"/>
          <w:b/>
          <w:bCs/>
          <w:sz w:val="22"/>
          <w:szCs w:val="22"/>
        </w:rPr>
        <w:t>…</w:t>
      </w:r>
      <w:r>
        <w:rPr>
          <w:rFonts w:cs="Tahoma" w:ascii="Tahoma" w:hAnsi="Tahoma"/>
          <w:sz w:val="22"/>
          <w:szCs w:val="22"/>
        </w:rPr>
        <w:t xml:space="preserve">, Délégué syndical </w:t>
      </w:r>
    </w:p>
    <w:p>
      <w:pPr>
        <w:pStyle w:val="Normal"/>
        <w:jc w:val="both"/>
        <w:rPr>
          <w:rFonts w:ascii="Tahoma" w:hAnsi="Tahoma" w:cs="Tahoma"/>
          <w:sz w:val="22"/>
          <w:szCs w:val="22"/>
        </w:rPr>
      </w:pPr>
      <w:r>
        <w:rPr>
          <w:rFonts w:cs="Tahoma" w:ascii="Tahoma" w:hAnsi="Tahoma"/>
          <w:b/>
          <w:bCs/>
          <w:sz w:val="22"/>
          <w:szCs w:val="22"/>
        </w:rPr>
        <w:t>C.G.T.</w:t>
      </w:r>
      <w:r>
        <w:rPr>
          <w:rFonts w:cs="Tahoma" w:ascii="Tahoma" w:hAnsi="Tahoma"/>
          <w:sz w:val="22"/>
          <w:szCs w:val="22"/>
        </w:rPr>
        <w:t xml:space="preserve"> représentée par </w:t>
      </w:r>
      <w:r>
        <w:rPr>
          <w:rFonts w:cs="Tahoma" w:ascii="Tahoma" w:hAnsi="Tahoma"/>
          <w:b/>
          <w:bCs/>
          <w:sz w:val="22"/>
          <w:szCs w:val="22"/>
        </w:rPr>
        <w:t>…</w:t>
      </w:r>
      <w:r>
        <w:rPr>
          <w:rFonts w:cs="Tahoma" w:ascii="Tahoma" w:hAnsi="Tahoma"/>
          <w:sz w:val="22"/>
          <w:szCs w:val="22"/>
        </w:rPr>
        <w:t xml:space="preserve">, Délégué syndical </w:t>
      </w:r>
    </w:p>
    <w:p>
      <w:pPr>
        <w:pStyle w:val="Normal"/>
        <w:ind w:left="7080" w:firstLine="708"/>
        <w:rPr>
          <w:rFonts w:ascii="Tahoma" w:hAnsi="Tahoma" w:cs="Tahoma"/>
          <w:sz w:val="22"/>
          <w:szCs w:val="22"/>
        </w:rPr>
      </w:pPr>
      <w:r>
        <w:rPr>
          <w:rFonts w:cs="Tahoma" w:ascii="Tahoma" w:hAnsi="Tahoma"/>
          <w:sz w:val="22"/>
          <w:szCs w:val="22"/>
        </w:rPr>
        <w:t>d’autre part,</w:t>
      </w:r>
    </w:p>
    <w:p>
      <w:pPr>
        <w:pStyle w:val="Normal"/>
        <w:rPr>
          <w:rFonts w:ascii="Tahoma" w:hAnsi="Tahoma" w:cs="Tahoma"/>
          <w:sz w:val="22"/>
          <w:szCs w:val="22"/>
        </w:rPr>
      </w:pPr>
      <w:r>
        <w:rPr>
          <w:rFonts w:cs="Tahoma" w:ascii="Tahoma" w:hAnsi="Tahoma"/>
          <w:sz w:val="22"/>
          <w:szCs w:val="22"/>
        </w:rPr>
      </w:r>
    </w:p>
    <w:p>
      <w:pPr>
        <w:pStyle w:val="Corpsdetexte2"/>
        <w:rPr/>
      </w:pPr>
      <w:r>
        <w:rPr>
          <w:rFonts w:cs="Tahoma" w:ascii="Tahoma" w:hAnsi="Tahoma"/>
          <w:sz w:val="22"/>
          <w:szCs w:val="22"/>
        </w:rPr>
        <w:t>Il est établi, pour l’année 2020, les dispositions suivantes :</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b/>
          <w:b/>
          <w:bCs/>
          <w:sz w:val="22"/>
          <w:szCs w:val="22"/>
          <w:u w:val="single"/>
        </w:rPr>
      </w:pPr>
      <w:r>
        <w:rPr>
          <w:rFonts w:cs="Tahoma" w:ascii="Tahoma" w:hAnsi="Tahoma"/>
          <w:b/>
          <w:bCs/>
          <w:sz w:val="22"/>
          <w:szCs w:val="22"/>
          <w:u w:val="single"/>
        </w:rPr>
        <w:t>Préambule et champ d’application</w:t>
      </w:r>
    </w:p>
    <w:p>
      <w:pPr>
        <w:pStyle w:val="Normal"/>
        <w:rPr>
          <w:rFonts w:ascii="Tahoma" w:hAnsi="Tahoma" w:cs="Tahoma"/>
          <w:b/>
          <w:b/>
          <w:bCs/>
          <w:sz w:val="22"/>
          <w:szCs w:val="22"/>
          <w:u w:val="single"/>
        </w:rPr>
      </w:pPr>
      <w:r>
        <w:rPr>
          <w:rFonts w:cs="Tahoma" w:ascii="Tahoma" w:hAnsi="Tahoma"/>
          <w:b/>
          <w:bCs/>
          <w:sz w:val="22"/>
          <w:szCs w:val="22"/>
          <w:u w:val="single"/>
        </w:rPr>
      </w:r>
    </w:p>
    <w:p>
      <w:pPr>
        <w:pStyle w:val="Normal"/>
        <w:jc w:val="both"/>
        <w:rPr/>
      </w:pPr>
      <w:r>
        <w:rPr>
          <w:rFonts w:cs="Tahoma" w:ascii="Tahoma" w:hAnsi="Tahoma"/>
          <w:sz w:val="22"/>
          <w:szCs w:val="22"/>
        </w:rPr>
        <w:t>Conformément aux articles L. 2242-1 et suivants du Code du Travail, se sont tenues aux dates suivantes :</w:t>
      </w:r>
    </w:p>
    <w:p>
      <w:pPr>
        <w:pStyle w:val="Normal"/>
        <w:numPr>
          <w:ilvl w:val="0"/>
          <w:numId w:val="2"/>
        </w:numPr>
        <w:jc w:val="both"/>
        <w:rPr>
          <w:rFonts w:ascii="Tahoma" w:hAnsi="Tahoma" w:cs="Tahoma"/>
          <w:sz w:val="22"/>
          <w:szCs w:val="22"/>
        </w:rPr>
      </w:pPr>
      <w:r>
        <w:rPr>
          <w:rFonts w:cs="Tahoma" w:ascii="Tahoma" w:hAnsi="Tahoma"/>
          <w:sz w:val="22"/>
          <w:szCs w:val="22"/>
        </w:rPr>
        <w:t>Lundi 13 Janvier 2020</w:t>
      </w:r>
    </w:p>
    <w:p>
      <w:pPr>
        <w:pStyle w:val="Normal"/>
        <w:numPr>
          <w:ilvl w:val="0"/>
          <w:numId w:val="2"/>
        </w:numPr>
        <w:jc w:val="both"/>
        <w:rPr>
          <w:rFonts w:ascii="Tahoma" w:hAnsi="Tahoma" w:cs="Tahoma"/>
          <w:sz w:val="22"/>
          <w:szCs w:val="22"/>
        </w:rPr>
      </w:pPr>
      <w:r>
        <w:rPr>
          <w:rFonts w:cs="Tahoma" w:ascii="Tahoma" w:hAnsi="Tahoma"/>
          <w:sz w:val="22"/>
          <w:szCs w:val="22"/>
        </w:rPr>
        <w:t>Lundi 20 Janvier 2020</w:t>
      </w:r>
    </w:p>
    <w:p>
      <w:pPr>
        <w:pStyle w:val="Normal"/>
        <w:numPr>
          <w:ilvl w:val="0"/>
          <w:numId w:val="2"/>
        </w:numPr>
        <w:jc w:val="both"/>
        <w:rPr>
          <w:rFonts w:ascii="Tahoma" w:hAnsi="Tahoma" w:cs="Tahoma"/>
          <w:sz w:val="22"/>
          <w:szCs w:val="22"/>
        </w:rPr>
      </w:pPr>
      <w:r>
        <w:rPr>
          <w:rFonts w:cs="Tahoma" w:ascii="Tahoma" w:hAnsi="Tahoma"/>
          <w:sz w:val="22"/>
          <w:szCs w:val="22"/>
        </w:rPr>
        <w:t>Lundi 27 Janvier 2020</w:t>
      </w:r>
    </w:p>
    <w:p>
      <w:pPr>
        <w:pStyle w:val="Normal"/>
        <w:numPr>
          <w:ilvl w:val="0"/>
          <w:numId w:val="2"/>
        </w:numPr>
        <w:jc w:val="both"/>
        <w:rPr>
          <w:rFonts w:ascii="Tahoma" w:hAnsi="Tahoma" w:cs="Tahoma"/>
          <w:sz w:val="22"/>
          <w:szCs w:val="22"/>
        </w:rPr>
      </w:pPr>
      <w:r>
        <w:rPr>
          <w:rFonts w:cs="Tahoma" w:ascii="Tahoma" w:hAnsi="Tahoma"/>
          <w:sz w:val="22"/>
          <w:szCs w:val="22"/>
        </w:rPr>
        <w:t>Jeudi 30 Janvier 2020</w:t>
      </w:r>
    </w:p>
    <w:p>
      <w:pPr>
        <w:pStyle w:val="Normal"/>
        <w:ind w:left="720" w:hanging="0"/>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des réunions afin de conduire les négociations annuelles obligatoires. Conformément aux dispositions légales, ces dernières ont porté sur : la rémunération, le temps de travail et le partage de la valeur ajoutée dans l’entreprise.</w:t>
      </w:r>
    </w:p>
    <w:p>
      <w:pPr>
        <w:pStyle w:val="Normal"/>
        <w:ind w:right="295" w:hanging="0"/>
        <w:jc w:val="both"/>
        <w:rPr>
          <w:rFonts w:ascii="Tahoma" w:hAnsi="Tahoma" w:cs="Tahoma"/>
          <w:sz w:val="22"/>
          <w:szCs w:val="22"/>
        </w:rPr>
      </w:pPr>
      <w:r>
        <w:rPr>
          <w:rFonts w:cs="Tahoma" w:ascii="Tahoma" w:hAnsi="Tahoma"/>
          <w:sz w:val="22"/>
          <w:szCs w:val="22"/>
        </w:rPr>
      </w:r>
    </w:p>
    <w:p>
      <w:pPr>
        <w:pStyle w:val="Normal"/>
        <w:ind w:right="295" w:hanging="0"/>
        <w:jc w:val="both"/>
        <w:rPr/>
      </w:pPr>
      <w:r>
        <w:rPr>
          <w:rFonts w:cs="Tahoma" w:ascii="Tahoma" w:hAnsi="Tahoma"/>
          <w:sz w:val="22"/>
          <w:szCs w:val="22"/>
        </w:rPr>
        <w:t>Le présent accord s’applique à l’ensemble du personnel de Vibracoustic Nantes.</w:t>
      </w:r>
    </w:p>
    <w:p>
      <w:pPr>
        <w:pStyle w:val="Normal"/>
        <w:ind w:right="295" w:hanging="0"/>
        <w:jc w:val="both"/>
        <w:rPr>
          <w:rFonts w:ascii="Tahoma" w:hAnsi="Tahoma" w:cs="Tahoma"/>
          <w:sz w:val="22"/>
          <w:szCs w:val="22"/>
        </w:rPr>
      </w:pPr>
      <w:r>
        <w:rPr>
          <w:rFonts w:cs="Tahoma" w:ascii="Tahoma" w:hAnsi="Tahoma"/>
          <w:sz w:val="22"/>
          <w:szCs w:val="22"/>
        </w:rPr>
        <w:t>Le processus d’augmentation des salaires pour la catégorie cadres est géré conjointement avec le Groupe Vibracoustic.</w:t>
      </w:r>
    </w:p>
    <w:p>
      <w:pPr>
        <w:pStyle w:val="Normal"/>
        <w:ind w:right="295" w:hanging="0"/>
        <w:jc w:val="both"/>
        <w:rPr>
          <w:rFonts w:ascii="Tahoma" w:hAnsi="Tahoma" w:cs="Tahoma"/>
          <w:b/>
          <w:b/>
          <w:bCs/>
          <w:sz w:val="22"/>
          <w:szCs w:val="22"/>
          <w:u w:val="single"/>
        </w:rPr>
      </w:pPr>
      <w:r>
        <w:rPr>
          <w:rFonts w:cs="Tahoma" w:ascii="Tahoma" w:hAnsi="Tahoma"/>
          <w:b/>
          <w:bCs/>
          <w:sz w:val="22"/>
          <w:szCs w:val="22"/>
          <w:u w:val="single"/>
        </w:rPr>
      </w:r>
    </w:p>
    <w:p>
      <w:pPr>
        <w:pStyle w:val="Normal"/>
        <w:ind w:right="295" w:hanging="0"/>
        <w:jc w:val="both"/>
        <w:rPr>
          <w:rFonts w:ascii="Tahoma" w:hAnsi="Tahoma" w:cs="Tahoma"/>
          <w:b/>
          <w:b/>
          <w:bCs/>
          <w:sz w:val="22"/>
          <w:szCs w:val="22"/>
          <w:u w:val="single"/>
        </w:rPr>
      </w:pPr>
      <w:r>
        <w:rPr>
          <w:rFonts w:cs="Tahoma" w:ascii="Tahoma" w:hAnsi="Tahoma"/>
          <w:b/>
          <w:bCs/>
          <w:sz w:val="22"/>
          <w:szCs w:val="22"/>
          <w:u w:val="single"/>
        </w:rPr>
        <w:t>Article 1 : Augmentation des salaires 2020</w:t>
      </w:r>
    </w:p>
    <w:p>
      <w:pPr>
        <w:pStyle w:val="Normal"/>
        <w:ind w:right="295" w:hanging="0"/>
        <w:jc w:val="both"/>
        <w:rPr>
          <w:rFonts w:ascii="Tahoma" w:hAnsi="Tahoma" w:cs="Tahoma"/>
          <w:b/>
          <w:b/>
          <w:bCs/>
          <w:sz w:val="22"/>
          <w:szCs w:val="22"/>
          <w:u w:val="single"/>
        </w:rPr>
      </w:pPr>
      <w:r>
        <w:rPr>
          <w:rFonts w:cs="Tahoma" w:ascii="Tahoma" w:hAnsi="Tahoma"/>
          <w:b/>
          <w:bCs/>
          <w:sz w:val="22"/>
          <w:szCs w:val="22"/>
          <w:u w:val="single"/>
        </w:rPr>
      </w:r>
    </w:p>
    <w:p>
      <w:pPr>
        <w:pStyle w:val="Normal"/>
        <w:tabs>
          <w:tab w:val="left" w:pos="709" w:leader="none"/>
          <w:tab w:val="left" w:pos="1843" w:leader="none"/>
        </w:tabs>
        <w:ind w:right="72" w:hanging="0"/>
        <w:jc w:val="both"/>
        <w:rPr>
          <w:rFonts w:ascii="Tahoma" w:hAnsi="Tahoma" w:cs="Tahoma"/>
          <w:sz w:val="22"/>
          <w:szCs w:val="22"/>
        </w:rPr>
      </w:pPr>
      <w:r>
        <w:rPr>
          <w:rFonts w:cs="Tahoma" w:ascii="Tahoma" w:hAnsi="Tahoma"/>
          <w:sz w:val="22"/>
          <w:szCs w:val="22"/>
        </w:rPr>
        <w:t xml:space="preserve">Compte tenu </w:t>
      </w:r>
    </w:p>
    <w:p>
      <w:pPr>
        <w:pStyle w:val="Normal"/>
        <w:numPr>
          <w:ilvl w:val="0"/>
          <w:numId w:val="2"/>
        </w:numPr>
        <w:tabs>
          <w:tab w:val="left" w:pos="709" w:leader="none"/>
          <w:tab w:val="left" w:pos="1843" w:leader="none"/>
        </w:tabs>
        <w:ind w:left="720" w:right="72" w:hanging="360"/>
        <w:jc w:val="both"/>
        <w:rPr>
          <w:rFonts w:ascii="Tahoma" w:hAnsi="Tahoma" w:cs="Tahoma"/>
          <w:sz w:val="22"/>
          <w:szCs w:val="22"/>
        </w:rPr>
      </w:pPr>
      <w:r>
        <w:rPr>
          <w:rFonts w:cs="Tahoma" w:ascii="Tahoma" w:hAnsi="Tahoma"/>
          <w:sz w:val="22"/>
          <w:szCs w:val="22"/>
        </w:rPr>
        <w:t xml:space="preserve">du niveau d’inflation constaté pour 2019, </w:t>
      </w:r>
    </w:p>
    <w:p>
      <w:pPr>
        <w:pStyle w:val="Normal"/>
        <w:numPr>
          <w:ilvl w:val="0"/>
          <w:numId w:val="2"/>
        </w:numPr>
        <w:tabs>
          <w:tab w:val="left" w:pos="709" w:leader="none"/>
          <w:tab w:val="left" w:pos="1843" w:leader="none"/>
        </w:tabs>
        <w:ind w:left="720" w:right="72" w:hanging="360"/>
        <w:jc w:val="both"/>
        <w:rPr>
          <w:rFonts w:ascii="Tahoma" w:hAnsi="Tahoma" w:cs="Tahoma"/>
          <w:sz w:val="22"/>
          <w:szCs w:val="22"/>
        </w:rPr>
      </w:pPr>
      <w:r>
        <w:rPr>
          <w:rFonts w:cs="Tahoma" w:ascii="Tahoma" w:hAnsi="Tahoma"/>
          <w:sz w:val="22"/>
          <w:szCs w:val="22"/>
        </w:rPr>
        <w:t>des résultats de l’année 2019,</w:t>
      </w:r>
    </w:p>
    <w:p>
      <w:pPr>
        <w:pStyle w:val="Normal"/>
        <w:numPr>
          <w:ilvl w:val="0"/>
          <w:numId w:val="2"/>
        </w:numPr>
        <w:tabs>
          <w:tab w:val="left" w:pos="709" w:leader="none"/>
          <w:tab w:val="left" w:pos="1843" w:leader="none"/>
        </w:tabs>
        <w:ind w:left="720" w:right="72" w:hanging="360"/>
        <w:jc w:val="both"/>
        <w:rPr/>
      </w:pPr>
      <w:r>
        <w:rPr>
          <w:rFonts w:cs="Tahoma" w:ascii="Tahoma" w:hAnsi="Tahoma"/>
          <w:sz w:val="22"/>
          <w:szCs w:val="22"/>
        </w:rPr>
        <w:t xml:space="preserve">de la charte de fonctionnement relative aux augmentations de salaire, </w:t>
      </w:r>
    </w:p>
    <w:p>
      <w:pPr>
        <w:pStyle w:val="Normal"/>
        <w:numPr>
          <w:ilvl w:val="0"/>
          <w:numId w:val="2"/>
        </w:numPr>
        <w:tabs>
          <w:tab w:val="left" w:pos="709" w:leader="none"/>
          <w:tab w:val="left" w:pos="1843" w:leader="none"/>
        </w:tabs>
        <w:ind w:left="720" w:right="72" w:hanging="360"/>
        <w:jc w:val="both"/>
        <w:rPr>
          <w:rFonts w:ascii="Tahoma" w:hAnsi="Tahoma" w:cs="Tahoma"/>
          <w:sz w:val="22"/>
          <w:szCs w:val="22"/>
        </w:rPr>
      </w:pPr>
      <w:r>
        <w:rPr>
          <w:rFonts w:cs="Tahoma" w:ascii="Tahoma" w:hAnsi="Tahoma"/>
          <w:sz w:val="22"/>
          <w:szCs w:val="22"/>
        </w:rPr>
        <w:t xml:space="preserve">des souhaits des Salariés, </w:t>
      </w:r>
    </w:p>
    <w:p>
      <w:pPr>
        <w:pStyle w:val="Normal"/>
        <w:tabs>
          <w:tab w:val="left" w:pos="1843" w:leader="none"/>
        </w:tabs>
        <w:ind w:right="72" w:hanging="0"/>
        <w:jc w:val="both"/>
        <w:rPr>
          <w:rFonts w:ascii="Tahoma" w:hAnsi="Tahoma" w:cs="Tahoma"/>
          <w:sz w:val="22"/>
          <w:szCs w:val="22"/>
        </w:rPr>
      </w:pPr>
      <w:r>
        <w:rPr>
          <w:rFonts w:cs="Tahoma" w:ascii="Tahoma" w:hAnsi="Tahoma"/>
          <w:sz w:val="22"/>
          <w:szCs w:val="22"/>
        </w:rPr>
      </w:r>
    </w:p>
    <w:p>
      <w:pPr>
        <w:pStyle w:val="Normal"/>
        <w:tabs>
          <w:tab w:val="left" w:pos="709" w:leader="none"/>
          <w:tab w:val="left" w:pos="1843" w:leader="none"/>
        </w:tabs>
        <w:ind w:right="72" w:hanging="0"/>
        <w:jc w:val="both"/>
        <w:rPr/>
      </w:pPr>
      <w:r>
        <w:rPr>
          <w:rFonts w:cs="Tahoma" w:ascii="Tahoma" w:hAnsi="Tahoma"/>
          <w:sz w:val="22"/>
          <w:szCs w:val="22"/>
        </w:rPr>
        <w:t>les Partenaires Sociaux et la Direction sont parvenus à l’accord suivant :</w:t>
      </w:r>
    </w:p>
    <w:p>
      <w:pPr>
        <w:pStyle w:val="Normal"/>
        <w:ind w:right="72" w:hanging="0"/>
        <w:jc w:val="both"/>
        <w:rPr>
          <w:rFonts w:ascii="Tahoma" w:hAnsi="Tahoma" w:cs="Tahoma"/>
          <w:sz w:val="16"/>
          <w:szCs w:val="16"/>
        </w:rPr>
      </w:pPr>
      <w:r>
        <w:rPr>
          <w:rFonts w:cs="Tahoma" w:ascii="Tahoma" w:hAnsi="Tahoma"/>
          <w:sz w:val="16"/>
          <w:szCs w:val="16"/>
        </w:rPr>
      </w:r>
    </w:p>
    <w:p>
      <w:pPr>
        <w:pStyle w:val="Normal"/>
        <w:ind w:right="72" w:hanging="0"/>
        <w:jc w:val="both"/>
        <w:rPr>
          <w:rFonts w:ascii="Tahoma" w:hAnsi="Tahoma" w:cs="Tahoma"/>
          <w:b/>
          <w:b/>
          <w:sz w:val="22"/>
          <w:szCs w:val="22"/>
        </w:rPr>
      </w:pPr>
      <w:r>
        <w:rPr>
          <w:rFonts w:cs="Tahoma" w:ascii="Tahoma" w:hAnsi="Tahoma"/>
          <w:b/>
          <w:sz w:val="22"/>
          <w:szCs w:val="22"/>
        </w:rPr>
      </w:r>
    </w:p>
    <w:p>
      <w:pPr>
        <w:pStyle w:val="Normal"/>
        <w:ind w:right="72" w:hanging="0"/>
        <w:jc w:val="both"/>
        <w:rPr>
          <w:rFonts w:ascii="Tahoma" w:hAnsi="Tahoma" w:cs="Tahoma"/>
          <w:b/>
          <w:b/>
          <w:sz w:val="22"/>
          <w:szCs w:val="22"/>
        </w:rPr>
      </w:pPr>
      <w:r>
        <w:rPr>
          <w:rFonts w:cs="Tahoma" w:ascii="Tahoma" w:hAnsi="Tahoma"/>
          <w:b/>
          <w:sz w:val="22"/>
          <w:szCs w:val="22"/>
        </w:rPr>
        <w:t>Au 1</w:t>
      </w:r>
      <w:r>
        <w:rPr>
          <w:rFonts w:cs="Tahoma" w:ascii="Tahoma" w:hAnsi="Tahoma"/>
          <w:b/>
          <w:sz w:val="22"/>
          <w:szCs w:val="22"/>
          <w:vertAlign w:val="superscript"/>
        </w:rPr>
        <w:t>er</w:t>
      </w:r>
      <w:r>
        <w:rPr>
          <w:rFonts w:cs="Tahoma" w:ascii="Tahoma" w:hAnsi="Tahoma"/>
          <w:b/>
          <w:sz w:val="22"/>
          <w:szCs w:val="22"/>
        </w:rPr>
        <w:t xml:space="preserve"> avril 2020, une enveloppe moyenne d’augmentations individuelles de 1.8% - dont un talon de 18 euros bruts mensuels par salarié non-cadre embauché avant le 1</w:t>
      </w:r>
      <w:r>
        <w:rPr>
          <w:rFonts w:cs="Tahoma" w:ascii="Tahoma" w:hAnsi="Tahoma"/>
          <w:b/>
          <w:sz w:val="22"/>
          <w:szCs w:val="22"/>
          <w:vertAlign w:val="superscript"/>
        </w:rPr>
        <w:t>er</w:t>
      </w:r>
      <w:r>
        <w:rPr>
          <w:rFonts w:cs="Tahoma" w:ascii="Tahoma" w:hAnsi="Tahoma"/>
          <w:b/>
          <w:sz w:val="22"/>
          <w:szCs w:val="22"/>
        </w:rPr>
        <w:t xml:space="preserve"> Septembre 2019.</w:t>
      </w:r>
    </w:p>
    <w:p>
      <w:pPr>
        <w:pStyle w:val="Normal"/>
        <w:ind w:right="72" w:hanging="0"/>
        <w:jc w:val="both"/>
        <w:rPr>
          <w:rFonts w:ascii="Tahoma" w:hAnsi="Tahoma" w:cs="Tahoma"/>
          <w:b/>
          <w:b/>
          <w:sz w:val="22"/>
          <w:szCs w:val="22"/>
        </w:rPr>
      </w:pPr>
      <w:r>
        <w:rPr>
          <w:rFonts w:cs="Tahoma" w:ascii="Tahoma" w:hAnsi="Tahoma"/>
          <w:b/>
          <w:sz w:val="22"/>
          <w:szCs w:val="22"/>
        </w:rPr>
      </w:r>
    </w:p>
    <w:p>
      <w:pPr>
        <w:pStyle w:val="Normal"/>
        <w:ind w:right="72" w:hanging="0"/>
        <w:jc w:val="both"/>
        <w:rPr>
          <w:rFonts w:ascii="Tahoma" w:hAnsi="Tahoma" w:cs="Tahoma"/>
          <w:bCs/>
          <w:sz w:val="22"/>
          <w:szCs w:val="22"/>
        </w:rPr>
      </w:pPr>
      <w:r>
        <w:rPr>
          <w:rFonts w:cs="Tahoma" w:ascii="Tahoma" w:hAnsi="Tahoma"/>
          <w:bCs/>
          <w:sz w:val="22"/>
          <w:szCs w:val="22"/>
        </w:rPr>
        <w:t>Chaque salarié qui bénéficiera du talon (pour les Non-Cadres) ou ne bénéficiera d’aucune augmentation de salaire (pour les Cadres) recevra systématiquement une explication de la part de son responsable hiérarchique et un point de discussion sera également planifié 6 mois après.</w:t>
      </w:r>
    </w:p>
    <w:p>
      <w:pPr>
        <w:pStyle w:val="Normal"/>
        <w:ind w:right="72" w:hanging="0"/>
        <w:jc w:val="both"/>
        <w:rPr>
          <w:rFonts w:ascii="Tahoma" w:hAnsi="Tahoma" w:cs="Tahoma"/>
          <w:bCs/>
          <w:sz w:val="22"/>
          <w:szCs w:val="22"/>
        </w:rPr>
      </w:pPr>
      <w:r>
        <w:rPr>
          <w:rFonts w:cs="Tahoma" w:ascii="Tahoma" w:hAnsi="Tahoma"/>
          <w:bCs/>
          <w:sz w:val="22"/>
          <w:szCs w:val="22"/>
        </w:rPr>
        <w:t>Si cette situation (augmentation minimum ou talon) s’avérait récurrente depuis 2 ans, le salarié sera reçu en entretien par la Direction RH ou le responsable N+2 et un plan d’action sera mis au point pour améliorer la situation.</w:t>
      </w:r>
    </w:p>
    <w:p>
      <w:pPr>
        <w:pStyle w:val="Normal"/>
        <w:ind w:right="72" w:hanging="0"/>
        <w:jc w:val="both"/>
        <w:rPr>
          <w:rFonts w:ascii="Tahoma" w:hAnsi="Tahoma" w:cs="Tahoma"/>
          <w:bCs/>
          <w:sz w:val="22"/>
          <w:szCs w:val="22"/>
        </w:rPr>
      </w:pPr>
      <w:r>
        <w:rPr>
          <w:rFonts w:cs="Tahoma" w:ascii="Tahoma" w:hAnsi="Tahoma"/>
          <w:bCs/>
          <w:sz w:val="22"/>
          <w:szCs w:val="22"/>
        </w:rPr>
      </w:r>
    </w:p>
    <w:p>
      <w:pPr>
        <w:pStyle w:val="Normal"/>
        <w:ind w:right="72" w:hanging="0"/>
        <w:jc w:val="both"/>
        <w:rPr>
          <w:rFonts w:ascii="Tahoma" w:hAnsi="Tahoma" w:cs="Tahoma"/>
          <w:bCs/>
          <w:sz w:val="22"/>
          <w:szCs w:val="22"/>
        </w:rPr>
      </w:pPr>
      <w:r>
        <w:rPr>
          <w:rFonts w:cs="Tahoma" w:ascii="Tahoma" w:hAnsi="Tahoma"/>
          <w:bCs/>
          <w:sz w:val="22"/>
          <w:szCs w:val="22"/>
        </w:rPr>
        <w:t>Ces dispositions concernant l’accompagnement des non-augmentations de salaire ou augmentations minimum feront l’objet d’un accord qui sera négocié avant fin avril 2020.</w:t>
      </w:r>
    </w:p>
    <w:p>
      <w:pPr>
        <w:pStyle w:val="Normal"/>
        <w:ind w:right="72" w:hanging="0"/>
        <w:jc w:val="both"/>
        <w:rPr>
          <w:rFonts w:ascii="Tahoma" w:hAnsi="Tahoma" w:cs="Tahoma"/>
          <w:bCs/>
          <w:color w:val="FF0000"/>
          <w:sz w:val="22"/>
          <w:szCs w:val="22"/>
        </w:rPr>
      </w:pPr>
      <w:r>
        <w:rPr>
          <w:rFonts w:cs="Tahoma" w:ascii="Tahoma" w:hAnsi="Tahoma"/>
          <w:bCs/>
          <w:color w:val="FF0000"/>
          <w:sz w:val="22"/>
          <w:szCs w:val="22"/>
        </w:rPr>
      </w:r>
    </w:p>
    <w:p>
      <w:pPr>
        <w:pStyle w:val="Heading4"/>
        <w:numPr>
          <w:ilvl w:val="3"/>
          <w:numId w:val="1"/>
        </w:numPr>
        <w:ind w:right="295" w:hanging="0"/>
        <w:jc w:val="both"/>
        <w:rPr/>
      </w:pPr>
      <w:r>
        <w:rPr>
          <w:rFonts w:cs="Tahoma" w:ascii="Tahoma" w:hAnsi="Tahoma"/>
          <w:sz w:val="22"/>
          <w:szCs w:val="22"/>
        </w:rPr>
        <w:t>Article 2 : Durée effective et Organisation du temps de travail</w:t>
      </w:r>
    </w:p>
    <w:p>
      <w:pPr>
        <w:pStyle w:val="Normal"/>
        <w:tabs>
          <w:tab w:val="left" w:pos="851" w:leader="none"/>
        </w:tabs>
        <w:jc w:val="both"/>
        <w:rPr>
          <w:rFonts w:ascii="Tahoma" w:hAnsi="Tahoma" w:cs="Tahoma"/>
          <w:sz w:val="22"/>
          <w:szCs w:val="22"/>
        </w:rPr>
      </w:pPr>
      <w:r>
        <w:rPr>
          <w:rFonts w:cs="Tahoma" w:ascii="Tahoma" w:hAnsi="Tahoma"/>
          <w:sz w:val="22"/>
          <w:szCs w:val="22"/>
        </w:rPr>
      </w:r>
    </w:p>
    <w:p>
      <w:pPr>
        <w:pStyle w:val="Normal"/>
        <w:tabs>
          <w:tab w:val="left" w:pos="851" w:leader="none"/>
        </w:tabs>
        <w:jc w:val="both"/>
        <w:rPr>
          <w:rFonts w:ascii="Tahoma" w:hAnsi="Tahoma" w:cs="Tahoma"/>
          <w:sz w:val="22"/>
          <w:szCs w:val="22"/>
        </w:rPr>
      </w:pPr>
      <w:r>
        <w:rPr>
          <w:rFonts w:cs="Tahoma" w:ascii="Tahoma" w:hAnsi="Tahoma"/>
          <w:sz w:val="22"/>
          <w:szCs w:val="22"/>
        </w:rPr>
        <w:t xml:space="preserve">Les parties rappellent que l’aménagement de la durée du travail est traité dans le cadre d’accords d’entreprise conclus en septembre et novembre 2012. </w:t>
      </w:r>
    </w:p>
    <w:p>
      <w:pPr>
        <w:pStyle w:val="Normal"/>
        <w:tabs>
          <w:tab w:val="left" w:pos="851" w:leader="none"/>
        </w:tabs>
        <w:jc w:val="both"/>
        <w:rPr>
          <w:rFonts w:ascii="Tahoma" w:hAnsi="Tahoma" w:cs="Tahoma"/>
          <w:sz w:val="22"/>
          <w:szCs w:val="22"/>
        </w:rPr>
      </w:pPr>
      <w:r>
        <w:rPr>
          <w:rFonts w:cs="Tahoma" w:ascii="Tahoma" w:hAnsi="Tahoma"/>
          <w:sz w:val="22"/>
          <w:szCs w:val="22"/>
        </w:rPr>
      </w:r>
    </w:p>
    <w:p>
      <w:pPr>
        <w:pStyle w:val="Retraitcorpsdetexte3"/>
        <w:ind w:left="0" w:hanging="0"/>
        <w:jc w:val="both"/>
        <w:rPr>
          <w:rFonts w:ascii="Tahoma" w:hAnsi="Tahoma" w:cs="Tahoma"/>
          <w:sz w:val="22"/>
          <w:szCs w:val="22"/>
        </w:rPr>
      </w:pPr>
      <w:r>
        <w:rPr>
          <w:rFonts w:cs="Tahoma" w:ascii="Tahoma" w:hAnsi="Tahoma"/>
          <w:sz w:val="22"/>
          <w:szCs w:val="22"/>
        </w:rPr>
        <w:t>Dans ces conditions, il n’est pas envisagé, à ce jour, de révisions de ces accords.</w:t>
      </w:r>
    </w:p>
    <w:p>
      <w:pPr>
        <w:pStyle w:val="Retraitcorpsdetexte3"/>
        <w:ind w:left="0" w:hanging="0"/>
        <w:jc w:val="both"/>
        <w:rPr>
          <w:rFonts w:ascii="Tahoma" w:hAnsi="Tahoma" w:cs="Tahoma"/>
          <w:sz w:val="22"/>
          <w:szCs w:val="22"/>
        </w:rPr>
      </w:pPr>
      <w:r>
        <w:rPr>
          <w:rFonts w:cs="Tahoma" w:ascii="Tahoma" w:hAnsi="Tahoma"/>
          <w:sz w:val="22"/>
          <w:szCs w:val="22"/>
        </w:rPr>
        <w:t>La journée « de solidarité » reste une journée supplémentaire de travail sans rémunération complémentaire. Elle a été définie lors du Comité Social et Economique de janvier.</w:t>
      </w:r>
    </w:p>
    <w:p>
      <w:pPr>
        <w:pStyle w:val="Retraitcorpsdetexte3"/>
        <w:ind w:left="0" w:hanging="0"/>
        <w:jc w:val="both"/>
        <w:rPr>
          <w:rFonts w:ascii="Tahoma" w:hAnsi="Tahoma" w:cs="Tahoma"/>
          <w:sz w:val="22"/>
          <w:szCs w:val="22"/>
        </w:rPr>
      </w:pPr>
      <w:r>
        <w:rPr>
          <w:rFonts w:cs="Tahoma" w:ascii="Tahoma" w:hAnsi="Tahoma"/>
          <w:sz w:val="22"/>
          <w:szCs w:val="22"/>
        </w:rPr>
        <w:t>Il est en outre convenu qu’avant la fin du mois de mars 2020, des avenants aux accords temps de travail seront mis au point en concertation avec les élus sur :</w:t>
      </w:r>
    </w:p>
    <w:p>
      <w:pPr>
        <w:pStyle w:val="Retraitcorpsdetexte3"/>
        <w:numPr>
          <w:ilvl w:val="0"/>
          <w:numId w:val="2"/>
        </w:numPr>
        <w:jc w:val="both"/>
        <w:rPr>
          <w:rFonts w:ascii="Tahoma" w:hAnsi="Tahoma" w:cs="Tahoma"/>
          <w:sz w:val="22"/>
          <w:szCs w:val="22"/>
        </w:rPr>
      </w:pPr>
      <w:r>
        <w:rPr>
          <w:rFonts w:cs="Tahoma" w:ascii="Tahoma" w:hAnsi="Tahoma"/>
          <w:sz w:val="22"/>
          <w:szCs w:val="22"/>
        </w:rPr>
        <w:t>L’élargissement des plages horaires fixes applicables aux salariés non-cadres (hors salariés en équipe).</w:t>
      </w:r>
    </w:p>
    <w:p>
      <w:pPr>
        <w:pStyle w:val="Retraitcorpsdetexte3"/>
        <w:numPr>
          <w:ilvl w:val="0"/>
          <w:numId w:val="2"/>
        </w:numPr>
        <w:jc w:val="both"/>
        <w:rPr>
          <w:rFonts w:ascii="Tahoma" w:hAnsi="Tahoma" w:cs="Tahoma"/>
          <w:sz w:val="22"/>
          <w:szCs w:val="22"/>
        </w:rPr>
      </w:pPr>
      <w:r>
        <w:rPr>
          <w:rFonts w:cs="Tahoma" w:ascii="Tahoma" w:hAnsi="Tahoma"/>
          <w:sz w:val="22"/>
          <w:szCs w:val="22"/>
        </w:rPr>
        <w:t>La récupération des temps de trajet effectués le week-end par le personnel cadre au forfait jour.</w:t>
      </w:r>
    </w:p>
    <w:p>
      <w:pPr>
        <w:pStyle w:val="Retraitcorpsdetexte3"/>
        <w:numPr>
          <w:ilvl w:val="0"/>
          <w:numId w:val="2"/>
        </w:numPr>
        <w:jc w:val="both"/>
        <w:rPr>
          <w:rFonts w:ascii="Tahoma" w:hAnsi="Tahoma" w:cs="Tahoma"/>
          <w:sz w:val="22"/>
          <w:szCs w:val="22"/>
        </w:rPr>
      </w:pPr>
      <w:r>
        <w:rPr>
          <w:rFonts w:cs="Tahoma" w:ascii="Tahoma" w:hAnsi="Tahoma"/>
          <w:sz w:val="22"/>
          <w:szCs w:val="22"/>
        </w:rPr>
        <w:t>L’octroi des 8 jours RTT salarié aux non-cadres : dès le début de l’année et non au fur et à mesure dans l’année comme actuellement et de ce fait, la suppression du plafond du compteur RTT salarié à 5 jours. Mise en place prévue au 1/01/2021.</w:t>
      </w:r>
    </w:p>
    <w:p>
      <w:pPr>
        <w:pStyle w:val="Normal"/>
        <w:tabs>
          <w:tab w:val="left" w:pos="851" w:leader="none"/>
        </w:tabs>
        <w:jc w:val="both"/>
        <w:rPr>
          <w:rFonts w:ascii="Tahoma" w:hAnsi="Tahoma" w:cs="Tahoma"/>
          <w:sz w:val="22"/>
          <w:szCs w:val="22"/>
        </w:rPr>
      </w:pPr>
      <w:r>
        <w:rPr>
          <w:rFonts w:cs="Tahoma" w:ascii="Tahoma" w:hAnsi="Tahoma"/>
          <w:sz w:val="22"/>
          <w:szCs w:val="22"/>
        </w:rPr>
        <w:t>Il a également été convenu de définir un planning à partir du mois d’avril 2020 qui puisse permettre aux salariés de production (équipes de journée) d’effectuer des postes en équipe de nuit, à condition de l’arrêt des équipes WE et si la charge de travail le permet.</w:t>
      </w:r>
    </w:p>
    <w:p>
      <w:pPr>
        <w:pStyle w:val="Normal"/>
        <w:tabs>
          <w:tab w:val="left" w:pos="851" w:leader="none"/>
        </w:tabs>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3 : Prime de remplacement de responsable d’équipe</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Normal"/>
        <w:tabs>
          <w:tab w:val="left" w:pos="2268" w:leader="none"/>
        </w:tabs>
        <w:jc w:val="both"/>
        <w:rPr>
          <w:rFonts w:ascii="Tahoma" w:hAnsi="Tahoma" w:cs="Tahoma"/>
          <w:sz w:val="22"/>
          <w:szCs w:val="22"/>
        </w:rPr>
      </w:pPr>
      <w:r>
        <w:rPr>
          <w:rFonts w:cs="Tahoma" w:ascii="Tahoma" w:hAnsi="Tahoma"/>
          <w:sz w:val="22"/>
          <w:szCs w:val="22"/>
        </w:rPr>
        <w:t>La prime de remplacement de responsable d’équipe actuellement de 7,62€ par occurrence passera à 15€ au 1er Février 2020.</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4 : Prime semestrielle</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Normal"/>
        <w:tabs>
          <w:tab w:val="left" w:pos="851" w:leader="none"/>
        </w:tabs>
        <w:jc w:val="both"/>
        <w:rPr>
          <w:rFonts w:ascii="Tahoma" w:hAnsi="Tahoma" w:cs="Tahoma"/>
          <w:sz w:val="22"/>
          <w:szCs w:val="22"/>
        </w:rPr>
      </w:pPr>
      <w:r>
        <w:rPr>
          <w:rFonts w:cs="Tahoma" w:ascii="Tahoma" w:hAnsi="Tahoma"/>
          <w:sz w:val="22"/>
          <w:szCs w:val="22"/>
        </w:rPr>
        <w:t>La prime semestrielle versée 2 fois par an (juin et novembre) aux salariés non-cadres, de 145,84€ bruts par semestre, soit 291,68€ bruts par an, sera portée à 275€ bruts par semestre, soit 550€ bruts par an. Cette disposition sera applicable à compter du versement de juin 2020.</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5 : Congé Paternité</w:t>
      </w:r>
    </w:p>
    <w:p>
      <w:pPr>
        <w:pStyle w:val="Normal"/>
        <w:rPr>
          <w:rFonts w:ascii="Tahoma" w:hAnsi="Tahoma" w:cs="Tahoma"/>
          <w:sz w:val="22"/>
          <w:szCs w:val="22"/>
        </w:rPr>
      </w:pPr>
      <w:r>
        <w:rPr>
          <w:rFonts w:cs="Tahoma" w:ascii="Tahoma" w:hAnsi="Tahoma"/>
          <w:sz w:val="22"/>
          <w:szCs w:val="22"/>
        </w:rPr>
      </w:r>
    </w:p>
    <w:p>
      <w:pPr>
        <w:pStyle w:val="Normal"/>
        <w:tabs>
          <w:tab w:val="left" w:pos="2268" w:leader="none"/>
        </w:tabs>
        <w:jc w:val="both"/>
        <w:rPr>
          <w:rFonts w:ascii="Tahoma" w:hAnsi="Tahoma" w:cs="Tahoma"/>
          <w:sz w:val="22"/>
          <w:szCs w:val="22"/>
        </w:rPr>
      </w:pPr>
      <w:r>
        <w:rPr>
          <w:rFonts w:cs="Tahoma" w:ascii="Tahoma" w:hAnsi="Tahoma"/>
          <w:sz w:val="22"/>
          <w:szCs w:val="22"/>
        </w:rPr>
        <w:t>Pendant le congé paternité, à compter du 1er Février 2020, le salaire sera maintenu intégralement (déduction faite des indemnités journalières de la sécurité sociale).</w:t>
      </w:r>
    </w:p>
    <w:p>
      <w:pPr>
        <w:pStyle w:val="Heading4"/>
        <w:numPr>
          <w:ilvl w:val="3"/>
          <w:numId w:val="1"/>
        </w:numPr>
        <w:ind w:right="295" w:hanging="0"/>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6 : Indemnité Kilométrique Vélo</w:t>
      </w:r>
    </w:p>
    <w:p>
      <w:pPr>
        <w:pStyle w:val="Normal"/>
        <w:rPr>
          <w:rFonts w:ascii="Tahoma" w:hAnsi="Tahoma" w:cs="Tahoma"/>
          <w:sz w:val="22"/>
          <w:szCs w:val="22"/>
        </w:rPr>
      </w:pPr>
      <w:r>
        <w:rPr>
          <w:rFonts w:cs="Tahoma" w:ascii="Tahoma" w:hAnsi="Tahoma"/>
          <w:sz w:val="22"/>
          <w:szCs w:val="22"/>
        </w:rPr>
      </w:r>
    </w:p>
    <w:p>
      <w:pPr>
        <w:pStyle w:val="Normal"/>
        <w:tabs>
          <w:tab w:val="left" w:pos="2268" w:leader="none"/>
        </w:tabs>
        <w:jc w:val="both"/>
        <w:rPr>
          <w:rFonts w:ascii="Tahoma" w:hAnsi="Tahoma" w:cs="Tahoma"/>
          <w:sz w:val="22"/>
          <w:szCs w:val="22"/>
        </w:rPr>
      </w:pPr>
      <w:r>
        <w:rPr>
          <w:rFonts w:cs="Tahoma" w:ascii="Tahoma" w:hAnsi="Tahoma"/>
          <w:sz w:val="22"/>
          <w:szCs w:val="22"/>
        </w:rPr>
        <w:t>L’Indemnité Kilométrique Vélo est mise en place en date du 1er Janvier 2020, plafonnée à 200 euros par salarié et par an (calendaire). Les bénéficiaires devront remplir une attestation sur l’honneur, joindre un itinéraire kilométrique ViaMichelin et indiquer leur kilométrage au service RH.</w:t>
      </w:r>
    </w:p>
    <w:p>
      <w:pPr>
        <w:pStyle w:val="NormalWeb"/>
        <w:rPr>
          <w:rFonts w:ascii="Tahoma" w:hAnsi="Tahoma" w:cs="Tahoma"/>
          <w:sz w:val="22"/>
          <w:szCs w:val="22"/>
        </w:rPr>
      </w:pPr>
      <w:r>
        <w:rPr>
          <w:rFonts w:cs="Tahoma" w:ascii="Tahoma" w:hAnsi="Tahoma"/>
          <w:sz w:val="22"/>
          <w:szCs w:val="22"/>
        </w:rPr>
        <w:t>Cette prise en charge des frais engagés pour se déplacer à vélo correspond au montant de l’indemnité kilométrique vélo, fixé à 0,25 € par kilomètre parcouru, multiplié par la distance aller-retour la plus courte pouvant être parcourue à vélo entre le lieu de résidence habituelle du salarié et son lieu de travail (source : Via Michelin) ainsi que par le nombre de jours de travail annuel.</w:t>
      </w:r>
    </w:p>
    <w:p>
      <w:pPr>
        <w:pStyle w:val="NormalWeb"/>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7 – Versement de la paie du mois de Décembre</w:t>
      </w:r>
    </w:p>
    <w:p>
      <w:pPr>
        <w:pStyle w:val="Normal"/>
        <w:rPr>
          <w:rFonts w:ascii="Tahoma" w:hAnsi="Tahoma" w:cs="Tahoma"/>
          <w:sz w:val="22"/>
          <w:szCs w:val="22"/>
        </w:rPr>
      </w:pPr>
      <w:r>
        <w:rPr>
          <w:rFonts w:cs="Tahoma" w:ascii="Tahoma" w:hAnsi="Tahoma"/>
          <w:sz w:val="22"/>
          <w:szCs w:val="22"/>
        </w:rPr>
      </w:r>
    </w:p>
    <w:p>
      <w:pPr>
        <w:pStyle w:val="Normal"/>
        <w:tabs>
          <w:tab w:val="left" w:pos="2268" w:leader="none"/>
        </w:tabs>
        <w:jc w:val="both"/>
        <w:rPr>
          <w:rFonts w:ascii="Tahoma" w:hAnsi="Tahoma" w:cs="Tahoma"/>
          <w:sz w:val="22"/>
          <w:szCs w:val="22"/>
        </w:rPr>
      </w:pPr>
      <w:r>
        <w:rPr>
          <w:rFonts w:cs="Tahoma" w:ascii="Tahoma" w:hAnsi="Tahoma"/>
          <w:sz w:val="22"/>
          <w:szCs w:val="22"/>
        </w:rPr>
        <w:t>Il est convenu que pour la paie du mois de Décembre 2020, la date de versement sera avancée et devra permettre aux salariés de disposer de leur paie en date du 29 Décembre.</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t>Article 8 : Prime de naissance</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Normal"/>
        <w:tabs>
          <w:tab w:val="left" w:pos="2268" w:leader="none"/>
        </w:tabs>
        <w:jc w:val="both"/>
        <w:rPr>
          <w:rFonts w:ascii="Tahoma" w:hAnsi="Tahoma" w:cs="Tahoma"/>
          <w:b/>
          <w:b/>
          <w:sz w:val="22"/>
          <w:szCs w:val="22"/>
        </w:rPr>
      </w:pPr>
      <w:r>
        <w:rPr>
          <w:rFonts w:cs="Tahoma" w:ascii="Tahoma" w:hAnsi="Tahoma"/>
          <w:sz w:val="22"/>
          <w:szCs w:val="22"/>
        </w:rPr>
        <w:t>Les modalités restent les mêmes que celles négociées en 2019</w:t>
      </w:r>
      <w:r>
        <w:rPr>
          <w:rFonts w:cs="Tahoma" w:ascii="Tahoma" w:hAnsi="Tahoma"/>
          <w:b/>
          <w:sz w:val="22"/>
          <w:szCs w:val="22"/>
        </w:rPr>
        <w:t>.</w:t>
      </w:r>
    </w:p>
    <w:p>
      <w:pPr>
        <w:pStyle w:val="Normal"/>
        <w:tabs>
          <w:tab w:val="left" w:pos="2268" w:leader="none"/>
        </w:tabs>
        <w:jc w:val="both"/>
        <w:rPr>
          <w:rFonts w:ascii="Tahoma" w:hAnsi="Tahoma" w:cs="Tahoma"/>
          <w:b/>
          <w:b/>
          <w:sz w:val="22"/>
          <w:szCs w:val="22"/>
        </w:rPr>
      </w:pPr>
      <w:r>
        <w:rPr>
          <w:rFonts w:cs="Tahoma" w:ascii="Tahoma" w:hAnsi="Tahoma"/>
          <w:b/>
          <w:sz w:val="22"/>
          <w:szCs w:val="22"/>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Heading4"/>
        <w:numPr>
          <w:ilvl w:val="3"/>
          <w:numId w:val="1"/>
        </w:numPr>
        <w:ind w:right="295" w:hanging="0"/>
        <w:rPr/>
      </w:pPr>
      <w:r>
        <w:rPr>
          <w:rFonts w:cs="Tahoma" w:ascii="Tahoma" w:hAnsi="Tahoma"/>
          <w:sz w:val="22"/>
          <w:szCs w:val="22"/>
        </w:rPr>
        <w:t xml:space="preserve">Article 9 : Prévoyance maladie </w:t>
      </w:r>
    </w:p>
    <w:p>
      <w:pPr>
        <w:pStyle w:val="Normal"/>
        <w:tabs>
          <w:tab w:val="left" w:pos="2268" w:leader="none"/>
        </w:tabs>
        <w:ind w:left="851" w:hanging="0"/>
        <w:jc w:val="both"/>
        <w:rPr>
          <w:rFonts w:ascii="Tahoma" w:hAnsi="Tahoma" w:cs="Tahoma"/>
          <w:sz w:val="22"/>
          <w:szCs w:val="22"/>
        </w:rPr>
      </w:pPr>
      <w:r>
        <w:rPr>
          <w:rFonts w:cs="Tahoma" w:ascii="Tahoma" w:hAnsi="Tahoma"/>
          <w:sz w:val="22"/>
          <w:szCs w:val="22"/>
        </w:rPr>
      </w:r>
    </w:p>
    <w:p>
      <w:pPr>
        <w:pStyle w:val="Corpsdetexte2"/>
        <w:tabs>
          <w:tab w:val="left" w:pos="2268" w:leader="none"/>
        </w:tabs>
        <w:rPr>
          <w:rFonts w:ascii="Tahoma" w:hAnsi="Tahoma" w:cs="Tahoma"/>
          <w:sz w:val="22"/>
          <w:szCs w:val="22"/>
        </w:rPr>
      </w:pPr>
      <w:r>
        <w:rPr>
          <w:rFonts w:cs="Tahoma" w:ascii="Tahoma" w:hAnsi="Tahoma"/>
          <w:sz w:val="22"/>
          <w:szCs w:val="22"/>
        </w:rPr>
        <w:t>Les garanties existantes se poursuivent en l’état.</w:t>
      </w:r>
    </w:p>
    <w:p>
      <w:pPr>
        <w:pStyle w:val="Corpsdetexte2"/>
        <w:tabs>
          <w:tab w:val="left" w:pos="2268" w:leader="none"/>
        </w:tabs>
        <w:rPr>
          <w:rFonts w:ascii="Tahoma" w:hAnsi="Tahoma" w:cs="Tahoma"/>
          <w:strike/>
          <w:sz w:val="22"/>
          <w:szCs w:val="22"/>
        </w:rPr>
      </w:pPr>
      <w:r>
        <w:rPr>
          <w:rFonts w:cs="Tahoma" w:ascii="Tahoma" w:hAnsi="Tahoma"/>
          <w:strike/>
          <w:sz w:val="22"/>
          <w:szCs w:val="22"/>
        </w:rPr>
      </w:r>
    </w:p>
    <w:p>
      <w:pPr>
        <w:pStyle w:val="Heading4"/>
        <w:numPr>
          <w:ilvl w:val="3"/>
          <w:numId w:val="1"/>
        </w:numPr>
        <w:ind w:right="295" w:hanging="0"/>
        <w:rPr>
          <w:rFonts w:ascii="Tahoma" w:hAnsi="Tahoma" w:cs="Tahoma"/>
          <w:strike/>
          <w:sz w:val="22"/>
          <w:szCs w:val="22"/>
        </w:rPr>
      </w:pPr>
      <w:r>
        <w:rPr>
          <w:rFonts w:cs="Tahoma" w:ascii="Tahoma" w:hAnsi="Tahoma"/>
          <w:strike/>
          <w:sz w:val="22"/>
          <w:szCs w:val="22"/>
        </w:rPr>
      </w:r>
    </w:p>
    <w:p>
      <w:pPr>
        <w:pStyle w:val="Heading4"/>
        <w:numPr>
          <w:ilvl w:val="3"/>
          <w:numId w:val="1"/>
        </w:numPr>
        <w:ind w:right="295" w:hanging="0"/>
        <w:rPr/>
      </w:pPr>
      <w:r>
        <w:rPr>
          <w:rFonts w:cs="Tahoma" w:ascii="Tahoma" w:hAnsi="Tahoma"/>
          <w:sz w:val="22"/>
          <w:szCs w:val="22"/>
        </w:rPr>
        <w:t xml:space="preserve">Article 10 : Mutuelle </w:t>
      </w:r>
    </w:p>
    <w:p>
      <w:pPr>
        <w:pStyle w:val="Corpsdetexte2"/>
        <w:tabs>
          <w:tab w:val="left" w:pos="2268" w:leader="none"/>
        </w:tabs>
        <w:rPr>
          <w:rFonts w:ascii="Tahoma" w:hAnsi="Tahoma" w:cs="Tahoma"/>
          <w:sz w:val="22"/>
          <w:szCs w:val="22"/>
        </w:rPr>
      </w:pPr>
      <w:bookmarkStart w:id="0" w:name="_Hlk31706853"/>
      <w:bookmarkStart w:id="1" w:name="_Hlk31706853"/>
      <w:bookmarkEnd w:id="1"/>
      <w:r>
        <w:rPr>
          <w:rFonts w:cs="Tahoma" w:ascii="Tahoma" w:hAnsi="Tahoma"/>
          <w:sz w:val="22"/>
          <w:szCs w:val="22"/>
        </w:rPr>
      </w:r>
    </w:p>
    <w:p>
      <w:pPr>
        <w:pStyle w:val="Corpsdetexte2"/>
        <w:tabs>
          <w:tab w:val="left" w:pos="2268" w:leader="none"/>
        </w:tabs>
        <w:rPr>
          <w:rFonts w:ascii="Tahoma" w:hAnsi="Tahoma" w:cs="Tahoma"/>
          <w:sz w:val="22"/>
          <w:szCs w:val="22"/>
        </w:rPr>
      </w:pPr>
      <w:r>
        <w:rPr>
          <w:rFonts w:cs="Tahoma" w:ascii="Tahoma" w:hAnsi="Tahoma"/>
          <w:sz w:val="22"/>
          <w:szCs w:val="22"/>
        </w:rPr>
        <w:t>La prise en charge par l’employeur de la cotisation mutuelle de base salarié sera portée de 75% actuellement à 100% à compter du 1</w:t>
      </w:r>
      <w:r>
        <w:rPr>
          <w:rFonts w:cs="Tahoma" w:ascii="Tahoma" w:hAnsi="Tahoma"/>
          <w:sz w:val="22"/>
          <w:szCs w:val="22"/>
          <w:vertAlign w:val="superscript"/>
        </w:rPr>
        <w:t>er</w:t>
      </w:r>
      <w:r>
        <w:rPr>
          <w:rFonts w:cs="Tahoma" w:ascii="Tahoma" w:hAnsi="Tahoma"/>
          <w:sz w:val="22"/>
          <w:szCs w:val="22"/>
        </w:rPr>
        <w:t xml:space="preserve"> Février 2020. </w:t>
      </w:r>
    </w:p>
    <w:p>
      <w:pPr>
        <w:pStyle w:val="Normal"/>
        <w:tabs>
          <w:tab w:val="left" w:pos="2268" w:leader="none"/>
        </w:tabs>
        <w:jc w:val="both"/>
        <w:rPr>
          <w:rFonts w:ascii="Tahoma" w:hAnsi="Tahoma" w:cs="Tahoma"/>
          <w:sz w:val="22"/>
          <w:szCs w:val="22"/>
        </w:rPr>
      </w:pPr>
      <w:bookmarkStart w:id="2" w:name="_Hlk31706853"/>
      <w:bookmarkStart w:id="3" w:name="_Hlk31706853"/>
      <w:bookmarkEnd w:id="3"/>
      <w:r>
        <w:rPr>
          <w:rFonts w:cs="Tahoma" w:ascii="Tahoma" w:hAnsi="Tahoma"/>
          <w:sz w:val="22"/>
          <w:szCs w:val="22"/>
        </w:rPr>
      </w:r>
    </w:p>
    <w:p>
      <w:pPr>
        <w:pStyle w:val="Heading4"/>
        <w:numPr>
          <w:ilvl w:val="3"/>
          <w:numId w:val="1"/>
        </w:numPr>
        <w:ind w:right="295" w:hanging="0"/>
        <w:jc w:val="both"/>
        <w:rPr>
          <w:rFonts w:ascii="Tahoma" w:hAnsi="Tahoma" w:cs="Tahoma"/>
          <w:sz w:val="22"/>
          <w:szCs w:val="22"/>
        </w:rPr>
      </w:pPr>
      <w:r>
        <w:rPr>
          <w:rFonts w:cs="Tahoma" w:ascii="Tahoma" w:hAnsi="Tahoma"/>
          <w:sz w:val="22"/>
          <w:szCs w:val="22"/>
        </w:rPr>
      </w:r>
    </w:p>
    <w:p>
      <w:pPr>
        <w:pStyle w:val="Heading4"/>
        <w:numPr>
          <w:ilvl w:val="3"/>
          <w:numId w:val="1"/>
        </w:numPr>
        <w:ind w:right="295" w:hanging="0"/>
        <w:jc w:val="both"/>
        <w:rPr/>
      </w:pPr>
      <w:r>
        <w:rPr>
          <w:rFonts w:cs="Tahoma" w:ascii="Tahoma" w:hAnsi="Tahoma"/>
          <w:sz w:val="22"/>
          <w:szCs w:val="22"/>
        </w:rPr>
        <w:t xml:space="preserve">Article 11 : Epargne Salariale </w:t>
      </w:r>
    </w:p>
    <w:p>
      <w:pPr>
        <w:pStyle w:val="Heading1"/>
        <w:numPr>
          <w:ilvl w:val="0"/>
          <w:numId w:val="1"/>
        </w:numPr>
        <w:pBdr/>
        <w:shd w:fill="FFFFFF" w:val="clear"/>
        <w:jc w:val="both"/>
        <w:rPr>
          <w:rFonts w:ascii="Tahoma" w:hAnsi="Tahoma" w:cs="Tahoma"/>
          <w:caps/>
          <w:spacing w:val="20"/>
          <w:sz w:val="22"/>
          <w:szCs w:val="22"/>
        </w:rPr>
      </w:pPr>
      <w:r>
        <w:rPr>
          <w:rFonts w:cs="Tahoma" w:ascii="Tahoma" w:hAnsi="Tahoma"/>
          <w:caps/>
          <w:spacing w:val="20"/>
          <w:sz w:val="22"/>
          <w:szCs w:val="22"/>
        </w:rPr>
      </w:r>
    </w:p>
    <w:p>
      <w:pPr>
        <w:pStyle w:val="Normal"/>
        <w:tabs>
          <w:tab w:val="left" w:pos="2268" w:leader="none"/>
        </w:tabs>
        <w:jc w:val="both"/>
        <w:rPr/>
      </w:pPr>
      <w:r>
        <w:rPr>
          <w:rFonts w:cs="Tahoma" w:ascii="Tahoma" w:hAnsi="Tahoma"/>
          <w:sz w:val="22"/>
          <w:szCs w:val="22"/>
        </w:rPr>
        <w:t>Les sociétés signataires remplissent l’obligation légale définie par la loi n°2001-152 du 19/01/01, complétant l’article L. 2242-12 du Code du Travail.</w:t>
      </w:r>
    </w:p>
    <w:p>
      <w:pPr>
        <w:pStyle w:val="Normal"/>
        <w:tabs>
          <w:tab w:val="left" w:pos="2268" w:leader="none"/>
        </w:tabs>
        <w:jc w:val="both"/>
        <w:rPr>
          <w:rFonts w:ascii="Tahoma" w:hAnsi="Tahoma" w:cs="Tahoma"/>
          <w:sz w:val="22"/>
          <w:szCs w:val="22"/>
        </w:rPr>
      </w:pPr>
      <w:r>
        <w:rPr>
          <w:rFonts w:cs="Tahoma" w:ascii="Tahoma" w:hAnsi="Tahoma"/>
          <w:sz w:val="22"/>
          <w:szCs w:val="22"/>
        </w:rPr>
      </w:r>
    </w:p>
    <w:p>
      <w:pPr>
        <w:pStyle w:val="Normal"/>
        <w:tabs>
          <w:tab w:val="left" w:pos="2268" w:leader="none"/>
        </w:tabs>
        <w:jc w:val="both"/>
        <w:rPr/>
      </w:pPr>
      <w:r>
        <w:rPr>
          <w:rFonts w:cs="Tahoma" w:ascii="Tahoma" w:hAnsi="Tahoma"/>
          <w:sz w:val="22"/>
          <w:szCs w:val="22"/>
        </w:rPr>
        <w:t>Des accords d’intéressement, de participation ainsi qu’un Plan d’Epargne Entreprise sont existants.</w:t>
      </w:r>
    </w:p>
    <w:p>
      <w:pPr>
        <w:pStyle w:val="Normal"/>
        <w:tabs>
          <w:tab w:val="left" w:pos="1701" w:leader="none"/>
          <w:tab w:val="left" w:pos="1843" w:leader="none"/>
        </w:tabs>
        <w:ind w:right="4" w:hanging="0"/>
        <w:jc w:val="both"/>
        <w:rPr>
          <w:rFonts w:ascii="Tahoma" w:hAnsi="Tahoma" w:cs="Tahoma"/>
          <w:sz w:val="22"/>
          <w:szCs w:val="22"/>
        </w:rPr>
      </w:pPr>
      <w:r>
        <w:rPr>
          <w:rFonts w:cs="Tahoma" w:ascii="Tahoma" w:hAnsi="Tahoma"/>
          <w:sz w:val="22"/>
          <w:szCs w:val="22"/>
        </w:rPr>
      </w:r>
    </w:p>
    <w:p>
      <w:pPr>
        <w:pStyle w:val="Heading4"/>
        <w:numPr>
          <w:ilvl w:val="3"/>
          <w:numId w:val="1"/>
        </w:numPr>
        <w:ind w:right="295" w:hanging="0"/>
        <w:rPr>
          <w:rFonts w:ascii="Tahoma" w:hAnsi="Tahoma" w:cs="Tahoma"/>
          <w:b w:val="false"/>
          <w:b w:val="false"/>
          <w:bCs w:val="false"/>
          <w:sz w:val="22"/>
          <w:szCs w:val="22"/>
          <w:u w:val="none"/>
        </w:rPr>
      </w:pPr>
      <w:r>
        <w:rPr>
          <w:rFonts w:cs="Tahoma" w:ascii="Tahoma" w:hAnsi="Tahoma"/>
          <w:b w:val="false"/>
          <w:bCs w:val="false"/>
          <w:sz w:val="22"/>
          <w:szCs w:val="22"/>
          <w:u w:val="none"/>
        </w:rPr>
        <w:t>Un accord triennal sur l’intéressement a été signé en Juin 2019 et est en vigueur.</w:t>
      </w:r>
    </w:p>
    <w:p>
      <w:pPr>
        <w:pStyle w:val="Normal"/>
        <w:tabs>
          <w:tab w:val="left" w:pos="2268" w:leader="none"/>
        </w:tabs>
        <w:jc w:val="both"/>
        <w:rPr>
          <w:rFonts w:ascii="Tahoma" w:hAnsi="Tahoma" w:cs="Tahoma"/>
          <w:b/>
          <w:b/>
          <w:bCs/>
          <w:sz w:val="22"/>
          <w:szCs w:val="22"/>
          <w:u w:val="none"/>
        </w:rPr>
      </w:pPr>
      <w:r>
        <w:rPr>
          <w:rFonts w:cs="Tahoma" w:ascii="Tahoma" w:hAnsi="Tahoma"/>
          <w:b/>
          <w:bCs/>
          <w:sz w:val="22"/>
          <w:szCs w:val="22"/>
          <w:u w:val="none"/>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Heading4"/>
        <w:numPr>
          <w:ilvl w:val="3"/>
          <w:numId w:val="1"/>
        </w:numPr>
        <w:ind w:right="295" w:hanging="0"/>
        <w:rPr/>
      </w:pPr>
      <w:r>
        <w:rPr>
          <w:rFonts w:cs="Tahoma" w:ascii="Tahoma" w:hAnsi="Tahoma"/>
          <w:sz w:val="22"/>
          <w:szCs w:val="22"/>
        </w:rPr>
        <w:t xml:space="preserve">Article 12 : Durée et Application de l’Accord </w:t>
      </w:r>
    </w:p>
    <w:p>
      <w:pPr>
        <w:pStyle w:val="Heading1"/>
        <w:numPr>
          <w:ilvl w:val="0"/>
          <w:numId w:val="1"/>
        </w:numPr>
        <w:pBdr/>
        <w:shd w:fill="FFFFFF" w:val="clear"/>
        <w:jc w:val="both"/>
        <w:rPr>
          <w:rFonts w:ascii="Tahoma" w:hAnsi="Tahoma" w:cs="Tahoma"/>
          <w:b w:val="false"/>
          <w:b w:val="false"/>
          <w:bCs w:val="false"/>
          <w:sz w:val="22"/>
          <w:szCs w:val="22"/>
          <w:u w:val="single"/>
        </w:rPr>
      </w:pPr>
      <w:r>
        <w:rPr>
          <w:rFonts w:cs="Tahoma" w:ascii="Tahoma" w:hAnsi="Tahoma"/>
          <w:b w:val="false"/>
          <w:bCs w:val="false"/>
          <w:sz w:val="22"/>
          <w:szCs w:val="22"/>
          <w:u w:val="single"/>
        </w:rPr>
      </w:r>
    </w:p>
    <w:p>
      <w:pPr>
        <w:pStyle w:val="Heading1"/>
        <w:numPr>
          <w:ilvl w:val="0"/>
          <w:numId w:val="1"/>
        </w:numPr>
        <w:pBdr/>
        <w:shd w:fill="FFFFFF" w:val="clear"/>
        <w:jc w:val="both"/>
        <w:rPr>
          <w:rFonts w:ascii="Tahoma" w:hAnsi="Tahoma" w:cs="Tahoma"/>
          <w:b w:val="false"/>
          <w:b w:val="false"/>
          <w:sz w:val="22"/>
          <w:szCs w:val="22"/>
        </w:rPr>
      </w:pPr>
      <w:r>
        <w:rPr>
          <w:rFonts w:cs="Tahoma" w:ascii="Tahoma" w:hAnsi="Tahoma"/>
          <w:b w:val="false"/>
          <w:sz w:val="22"/>
          <w:szCs w:val="22"/>
        </w:rPr>
        <w:t>Le présent accord entre en vigueur à compter de la date de sa signature. Il est conclu pour une durée d’un an applicable au 1</w:t>
      </w:r>
      <w:r>
        <w:rPr>
          <w:rFonts w:cs="Tahoma" w:ascii="Tahoma" w:hAnsi="Tahoma"/>
          <w:b w:val="false"/>
          <w:sz w:val="22"/>
          <w:szCs w:val="22"/>
          <w:vertAlign w:val="superscript"/>
        </w:rPr>
        <w:t>er</w:t>
      </w:r>
      <w:r>
        <w:rPr>
          <w:rFonts w:cs="Tahoma" w:ascii="Tahoma" w:hAnsi="Tahoma"/>
          <w:b w:val="false"/>
          <w:sz w:val="22"/>
          <w:szCs w:val="22"/>
        </w:rPr>
        <w:t xml:space="preserve"> janvier 2020. A l’échéance du terme,</w:t>
      </w:r>
      <w:r>
        <w:rPr>
          <w:rFonts w:cs="Tahoma" w:ascii="Tahoma" w:hAnsi="Tahoma"/>
          <w:sz w:val="22"/>
          <w:szCs w:val="22"/>
        </w:rPr>
        <w:t xml:space="preserve"> </w:t>
      </w:r>
      <w:r>
        <w:rPr>
          <w:rFonts w:cs="Tahoma" w:ascii="Tahoma" w:hAnsi="Tahoma"/>
          <w:b w:val="false"/>
          <w:sz w:val="22"/>
          <w:szCs w:val="22"/>
        </w:rPr>
        <w:t>il cessera de trouver application et ne pourra produire les effets d’un accord à durée indéterminée, la présente clause constituant la stipulation contraire de l’article L.2222-4 du code du travail.</w:t>
      </w:r>
    </w:p>
    <w:p>
      <w:pPr>
        <w:pStyle w:val="Normal"/>
        <w:rPr>
          <w:rFonts w:ascii="Tahoma" w:hAnsi="Tahoma" w:cs="Tahoma"/>
          <w:b/>
          <w:b/>
          <w:sz w:val="22"/>
          <w:szCs w:val="22"/>
        </w:rPr>
      </w:pPr>
      <w:r>
        <w:rPr>
          <w:rFonts w:cs="Tahoma" w:ascii="Tahoma" w:hAnsi="Tahoma"/>
          <w:b/>
          <w:sz w:val="22"/>
          <w:szCs w:val="22"/>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pPr>
      <w:r>
        <w:rPr/>
      </w:r>
    </w:p>
    <w:p>
      <w:pPr>
        <w:pStyle w:val="Normal"/>
        <w:rPr/>
      </w:pPr>
      <w:r>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Heading4"/>
        <w:numPr>
          <w:ilvl w:val="3"/>
          <w:numId w:val="1"/>
        </w:numPr>
        <w:ind w:right="295" w:hanging="0"/>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4"/>
        <w:numPr>
          <w:ilvl w:val="3"/>
          <w:numId w:val="1"/>
        </w:numPr>
        <w:ind w:right="295" w:hanging="0"/>
        <w:rPr/>
      </w:pPr>
      <w:r>
        <w:rPr>
          <w:rFonts w:cs="Tahoma" w:ascii="Tahoma" w:hAnsi="Tahoma"/>
          <w:sz w:val="22"/>
          <w:szCs w:val="22"/>
        </w:rPr>
        <w:t>Article 13 : Publicité et Dépôt de l’Accord</w:t>
      </w:r>
    </w:p>
    <w:p>
      <w:pPr>
        <w:pStyle w:val="Normal"/>
        <w:tabs>
          <w:tab w:val="left" w:pos="2268" w:leader="none"/>
        </w:tabs>
        <w:ind w:left="851" w:hanging="0"/>
        <w:jc w:val="both"/>
        <w:rPr>
          <w:rFonts w:ascii="Tahoma" w:hAnsi="Tahoma" w:cs="Tahoma"/>
          <w:sz w:val="22"/>
          <w:szCs w:val="22"/>
        </w:rPr>
      </w:pPr>
      <w:r>
        <w:rPr>
          <w:rFonts w:cs="Tahoma" w:ascii="Tahoma" w:hAnsi="Tahoma"/>
          <w:sz w:val="22"/>
          <w:szCs w:val="22"/>
        </w:rPr>
      </w:r>
    </w:p>
    <w:p>
      <w:pPr>
        <w:pStyle w:val="Normal"/>
        <w:jc w:val="both"/>
        <w:rPr>
          <w:rFonts w:ascii="Tahoma" w:hAnsi="Tahoma" w:cs="Tahoma"/>
        </w:rPr>
      </w:pPr>
      <w:r>
        <w:rPr>
          <w:rFonts w:cs="Tahoma" w:ascii="Tahoma" w:hAnsi="Tahoma"/>
        </w:rPr>
        <w:t>Conformément à l’article D. 2231-2 du Code du travail, le présent accord sera déposé sur la plateforme en ligne TéléAccords (www.teleaccords.travail-emploi.gouv.fr) et sera ainsi automatiquement transmis à la DIRECCTE. Il sera également déposé au secrétariat du greffe du Conseil de Prud’hommes de Nantes.</w:t>
      </w:r>
    </w:p>
    <w:p>
      <w:pPr>
        <w:pStyle w:val="Normal"/>
        <w:jc w:val="both"/>
        <w:rPr>
          <w:rFonts w:ascii="Tahoma" w:hAnsi="Tahoma" w:cs="Tahoma"/>
        </w:rPr>
      </w:pPr>
      <w:r>
        <w:rPr>
          <w:rFonts w:cs="Tahoma" w:ascii="Tahoma" w:hAnsi="Tahoma"/>
        </w:rPr>
        <w:t>Un avis sera affiché sur les panneaux de Vibracoustic afin d’informer le personnel de la possibilité de prendre connaissance sur l’intranet du présent accord.</w:t>
      </w:r>
    </w:p>
    <w:p>
      <w:pPr>
        <w:pStyle w:val="Retraitcorpsdetexte2"/>
        <w:ind w:left="0" w:hanging="0"/>
        <w:rPr>
          <w:rFonts w:ascii="Tahoma" w:hAnsi="Tahoma" w:cs="Tahoma"/>
          <w:bCs/>
          <w:sz w:val="22"/>
          <w:szCs w:val="22"/>
        </w:rPr>
      </w:pPr>
      <w:r>
        <w:rPr>
          <w:rFonts w:cs="Tahoma" w:ascii="Tahoma" w:hAnsi="Tahoma"/>
          <w:bCs/>
          <w:sz w:val="22"/>
          <w:szCs w:val="22"/>
        </w:rPr>
      </w:r>
    </w:p>
    <w:p>
      <w:pPr>
        <w:pStyle w:val="Retraitcorpsdetexte2"/>
        <w:ind w:left="0" w:hanging="0"/>
        <w:rPr/>
      </w:pPr>
      <w:r>
        <w:rPr>
          <w:rFonts w:cs="Tahoma" w:ascii="Tahoma" w:hAnsi="Tahoma"/>
          <w:bCs/>
          <w:sz w:val="22"/>
          <w:szCs w:val="22"/>
        </w:rPr>
        <w:t>En outre, un exemplaire original sera établi pour chaque partie.</w:t>
      </w:r>
    </w:p>
    <w:p>
      <w:pPr>
        <w:pStyle w:val="Retraitcorpsdetexte2"/>
        <w:ind w:left="0" w:hanging="0"/>
        <w:rPr>
          <w:rFonts w:ascii="Tahoma" w:hAnsi="Tahoma" w:cs="Tahoma"/>
          <w:bCs/>
          <w:sz w:val="22"/>
          <w:szCs w:val="22"/>
        </w:rPr>
      </w:pPr>
      <w:r>
        <w:rPr>
          <w:rFonts w:cs="Tahoma" w:ascii="Tahoma" w:hAnsi="Tahoma"/>
          <w:bCs/>
          <w:sz w:val="22"/>
          <w:szCs w:val="22"/>
        </w:rPr>
        <w:t>Le présent accord sera transmis aux représentants du personnel.</w:t>
      </w:r>
    </w:p>
    <w:p>
      <w:pPr>
        <w:pStyle w:val="Retraitcorpsdetexte2"/>
        <w:ind w:left="0" w:hanging="0"/>
        <w:rPr>
          <w:rFonts w:ascii="Tahoma" w:hAnsi="Tahoma" w:cs="Tahoma"/>
          <w:bCs/>
          <w:sz w:val="22"/>
          <w:szCs w:val="22"/>
        </w:rPr>
      </w:pPr>
      <w:r>
        <w:rPr>
          <w:rFonts w:cs="Tahoma" w:ascii="Tahoma" w:hAnsi="Tahoma"/>
          <w:bCs/>
          <w:sz w:val="22"/>
          <w:szCs w:val="22"/>
        </w:rPr>
      </w:r>
    </w:p>
    <w:p>
      <w:pPr>
        <w:pStyle w:val="Normal"/>
        <w:tabs>
          <w:tab w:val="left" w:pos="2268" w:leader="none"/>
          <w:tab w:val="left" w:pos="5387" w:leader="none"/>
        </w:tabs>
        <w:ind w:left="851" w:hanging="0"/>
        <w:jc w:val="center"/>
        <w:rPr>
          <w:rFonts w:ascii="Tahoma" w:hAnsi="Tahoma" w:cs="Tahoma"/>
          <w:sz w:val="22"/>
          <w:szCs w:val="22"/>
        </w:rPr>
      </w:pPr>
      <w:r>
        <w:rPr>
          <w:rFonts w:cs="Tahoma" w:ascii="Tahoma" w:hAnsi="Tahoma"/>
          <w:sz w:val="22"/>
          <w:szCs w:val="22"/>
        </w:rPr>
        <w:tab/>
      </w:r>
    </w:p>
    <w:p>
      <w:pPr>
        <w:pStyle w:val="Normal"/>
        <w:tabs>
          <w:tab w:val="left" w:pos="2268" w:leader="none"/>
          <w:tab w:val="left" w:pos="5387" w:leader="none"/>
        </w:tabs>
        <w:ind w:left="851" w:hanging="0"/>
        <w:jc w:val="center"/>
        <w:rPr>
          <w:rFonts w:ascii="Tahoma" w:hAnsi="Tahoma" w:cs="Tahoma"/>
          <w:color w:val="FF0000"/>
          <w:sz w:val="22"/>
          <w:szCs w:val="22"/>
        </w:rPr>
      </w:pPr>
      <w:r>
        <w:rPr>
          <w:rFonts w:cs="Tahoma" w:ascii="Tahoma" w:hAnsi="Tahoma"/>
          <w:sz w:val="22"/>
          <w:szCs w:val="22"/>
        </w:rPr>
        <w:tab/>
        <w:tab/>
        <w:t>Fait à Carquefou, le 14 Février 2020</w:t>
      </w:r>
    </w:p>
    <w:p>
      <w:pPr>
        <w:pStyle w:val="Normal"/>
        <w:tabs>
          <w:tab w:val="left" w:pos="2268" w:leader="none"/>
        </w:tabs>
        <w:jc w:val="both"/>
        <w:rPr>
          <w:rFonts w:ascii="Tahoma" w:hAnsi="Tahoma" w:cs="Tahoma"/>
          <w:b/>
          <w:b/>
          <w:bCs/>
          <w:color w:val="FF0000"/>
          <w:sz w:val="22"/>
          <w:szCs w:val="22"/>
          <w:u w:val="single"/>
        </w:rPr>
      </w:pPr>
      <w:r>
        <w:rPr>
          <w:rFonts w:cs="Tahoma" w:ascii="Tahoma" w:hAnsi="Tahoma"/>
          <w:b/>
          <w:bCs/>
          <w:color w:val="FF0000"/>
          <w:sz w:val="22"/>
          <w:szCs w:val="22"/>
          <w:u w:val="single"/>
        </w:rPr>
      </w:r>
    </w:p>
    <w:p>
      <w:pPr>
        <w:pStyle w:val="Normal"/>
        <w:tabs>
          <w:tab w:val="left" w:pos="2268" w:leader="none"/>
        </w:tabs>
        <w:jc w:val="both"/>
        <w:rPr>
          <w:rFonts w:ascii="Tahoma" w:hAnsi="Tahoma" w:cs="Tahoma"/>
          <w:b/>
          <w:b/>
          <w:bCs/>
          <w:sz w:val="22"/>
          <w:szCs w:val="22"/>
          <w:u w:val="single"/>
        </w:rPr>
      </w:pPr>
      <w:r>
        <w:rPr>
          <w:rFonts w:cs="Tahoma" w:ascii="Tahoma" w:hAnsi="Tahoma"/>
          <w:b/>
          <w:bCs/>
          <w:sz w:val="22"/>
          <w:szCs w:val="22"/>
          <w:u w:val="single"/>
        </w:rPr>
      </w:r>
    </w:p>
    <w:p>
      <w:pPr>
        <w:pStyle w:val="Normal"/>
        <w:rPr>
          <w:rFonts w:ascii="Tahoma" w:hAnsi="Tahoma" w:cs="Tahoma"/>
          <w:sz w:val="22"/>
          <w:szCs w:val="22"/>
        </w:rPr>
      </w:pPr>
      <w:r>
        <w:rPr>
          <w:rFonts w:cs="Tahoma" w:ascii="Tahoma" w:hAnsi="Tahoma"/>
          <w:sz w:val="22"/>
          <w:szCs w:val="22"/>
        </w:rPr>
        <w:t>Pour la Société Vibracoustic Nantes SAS</w:t>
      </w:r>
    </w:p>
    <w:p>
      <w:pPr>
        <w:pStyle w:val="Heading3"/>
        <w:numPr>
          <w:ilvl w:val="2"/>
          <w:numId w:val="1"/>
        </w:numPr>
        <w:ind w:left="0" w:hanging="0"/>
        <w:rPr>
          <w:rFonts w:ascii="Tahoma" w:hAnsi="Tahoma" w:cs="Tahoma"/>
          <w:bCs w:val="false"/>
          <w:sz w:val="22"/>
          <w:szCs w:val="22"/>
        </w:rPr>
      </w:pPr>
      <w:r>
        <w:rPr>
          <w:rFonts w:cs="Tahoma" w:ascii="Tahoma" w:hAnsi="Tahoma"/>
          <w:bCs w:val="false"/>
          <w:sz w:val="22"/>
          <w:szCs w:val="22"/>
        </w:rPr>
        <w:t>…</w:t>
      </w:r>
    </w:p>
    <w:p>
      <w:pPr>
        <w:pStyle w:val="Normal"/>
        <w:rPr>
          <w:rFonts w:ascii="Tahoma" w:hAnsi="Tahoma" w:cs="Tahoma"/>
          <w:bCs/>
          <w:sz w:val="22"/>
          <w:szCs w:val="22"/>
        </w:rPr>
      </w:pPr>
      <w:r>
        <w:rPr>
          <w:rFonts w:cs="Tahoma" w:ascii="Tahoma" w:hAnsi="Tahoma"/>
          <w:bCs/>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t>Pour la C.F.D.T</w:t>
        <w:tab/>
        <w:tab/>
        <w:tab/>
        <w:tab/>
        <w:tab/>
        <w:tab/>
        <w:tab/>
        <w:tab/>
        <w:tab/>
      </w:r>
    </w:p>
    <w:p>
      <w:pPr>
        <w:pStyle w:val="Heading2"/>
        <w:numPr>
          <w:ilvl w:val="1"/>
          <w:numId w:val="1"/>
        </w:numPr>
        <w:ind w:left="0" w:hanging="0"/>
        <w:rPr/>
      </w:pPr>
      <w:r>
        <w:rPr>
          <w:rFonts w:cs="Tahoma" w:ascii="Tahoma" w:hAnsi="Tahoma"/>
          <w:bCs w:val="false"/>
          <w:sz w:val="22"/>
          <w:szCs w:val="22"/>
        </w:rPr>
        <w:t>…</w:t>
      </w:r>
      <w:r>
        <w:rPr>
          <w:rFonts w:eastAsia="Tahoma" w:cs="Tahoma" w:ascii="Tahoma" w:hAnsi="Tahoma"/>
          <w:bCs w:val="false"/>
          <w:sz w:val="22"/>
          <w:szCs w:val="22"/>
        </w:rPr>
        <w:t xml:space="preserve"> </w:t>
      </w:r>
      <w:r>
        <w:rPr>
          <w:rFonts w:cs="Tahoma" w:ascii="Tahoma" w:hAnsi="Tahoma"/>
          <w:bCs w:val="false"/>
          <w:sz w:val="22"/>
          <w:szCs w:val="22"/>
        </w:rPr>
        <w:tab/>
      </w:r>
      <w:r>
        <w:rPr>
          <w:rFonts w:cs="Tahoma" w:ascii="Tahoma" w:hAnsi="Tahoma"/>
          <w:b w:val="false"/>
          <w:bCs w:val="false"/>
          <w:sz w:val="22"/>
          <w:szCs w:val="22"/>
        </w:rPr>
        <w:tab/>
        <w:tab/>
      </w:r>
    </w:p>
    <w:p>
      <w:pPr>
        <w:pStyle w:val="Heading3"/>
        <w:numPr>
          <w:ilvl w:val="2"/>
          <w:numId w:val="1"/>
        </w:numPr>
        <w:tabs>
          <w:tab w:val="left" w:pos="2268" w:leader="none"/>
          <w:tab w:val="left" w:pos="3544" w:leader="none"/>
          <w:tab w:val="left" w:pos="5387" w:leader="none"/>
          <w:tab w:val="left" w:pos="7088" w:leader="none"/>
        </w:tabs>
        <w:ind w:left="851" w:hanging="0"/>
        <w:rPr>
          <w:rFonts w:ascii="Tahoma" w:hAnsi="Tahoma" w:cs="Tahoma"/>
          <w:sz w:val="22"/>
          <w:szCs w:val="22"/>
        </w:rPr>
      </w:pPr>
      <w:r>
        <w:rPr>
          <w:rFonts w:cs="Tahoma" w:ascii="Tahoma" w:hAnsi="Tahoma"/>
          <w:sz w:val="22"/>
          <w:szCs w:val="22"/>
        </w:rPr>
        <w:tab/>
      </w:r>
    </w:p>
    <w:p>
      <w:pPr>
        <w:pStyle w:val="Heading3"/>
        <w:numPr>
          <w:ilvl w:val="2"/>
          <w:numId w:val="1"/>
        </w:numPr>
        <w:tabs>
          <w:tab w:val="left" w:pos="2268" w:leader="none"/>
          <w:tab w:val="left" w:pos="3544" w:leader="none"/>
          <w:tab w:val="left" w:pos="5387" w:leader="none"/>
          <w:tab w:val="left" w:pos="7088" w:leader="none"/>
        </w:tabs>
        <w:ind w:left="851" w:hanging="0"/>
        <w:rPr>
          <w:rFonts w:ascii="Tahoma" w:hAnsi="Tahoma" w:cs="Tahoma"/>
          <w:sz w:val="22"/>
          <w:szCs w:val="22"/>
        </w:rPr>
      </w:pPr>
      <w:r>
        <w:rPr>
          <w:rFonts w:cs="Tahoma" w:ascii="Tahoma" w:hAnsi="Tahoma"/>
          <w:sz w:val="22"/>
          <w:szCs w:val="22"/>
        </w:rPr>
      </w:r>
    </w:p>
    <w:p>
      <w:pPr>
        <w:pStyle w:val="Heading3"/>
        <w:numPr>
          <w:ilvl w:val="2"/>
          <w:numId w:val="1"/>
        </w:numPr>
        <w:tabs>
          <w:tab w:val="left" w:pos="2268" w:leader="none"/>
          <w:tab w:val="left" w:pos="3544" w:leader="none"/>
          <w:tab w:val="left" w:pos="5387" w:leader="none"/>
          <w:tab w:val="left" w:pos="7088" w:leader="none"/>
        </w:tabs>
        <w:ind w:left="851" w:hanging="0"/>
        <w:rPr>
          <w:rFonts w:ascii="Tahoma" w:hAnsi="Tahoma" w:cs="Tahoma"/>
          <w:sz w:val="22"/>
          <w:szCs w:val="22"/>
        </w:rPr>
      </w:pPr>
      <w:r>
        <w:rPr>
          <w:rFonts w:cs="Tahoma" w:ascii="Tahoma" w:hAnsi="Tahoma"/>
          <w:sz w:val="22"/>
          <w:szCs w:val="22"/>
        </w:rPr>
      </w:r>
    </w:p>
    <w:p>
      <w:pPr>
        <w:pStyle w:val="Heading3"/>
        <w:numPr>
          <w:ilvl w:val="2"/>
          <w:numId w:val="1"/>
        </w:numPr>
        <w:tabs>
          <w:tab w:val="left" w:pos="2268" w:leader="none"/>
          <w:tab w:val="left" w:pos="3544" w:leader="none"/>
          <w:tab w:val="left" w:pos="5387" w:leader="none"/>
          <w:tab w:val="left" w:pos="7088" w:leader="none"/>
        </w:tabs>
        <w:ind w:left="851" w:hanging="0"/>
        <w:rPr>
          <w:rFonts w:ascii="Tahoma" w:hAnsi="Tahoma" w:cs="Tahoma"/>
          <w:sz w:val="22"/>
          <w:szCs w:val="22"/>
        </w:rPr>
      </w:pPr>
      <w:r>
        <w:rPr>
          <w:rFonts w:cs="Tahoma" w:ascii="Tahoma" w:hAnsi="Tahoma"/>
          <w:sz w:val="22"/>
          <w:szCs w:val="22"/>
        </w:rPr>
        <w:tab/>
      </w:r>
    </w:p>
    <w:p>
      <w:pPr>
        <w:pStyle w:val="Normal"/>
        <w:tabs>
          <w:tab w:val="left" w:pos="2268" w:leader="none"/>
          <w:tab w:val="left" w:pos="3544" w:leader="none"/>
          <w:tab w:val="left" w:pos="7088" w:leader="none"/>
        </w:tabs>
        <w:ind w:left="851" w:hanging="0"/>
        <w:jc w:val="both"/>
        <w:rPr>
          <w:rFonts w:ascii="Tahoma" w:hAnsi="Tahoma" w:cs="Tahoma"/>
          <w:sz w:val="22"/>
          <w:szCs w:val="22"/>
        </w:rPr>
      </w:pPr>
      <w:r>
        <w:rPr>
          <w:rFonts w:cs="Tahoma" w:ascii="Tahoma" w:hAnsi="Tahoma"/>
          <w:sz w:val="22"/>
          <w:szCs w:val="22"/>
        </w:rPr>
      </w:r>
    </w:p>
    <w:p>
      <w:pPr>
        <w:pStyle w:val="Normal"/>
        <w:rPr/>
      </w:pPr>
      <w:r>
        <w:rPr>
          <w:rFonts w:cs="Tahoma" w:ascii="Tahoma" w:hAnsi="Tahoma"/>
          <w:sz w:val="22"/>
          <w:szCs w:val="22"/>
        </w:rPr>
        <w:t>Pour la C.G.T</w:t>
        <w:tab/>
        <w:tab/>
        <w:tab/>
        <w:tab/>
        <w:tab/>
        <w:tab/>
        <w:tab/>
        <w:tab/>
        <w:tab/>
      </w:r>
    </w:p>
    <w:p>
      <w:pPr>
        <w:pStyle w:val="Header"/>
        <w:rPr>
          <w:rFonts w:ascii="Tahoma" w:hAnsi="Tahoma" w:cs="Tahoma"/>
          <w:b/>
          <w:b/>
        </w:rPr>
      </w:pPr>
      <w:bookmarkStart w:id="4" w:name="_PictureBullets"/>
      <w:bookmarkEnd w:id="4"/>
      <w:r>
        <w:rPr>
          <w:rFonts w:cs="Tahoma" w:ascii="Tahoma" w:hAnsi="Tahoma"/>
          <w:b/>
          <w:sz w:val="22"/>
          <w:szCs w:val="22"/>
        </w:rPr>
        <w:t>…</w:t>
      </w:r>
    </w:p>
    <w:sectPr>
      <w:headerReference w:type="default" r:id="rId2"/>
      <w:footerReference w:type="default" r:id="rId3"/>
      <w:type w:val="nextPage"/>
      <w:pgSz w:w="11906" w:h="16838"/>
      <w:pgMar w:left="1417" w:right="1106" w:header="426" w:top="568" w:footer="545" w:bottom="6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Garamond">
    <w:altName w:val="Times New Roman"/>
    <w:charset w:val="00"/>
    <w:family w:val="roman"/>
    <w:pitch w:val="variable"/>
  </w:font>
  <w:font w:name="FranklinGothic">
    <w:altName w:val="Cordia New"/>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Tahoma" w:ascii="Tahoma" w:hAnsi="Tahoma"/>
        <w:sz w:val="22"/>
        <w:szCs w:val="22"/>
      </w:rPr>
      <w:fldChar w:fldCharType="begin"/>
    </w:r>
    <w:r>
      <w:instrText> PAGE </w:instrText>
    </w:r>
    <w:r>
      <w:fldChar w:fldCharType="separate"/>
    </w:r>
    <w:r>
      <w:t>4</w:t>
    </w:r>
    <w:r>
      <w:fldChar w:fldCharType="end"/>
    </w:r>
    <w:r>
      <w:rPr>
        <w:rStyle w:val="PageNumber"/>
        <w:rFonts w:cs="Tahoma" w:ascii="Tahoma" w:hAnsi="Tahoma"/>
        <w:sz w:val="22"/>
        <w:szCs w:val="22"/>
      </w:rPr>
      <w:t>/</w:t>
    </w:r>
    <w:r>
      <w:rPr>
        <w:rStyle w:val="PageNumber"/>
        <w:rFonts w:cs="Tahoma" w:ascii="Tahoma" w:hAnsi="Tahoma"/>
        <w:sz w:val="22"/>
        <w:szCs w:val="22"/>
      </w:rPr>
      <w:fldChar w:fldCharType="begin"/>
    </w:r>
    <w:r>
      <w:instrText> NUMPAGES \*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en-GB" w:eastAsia="en-GB"/>
      </w:rPr>
    </w:pPr>
    <w:r>
      <w:rPr>
        <w:lang w:val="en-GB" w:eastAsia="en-GB"/>
      </w:rPr>
      <w:drawing>
        <wp:inline distT="0" distB="0" distL="0" distR="0">
          <wp:extent cx="2400935" cy="3683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rcRect l="-10" t="-65" r="-10" b="-65"/>
                  <a:stretch>
                    <a:fillRect/>
                  </a:stretch>
                </pic:blipFill>
                <pic:spPr bwMode="auto">
                  <a:xfrm>
                    <a:off x="0" y="0"/>
                    <a:ext cx="2400935" cy="3683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tabs>
          <w:tab w:val="num" w:pos="720"/>
        </w:tabs>
        <w:ind w:left="720" w:hanging="360"/>
      </w:pPr>
      <w:rPr>
        <w:rFonts w:ascii="Arial" w:hAnsi="Arial" w:cs="Arial" w:hint="default"/>
        <w:sz w:val="22"/>
        <w:szCs w:val="22"/>
        <w:rFonts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pBdr>
        <w:top w:val="double" w:sz="4" w:space="1" w:color="000000"/>
        <w:left w:val="double" w:sz="4" w:space="4" w:color="000000"/>
        <w:bottom w:val="double" w:sz="4" w:space="1" w:color="000000"/>
        <w:right w:val="double" w:sz="4" w:space="4" w:color="000000"/>
      </w:pBdr>
      <w:shd w:fill="C0C0C0" w:val="clear"/>
      <w:jc w:val="center"/>
      <w:outlineLvl w:val="0"/>
    </w:pPr>
    <w:rPr>
      <w:rFonts w:ascii="AGaramond;Times New Roman" w:hAnsi="AGaramond;Times New Roman" w:cs="AGaramond;Times New Roman"/>
      <w:b/>
      <w:bCs/>
    </w:rPr>
  </w:style>
  <w:style w:type="paragraph" w:styleId="Heading2">
    <w:name w:val="Heading 2"/>
    <w:basedOn w:val="Normal"/>
    <w:next w:val="Normal"/>
    <w:qFormat/>
    <w:pPr>
      <w:keepNext w:val="true"/>
      <w:numPr>
        <w:ilvl w:val="1"/>
        <w:numId w:val="1"/>
      </w:numPr>
      <w:tabs>
        <w:tab w:val="left" w:pos="2268" w:leader="none"/>
        <w:tab w:val="left" w:pos="3261" w:leader="none"/>
        <w:tab w:val="left" w:pos="5670" w:leader="none"/>
        <w:tab w:val="left" w:pos="7513" w:leader="none"/>
      </w:tabs>
      <w:ind w:left="851" w:hanging="0"/>
      <w:outlineLvl w:val="1"/>
    </w:pPr>
    <w:rPr>
      <w:rFonts w:ascii="AGaramond;Times New Roman" w:hAnsi="AGaramond;Times New Roman" w:cs="AGaramond;Times New Roman"/>
      <w:b/>
      <w:bCs/>
    </w:rPr>
  </w:style>
  <w:style w:type="paragraph" w:styleId="Heading3">
    <w:name w:val="Heading 3"/>
    <w:basedOn w:val="Normal"/>
    <w:next w:val="Normal"/>
    <w:qFormat/>
    <w:pPr>
      <w:keepNext w:val="true"/>
      <w:numPr>
        <w:ilvl w:val="2"/>
        <w:numId w:val="1"/>
      </w:numPr>
      <w:tabs>
        <w:tab w:val="left" w:pos="2268" w:leader="none"/>
        <w:tab w:val="left" w:pos="3544" w:leader="none"/>
        <w:tab w:val="left" w:pos="7088" w:leader="none"/>
      </w:tabs>
      <w:ind w:left="851" w:hanging="0"/>
      <w:jc w:val="both"/>
      <w:outlineLvl w:val="2"/>
    </w:pPr>
    <w:rPr>
      <w:rFonts w:ascii="AGaramond;Times New Roman" w:hAnsi="AGaramond;Times New Roman" w:cs="AGaramond;Times New Roman"/>
      <w:b/>
      <w:bCs/>
      <w:sz w:val="26"/>
      <w:szCs w:val="26"/>
    </w:rPr>
  </w:style>
  <w:style w:type="paragraph" w:styleId="Heading4">
    <w:name w:val="Heading 4"/>
    <w:basedOn w:val="Normal"/>
    <w:next w:val="Normal"/>
    <w:qFormat/>
    <w:pPr>
      <w:keepNext w:val="true"/>
      <w:numPr>
        <w:ilvl w:val="3"/>
        <w:numId w:val="1"/>
      </w:numPr>
      <w:tabs>
        <w:tab w:val="left" w:pos="0" w:leader="none"/>
      </w:tabs>
      <w:ind w:right="295" w:hanging="0"/>
      <w:outlineLvl w:val="3"/>
    </w:pPr>
    <w:rPr>
      <w:rFonts w:ascii="AGaramond;Times New Roman" w:hAnsi="AGaramond;Times New Roman" w:cs="AGaramond;Times New Roman"/>
      <w:b/>
      <w:bCs/>
      <w:sz w:val="32"/>
      <w:szCs w:val="32"/>
      <w:u w:val="single"/>
    </w:rPr>
  </w:style>
  <w:style w:type="character" w:styleId="WW8Num1z0">
    <w:name w:val="WW8Num1z0"/>
    <w:qFormat/>
    <w:rPr>
      <w:rFonts w:ascii="FranklinGothic;Cordia New" w:hAnsi="FranklinGothic;Cordia New"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ahoma" w:hAnsi="Tahoma" w:eastAsia="Times New Roman" w:cs="Tahoma"/>
      <w:b w:val="false"/>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ahoma" w:hAnsi="Tahoma" w:eastAsia="Times New Roman" w:cs="Tahom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sz w:val="24"/>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ahoma" w:hAnsi="Tahoma" w:eastAsia="Times New Roman" w:cs="Tahoma"/>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Policepardfaut">
    <w:name w:val="Police par défaut"/>
    <w:qFormat/>
    <w:rPr/>
  </w:style>
  <w:style w:type="character" w:styleId="PageNumber">
    <w:name w:val="Page Number"/>
    <w:rPr>
      <w:rFonts w:cs="Times New Roman"/>
    </w:rPr>
  </w:style>
  <w:style w:type="character" w:styleId="Corpsdetexte2Car">
    <w:name w:val="Corps de texte 2 Car"/>
    <w:qFormat/>
    <w:rPr>
      <w:rFonts w:ascii="AGaramond;Times New Roman" w:hAnsi="AGaramond;Times New Roman" w:cs="AGaramond;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rFonts w:ascii="AGaramond;Times New Roman" w:hAnsi="AGaramond;Times New Roman" w:cs="AGaramond;Times New Roman"/>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Retraitcorpsdetexte2">
    <w:name w:val="Retrait corps de texte 2"/>
    <w:basedOn w:val="Normal"/>
    <w:qFormat/>
    <w:pPr>
      <w:tabs>
        <w:tab w:val="left" w:pos="2268" w:leader="none"/>
      </w:tabs>
      <w:ind w:left="851" w:hanging="0"/>
      <w:jc w:val="both"/>
    </w:pPr>
    <w:rPr>
      <w:rFonts w:ascii="AGaramond;Times New Roman" w:hAnsi="AGaramond;Times New Roman" w:cs="AGaramond;Times New Roman"/>
      <w:sz w:val="26"/>
      <w:szCs w:val="2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Retraitcorpsdetexte3">
    <w:name w:val="Retrait corps de texte 3"/>
    <w:basedOn w:val="Normal"/>
    <w:qFormat/>
    <w:pPr>
      <w:spacing w:before="0" w:after="120"/>
      <w:ind w:left="283" w:hanging="0"/>
    </w:pPr>
    <w:rPr>
      <w:sz w:val="16"/>
      <w:szCs w:val="16"/>
    </w:rPr>
  </w:style>
  <w:style w:type="paragraph" w:styleId="Corpsdetexte2">
    <w:name w:val="Corps de texte 2"/>
    <w:basedOn w:val="Normal"/>
    <w:qFormat/>
    <w:pPr>
      <w:jc w:val="both"/>
    </w:pPr>
    <w:rPr>
      <w:rFonts w:ascii="AGaramond;Times New Roman" w:hAnsi="AGaramond;Times New Roman" w:cs="AGaramond;Times New Roman"/>
    </w:rPr>
  </w:style>
  <w:style w:type="paragraph" w:styleId="Corpsdetexte3">
    <w:name w:val="Corps de texte 3"/>
    <w:basedOn w:val="Normal"/>
    <w:qFormat/>
    <w:pPr>
      <w:ind w:right="295" w:hanging="0"/>
      <w:jc w:val="both"/>
    </w:pPr>
    <w:rPr>
      <w:rFonts w:ascii="AGaramond;Times New Roman" w:hAnsi="AGaramond;Times New Roman" w:cs="AGaramond;Times New Roman"/>
    </w:rPr>
  </w:style>
  <w:style w:type="paragraph" w:styleId="NormalWeb">
    <w:name w:val="Normal (Web)"/>
    <w:basedOn w:val="Normal"/>
    <w:qFormat/>
    <w:pPr>
      <w:spacing w:before="280" w:after="28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2020-07-28T09:08:00Z</dcterms:created>
  <dc:creator/>
  <dc:description/>
  <dc:language>en-GB</dc:language>
  <cp:lastModifiedBy/>
  <cp:lastPrinted>2019-03-11T10:53:00Z</cp:lastPrinted>
  <dcterms:modified xsi:type="dcterms:W3CDTF">2020-07-28T09:09:00Z</dcterms:modified>
  <cp:revision>3</cp:revision>
  <dc:subject/>
  <dc:title>NEGOCIATIONS ANNUELLES OBLIGATOIRES 2007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f18134-6f5d-4bda-a933-71298ef3d4d6_ActionId">
    <vt:lpwstr>3ba33e26-34b0-4351-8502-0000d2cba414</vt:lpwstr>
  </property>
  <property fmtid="{D5CDD505-2E9C-101B-9397-08002B2CF9AE}" pid="3" name="MSIP_Label_7bf18134-6f5d-4bda-a933-71298ef3d4d6_ContentBits">
    <vt:lpwstr>0</vt:lpwstr>
  </property>
  <property fmtid="{D5CDD505-2E9C-101B-9397-08002B2CF9AE}" pid="4" name="MSIP_Label_7bf18134-6f5d-4bda-a933-71298ef3d4d6_Enabled">
    <vt:lpwstr>true</vt:lpwstr>
  </property>
  <property fmtid="{D5CDD505-2E9C-101B-9397-08002B2CF9AE}" pid="5" name="MSIP_Label_7bf18134-6f5d-4bda-a933-71298ef3d4d6_Method">
    <vt:lpwstr>Standard</vt:lpwstr>
  </property>
  <property fmtid="{D5CDD505-2E9C-101B-9397-08002B2CF9AE}" pid="6" name="MSIP_Label_7bf18134-6f5d-4bda-a933-71298ef3d4d6_Name">
    <vt:lpwstr>Internal - French</vt:lpwstr>
  </property>
  <property fmtid="{D5CDD505-2E9C-101B-9397-08002B2CF9AE}" pid="7" name="MSIP_Label_7bf18134-6f5d-4bda-a933-71298ef3d4d6_SetDate">
    <vt:lpwstr>2020-01-30T16:45:21Z</vt:lpwstr>
  </property>
  <property fmtid="{D5CDD505-2E9C-101B-9397-08002B2CF9AE}" pid="8" name="MSIP_Label_7bf18134-6f5d-4bda-a933-71298ef3d4d6_SiteId">
    <vt:lpwstr>b111659a-0f49-45b7-ae63-309d632da1db</vt:lpwstr>
  </property>
</Properties>
</file>