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numbering.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png" ContentType="image/png"/>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142" w:hanging="0"/>
        <w:jc w:val="both"/>
        <w:rPr>
          <w:rFonts w:ascii="Calibri" w:hAnsi="Calibri" w:cs="Calibri"/>
          <w:sz w:val="24"/>
          <w:lang w:val="en-GB" w:eastAsia="en-GB"/>
        </w:rPr>
      </w:pPr>
      <w:r>
        <w:rPr>
          <w:rFonts w:cs="Calibri" w:ascii="Calibri" w:hAnsi="Calibri"/>
          <w:sz w:val="24"/>
          <w:lang w:val="en-GB" w:eastAsia="en-GB"/>
        </w:rPr>
        <mc:AlternateContent>
          <mc:Choice Requires="wps">
            <w:drawing>
              <wp:anchor behindDoc="1" distT="0" distB="0" distL="114935" distR="114935" simplePos="0" locked="0" layoutInCell="1" allowOverlap="1" relativeHeight="5">
                <wp:simplePos x="0" y="0"/>
                <wp:positionH relativeFrom="column">
                  <wp:posOffset>859790</wp:posOffset>
                </wp:positionH>
                <wp:positionV relativeFrom="paragraph">
                  <wp:posOffset>167640</wp:posOffset>
                </wp:positionV>
                <wp:extent cx="4458335" cy="1029335"/>
                <wp:effectExtent l="0" t="0" r="0" b="0"/>
                <wp:wrapNone/>
                <wp:docPr id="1" name=""/>
                <a:graphic xmlns:a="http://schemas.openxmlformats.org/drawingml/2006/main">
                  <a:graphicData uri="http://schemas.microsoft.com/office/word/2010/wordprocessingShape">
                    <wps:wsp>
                      <wps:cNvSpPr/>
                      <wps:spPr>
                        <a:xfrm>
                          <a:off x="0" y="0"/>
                          <a:ext cx="4457880" cy="1028880"/>
                        </a:xfrm>
                        <a:custGeom>
                          <a:avLst/>
                          <a:gdLst/>
                          <a:ahLst/>
                          <a:rect l="0" t="0" r="r" b="b"/>
                          <a:pathLst>
                            <a:path w="7022" h="1622">
                              <a:moveTo>
                                <a:pt x="270" y="0"/>
                              </a:moveTo>
                              <a:cubicBezTo>
                                <a:pt x="135" y="0"/>
                                <a:pt x="0" y="135"/>
                                <a:pt x="0" y="270"/>
                              </a:cubicBezTo>
                              <a:lnTo>
                                <a:pt x="0" y="1350"/>
                              </a:lnTo>
                              <a:cubicBezTo>
                                <a:pt x="0" y="1485"/>
                                <a:pt x="135" y="1621"/>
                                <a:pt x="270" y="1621"/>
                              </a:cubicBezTo>
                              <a:lnTo>
                                <a:pt x="6750" y="1621"/>
                              </a:lnTo>
                              <a:cubicBezTo>
                                <a:pt x="6885" y="1621"/>
                                <a:pt x="7021" y="1485"/>
                                <a:pt x="7021" y="1350"/>
                              </a:cubicBezTo>
                              <a:lnTo>
                                <a:pt x="7021" y="270"/>
                              </a:lnTo>
                              <a:cubicBezTo>
                                <a:pt x="7021" y="135"/>
                                <a:pt x="6885" y="0"/>
                                <a:pt x="6750" y="0"/>
                              </a:cubicBezTo>
                              <a:lnTo>
                                <a:pt x="270" y="0"/>
                              </a:lnTo>
                            </a:path>
                          </a:pathLst>
                        </a:custGeom>
                        <a:solidFill>
                          <a:srgbClr val="eaeaea"/>
                        </a:solidFill>
                        <a:ln w="9360">
                          <a:solidFill>
                            <a:srgbClr val="000000"/>
                          </a:solidFill>
                          <a:miter/>
                        </a:ln>
                      </wps:spPr>
                      <wps:style>
                        <a:lnRef idx="0"/>
                        <a:fillRef idx="0"/>
                        <a:effectRef idx="0"/>
                        <a:fontRef idx="minor"/>
                      </wps:style>
                      <wps:bodyPr/>
                    </wps:wsp>
                  </a:graphicData>
                </a:graphic>
              </wp:anchor>
            </w:drawing>
          </mc:Choice>
          <mc:Fallback>
            <w:pict>
              <v:roundrect id="shape_0" fillcolor="#eaeaea" stroked="t" style="position:absolute;margin-left:67.7pt;margin-top:13.2pt;width:350.95pt;height:80.95pt">
                <w10:wrap type="none"/>
                <v:fill o:detectmouseclick="t" type="solid" color2="#151515"/>
                <v:stroke color="black" weight="9360" joinstyle="miter" endcap="square"/>
              </v:roundrect>
            </w:pict>
          </mc:Fallback>
        </mc:AlternateContent>
      </w:r>
    </w:p>
    <w:p>
      <w:pPr>
        <w:pStyle w:val="Normal"/>
        <w:ind w:left="-142" w:hanging="0"/>
        <w:jc w:val="both"/>
        <w:rPr>
          <w:rFonts w:ascii="Calibri" w:hAnsi="Calibri" w:cs="Calibri"/>
          <w:sz w:val="24"/>
        </w:rPr>
      </w:pPr>
      <w:r>
        <w:rPr>
          <w:rFonts w:cs="Calibri" w:ascii="Calibri" w:hAnsi="Calibri"/>
          <w:sz w:val="24"/>
        </w:rPr>
      </w:r>
    </w:p>
    <w:p>
      <w:pPr>
        <w:pStyle w:val="Heading1"/>
        <w:numPr>
          <w:ilvl w:val="0"/>
          <w:numId w:val="1"/>
        </w:numPr>
        <w:ind w:left="-142" w:hanging="0"/>
        <w:rPr/>
      </w:pPr>
      <w:r>
        <w:rPr/>
        <w:t>PROJET D’ACCORD DU</w:t>
        <w:tab/>
        <w:t xml:space="preserve"> 20 SEPTEMBRE 2017</w:t>
        <w:tab/>
      </w:r>
    </w:p>
    <w:p>
      <w:pPr>
        <w:pStyle w:val="Heading1"/>
        <w:numPr>
          <w:ilvl w:val="0"/>
          <w:numId w:val="1"/>
        </w:numPr>
        <w:ind w:left="-142" w:hanging="0"/>
        <w:rPr/>
      </w:pPr>
      <w:r>
        <w:rPr/>
        <w:t>SUR LA PROROGATIN DES MANDATS</w:t>
      </w:r>
    </w:p>
    <w:p>
      <w:pPr>
        <w:pStyle w:val="Heading1"/>
        <w:numPr>
          <w:ilvl w:val="0"/>
          <w:numId w:val="1"/>
        </w:numPr>
        <w:ind w:left="-142" w:hanging="0"/>
        <w:rPr/>
      </w:pPr>
      <w:r>
        <w:rPr/>
        <w:t xml:space="preserve">DES INSTANTANCES REPRESENTATIVES DU PERSONNEL </w:t>
      </w:r>
    </w:p>
    <w:p>
      <w:pPr>
        <w:pStyle w:val="Normal"/>
        <w:ind w:left="-142" w:hanging="0"/>
        <w:jc w:val="both"/>
        <w:rPr>
          <w:rFonts w:ascii="Calibri" w:hAnsi="Calibri" w:cs="Calibri"/>
          <w:sz w:val="24"/>
        </w:rPr>
      </w:pPr>
      <w:r>
        <w:rPr>
          <w:rFonts w:cs="Calibri" w:ascii="Calibri" w:hAnsi="Calibri"/>
          <w:sz w:val="24"/>
        </w:rPr>
      </w:r>
    </w:p>
    <w:p>
      <w:pPr>
        <w:pStyle w:val="Normal"/>
        <w:ind w:left="-142" w:hanging="0"/>
        <w:jc w:val="both"/>
        <w:rPr>
          <w:rStyle w:val="Txt"/>
          <w:rFonts w:ascii="Calibri" w:hAnsi="Calibri" w:cs="Calibri"/>
          <w:sz w:val="24"/>
        </w:rPr>
      </w:pPr>
      <w:r>
        <w:rPr>
          <w:rFonts w:cs="Calibri" w:ascii="Calibri" w:hAnsi="Calibri"/>
          <w:sz w:val="24"/>
        </w:rPr>
      </w:r>
    </w:p>
    <w:p>
      <w:pPr>
        <w:pStyle w:val="Normal"/>
        <w:ind w:left="-142" w:hanging="0"/>
        <w:jc w:val="both"/>
        <w:rPr>
          <w:rStyle w:val="Txt"/>
          <w:rFonts w:ascii="Calibri" w:hAnsi="Calibri" w:cs="Calibri"/>
          <w:sz w:val="24"/>
        </w:rPr>
      </w:pPr>
      <w:r>
        <w:rPr/>
      </w:r>
    </w:p>
    <w:p>
      <w:pPr>
        <w:pStyle w:val="Normal"/>
        <w:ind w:left="-142" w:hanging="0"/>
        <w:jc w:val="both"/>
        <w:rPr>
          <w:rStyle w:val="Txt"/>
          <w:rFonts w:ascii="Calibri" w:hAnsi="Calibri" w:cs="Calibri"/>
          <w:sz w:val="24"/>
        </w:rPr>
      </w:pPr>
      <w:r>
        <w:rPr/>
      </w:r>
    </w:p>
    <w:p>
      <w:pPr>
        <w:pStyle w:val="Normal"/>
        <w:ind w:left="-142" w:hanging="0"/>
        <w:jc w:val="both"/>
        <w:rPr/>
      </w:pPr>
      <w:r>
        <w:rPr>
          <w:rStyle w:val="Txt"/>
          <w:rFonts w:cs="Calibri" w:ascii="Calibri" w:hAnsi="Calibri"/>
          <w:sz w:val="24"/>
        </w:rPr>
        <w:t>ENTRE LES SOUSSIGNES :</w:t>
      </w:r>
    </w:p>
    <w:p>
      <w:pPr>
        <w:pStyle w:val="Normal"/>
        <w:ind w:left="-142" w:hanging="0"/>
        <w:jc w:val="both"/>
        <w:rPr>
          <w:rStyle w:val="Txt"/>
          <w:rFonts w:ascii="Calibri" w:hAnsi="Calibri" w:cs="Calibri"/>
          <w:sz w:val="24"/>
        </w:rPr>
      </w:pPr>
      <w:r>
        <w:rPr/>
      </w:r>
    </w:p>
    <w:p>
      <w:pPr>
        <w:pStyle w:val="Normal"/>
        <w:ind w:left="-142" w:hanging="0"/>
        <w:jc w:val="both"/>
        <w:rPr/>
      </w:pPr>
      <w:r>
        <w:rPr>
          <w:rStyle w:val="Txt"/>
          <w:rFonts w:cs="Calibri" w:ascii="Calibri" w:hAnsi="Calibri"/>
          <w:b/>
          <w:sz w:val="24"/>
        </w:rPr>
        <w:t xml:space="preserve">La société </w:t>
      </w:r>
    </w:p>
    <w:p>
      <w:pPr>
        <w:pStyle w:val="Normal"/>
        <w:ind w:left="-142" w:hanging="0"/>
        <w:jc w:val="both"/>
        <w:rPr>
          <w:rStyle w:val="Txt"/>
          <w:rFonts w:ascii="Calibri" w:hAnsi="Calibri" w:cs="Calibri"/>
          <w:b/>
          <w:b/>
          <w:sz w:val="24"/>
        </w:rPr>
      </w:pPr>
      <w:r>
        <w:rPr/>
      </w:r>
    </w:p>
    <w:p>
      <w:pPr>
        <w:pStyle w:val="Normal"/>
        <w:ind w:left="-142" w:hanging="0"/>
        <w:jc w:val="both"/>
        <w:rPr>
          <w:rStyle w:val="Txt"/>
          <w:rFonts w:ascii="Calibri" w:hAnsi="Calibri" w:cs="Calibri"/>
          <w:b/>
          <w:b/>
          <w:sz w:val="24"/>
        </w:rPr>
      </w:pPr>
      <w:r>
        <w:rPr/>
      </w:r>
    </w:p>
    <w:p>
      <w:pPr>
        <w:pStyle w:val="Normal"/>
        <w:ind w:left="-142" w:hanging="0"/>
        <w:jc w:val="both"/>
        <w:rPr/>
      </w:pPr>
      <w:r>
        <w:rPr>
          <w:rStyle w:val="Txt"/>
          <w:rFonts w:cs="Calibri" w:ascii="Calibri" w:hAnsi="Calibri"/>
          <w:sz w:val="24"/>
        </w:rPr>
        <w:t>D’une part,</w:t>
      </w:r>
    </w:p>
    <w:p>
      <w:pPr>
        <w:pStyle w:val="Normal"/>
        <w:ind w:left="-142" w:hanging="0"/>
        <w:jc w:val="both"/>
        <w:rPr>
          <w:rStyle w:val="Txt"/>
          <w:rFonts w:ascii="Calibri" w:hAnsi="Calibri" w:cs="Calibri"/>
          <w:sz w:val="24"/>
        </w:rPr>
      </w:pPr>
      <w:r>
        <w:rPr/>
      </w:r>
    </w:p>
    <w:p>
      <w:pPr>
        <w:pStyle w:val="Normal"/>
        <w:ind w:left="-142" w:hanging="0"/>
        <w:jc w:val="both"/>
        <w:rPr/>
      </w:pPr>
      <w:r>
        <w:rPr>
          <w:rStyle w:val="Txt"/>
          <w:rFonts w:cs="Calibri" w:ascii="Calibri" w:hAnsi="Calibri"/>
          <w:sz w:val="24"/>
        </w:rPr>
        <w:t>ET,</w:t>
      </w:r>
    </w:p>
    <w:p>
      <w:pPr>
        <w:pStyle w:val="Normal"/>
        <w:ind w:left="-142" w:hanging="0"/>
        <w:jc w:val="both"/>
        <w:rPr>
          <w:rStyle w:val="Txt"/>
          <w:rFonts w:ascii="Calibri" w:hAnsi="Calibri" w:cs="Calibri"/>
          <w:sz w:val="24"/>
        </w:rPr>
      </w:pPr>
      <w:r>
        <w:rPr/>
      </w:r>
    </w:p>
    <w:p>
      <w:pPr>
        <w:pStyle w:val="Normal"/>
        <w:ind w:left="-142" w:hanging="0"/>
        <w:jc w:val="both"/>
        <w:rPr/>
      </w:pPr>
      <w:r>
        <w:rPr>
          <w:rStyle w:val="Txt"/>
          <w:rFonts w:cs="Calibri" w:ascii="Calibri" w:hAnsi="Calibri"/>
          <w:b/>
          <w:sz w:val="24"/>
        </w:rPr>
        <w:t xml:space="preserve">Les organisations syndicales : </w:t>
      </w:r>
    </w:p>
    <w:p>
      <w:pPr>
        <w:pStyle w:val="Normal"/>
        <w:ind w:left="-142" w:hanging="0"/>
        <w:jc w:val="both"/>
        <w:rPr>
          <w:rStyle w:val="Txt"/>
          <w:rFonts w:ascii="Calibri" w:hAnsi="Calibri" w:cs="Calibri"/>
          <w:b/>
          <w:b/>
          <w:sz w:val="24"/>
        </w:rPr>
      </w:pPr>
      <w:r>
        <w:rPr/>
      </w:r>
    </w:p>
    <w:p>
      <w:pPr>
        <w:pStyle w:val="Normal"/>
        <w:ind w:left="-142" w:hanging="0"/>
        <w:jc w:val="both"/>
        <w:rPr/>
      </w:pPr>
      <w:r>
        <w:rPr>
          <w:rStyle w:val="Txt"/>
          <w:rFonts w:cs="Calibri" w:ascii="Calibri" w:hAnsi="Calibri"/>
          <w:sz w:val="24"/>
        </w:rPr>
        <w:t>CFE-CGC représentée par,</w:t>
      </w:r>
    </w:p>
    <w:p>
      <w:pPr>
        <w:pStyle w:val="Normal"/>
        <w:ind w:left="-142" w:hanging="0"/>
        <w:jc w:val="both"/>
        <w:rPr>
          <w:rStyle w:val="Txt"/>
          <w:rFonts w:ascii="Calibri" w:hAnsi="Calibri" w:cs="Calibri"/>
          <w:sz w:val="24"/>
        </w:rPr>
      </w:pPr>
      <w:r>
        <w:rPr/>
      </w:r>
    </w:p>
    <w:p>
      <w:pPr>
        <w:pStyle w:val="Normal"/>
        <w:ind w:left="-142" w:hanging="0"/>
        <w:jc w:val="both"/>
        <w:rPr/>
      </w:pPr>
      <w:r>
        <w:rPr>
          <w:rStyle w:val="Txt"/>
          <w:rFonts w:cs="Calibri" w:ascii="Calibri" w:hAnsi="Calibri"/>
          <w:sz w:val="24"/>
        </w:rPr>
        <w:t>CFDT représentée par,</w:t>
      </w:r>
    </w:p>
    <w:p>
      <w:pPr>
        <w:pStyle w:val="Normal"/>
        <w:ind w:left="-142" w:hanging="0"/>
        <w:jc w:val="both"/>
        <w:rPr>
          <w:rStyle w:val="Txt"/>
          <w:rFonts w:ascii="Calibri" w:hAnsi="Calibri" w:cs="Calibri"/>
          <w:sz w:val="24"/>
        </w:rPr>
      </w:pPr>
      <w:r>
        <w:rPr/>
      </w:r>
    </w:p>
    <w:p>
      <w:pPr>
        <w:pStyle w:val="Normal"/>
        <w:ind w:left="-142" w:hanging="0"/>
        <w:jc w:val="both"/>
        <w:rPr/>
      </w:pPr>
      <w:r>
        <w:rPr>
          <w:rStyle w:val="Txt"/>
          <w:rFonts w:cs="Calibri" w:ascii="Calibri" w:hAnsi="Calibri"/>
          <w:sz w:val="24"/>
        </w:rPr>
        <w:t>CFTC représentée par,</w:t>
      </w:r>
    </w:p>
    <w:p>
      <w:pPr>
        <w:pStyle w:val="Normal"/>
        <w:ind w:left="-142" w:hanging="0"/>
        <w:jc w:val="both"/>
        <w:rPr>
          <w:rStyle w:val="Txt"/>
          <w:rFonts w:ascii="Calibri" w:hAnsi="Calibri" w:cs="Calibri"/>
          <w:sz w:val="24"/>
        </w:rPr>
      </w:pPr>
      <w:r>
        <w:rPr/>
      </w:r>
    </w:p>
    <w:p>
      <w:pPr>
        <w:pStyle w:val="Normal"/>
        <w:ind w:left="-142" w:hanging="0"/>
        <w:jc w:val="both"/>
        <w:rPr/>
      </w:pPr>
      <w:r>
        <w:rPr>
          <w:rStyle w:val="Txt"/>
          <w:rFonts w:cs="Calibri" w:ascii="Calibri" w:hAnsi="Calibri"/>
          <w:sz w:val="24"/>
        </w:rPr>
        <w:t>FO représentée par,</w:t>
      </w:r>
    </w:p>
    <w:p>
      <w:pPr>
        <w:pStyle w:val="Normal"/>
        <w:ind w:left="-142" w:hanging="0"/>
        <w:jc w:val="both"/>
        <w:rPr>
          <w:rStyle w:val="Txt"/>
          <w:rFonts w:ascii="Calibri" w:hAnsi="Calibri" w:cs="Calibri"/>
          <w:sz w:val="24"/>
        </w:rPr>
      </w:pPr>
      <w:r>
        <w:rPr/>
      </w:r>
    </w:p>
    <w:p>
      <w:pPr>
        <w:pStyle w:val="Normal"/>
        <w:ind w:left="-142" w:hanging="0"/>
        <w:jc w:val="both"/>
        <w:rPr/>
      </w:pPr>
      <w:r>
        <w:rPr>
          <w:rStyle w:val="Txt"/>
          <w:rFonts w:cs="Calibri" w:ascii="Calibri" w:hAnsi="Calibri"/>
          <w:sz w:val="24"/>
        </w:rPr>
        <w:t>CGT représentée par,</w:t>
      </w:r>
    </w:p>
    <w:p>
      <w:pPr>
        <w:pStyle w:val="Normal"/>
        <w:ind w:left="-142" w:hanging="0"/>
        <w:jc w:val="both"/>
        <w:rPr>
          <w:rFonts w:ascii="Calibri" w:hAnsi="Calibri" w:cs="Calibri"/>
          <w:sz w:val="24"/>
        </w:rPr>
      </w:pPr>
      <w:r>
        <w:rPr>
          <w:rFonts w:eastAsia="Calibri" w:cs="Calibri" w:ascii="Calibri" w:hAnsi="Calibri"/>
          <w:sz w:val="24"/>
        </w:rPr>
        <w:t xml:space="preserve"> </w:t>
      </w:r>
    </w:p>
    <w:p>
      <w:pPr>
        <w:pStyle w:val="Normal"/>
        <w:ind w:left="-142" w:hanging="0"/>
        <w:jc w:val="both"/>
        <w:rPr>
          <w:rStyle w:val="Txt"/>
          <w:rFonts w:ascii="Calibri" w:hAnsi="Calibri" w:cs="Calibri"/>
          <w:sz w:val="24"/>
        </w:rPr>
      </w:pPr>
      <w:r>
        <w:rPr>
          <w:rFonts w:cs="Calibri" w:ascii="Calibri" w:hAnsi="Calibri"/>
          <w:sz w:val="24"/>
        </w:rPr>
      </w:r>
    </w:p>
    <w:p>
      <w:pPr>
        <w:pStyle w:val="Normal"/>
        <w:ind w:left="-142" w:hanging="0"/>
        <w:jc w:val="both"/>
        <w:rPr/>
      </w:pPr>
      <w:r>
        <w:rPr>
          <w:rStyle w:val="Txt"/>
          <w:rFonts w:cs="Calibri" w:ascii="Calibri" w:hAnsi="Calibri"/>
          <w:sz w:val="24"/>
        </w:rPr>
        <w:t>D'autre part,</w:t>
      </w:r>
    </w:p>
    <w:p>
      <w:pPr>
        <w:pStyle w:val="Normal"/>
        <w:ind w:left="-142" w:hanging="0"/>
        <w:jc w:val="both"/>
        <w:rPr>
          <w:rStyle w:val="Txt"/>
          <w:rFonts w:ascii="Calibri" w:hAnsi="Calibri" w:cs="Calibri"/>
          <w:sz w:val="24"/>
        </w:rPr>
      </w:pPr>
      <w:r>
        <w:rPr/>
      </w:r>
    </w:p>
    <w:p>
      <w:pPr>
        <w:pStyle w:val="Heading2"/>
        <w:numPr>
          <w:ilvl w:val="1"/>
          <w:numId w:val="1"/>
        </w:numPr>
        <w:spacing w:before="0" w:after="120"/>
        <w:ind w:left="-142" w:hanging="0"/>
        <w:rPr>
          <w:u w:val="single"/>
        </w:rPr>
      </w:pPr>
      <w:r>
        <w:rPr>
          <w:u w:val="single"/>
        </w:rPr>
        <w:t>Préambule</w:t>
      </w:r>
    </w:p>
    <w:p>
      <w:pPr>
        <w:pStyle w:val="Normal"/>
        <w:rPr/>
      </w:pPr>
      <w:r>
        <w:rPr>
          <w:rStyle w:val="Txt"/>
          <w:rFonts w:cs="Calibri" w:ascii="Calibri" w:hAnsi="Calibri"/>
          <w:sz w:val="24"/>
        </w:rPr>
        <w:t>En application des articles L 2314-26 et L2324-24 du code du travail, la durée des mandats des délégués du personnel et des membres du comité d’entreprise est de quatre années.</w:t>
      </w:r>
    </w:p>
    <w:p>
      <w:pPr>
        <w:pStyle w:val="Normal"/>
        <w:rPr>
          <w:rStyle w:val="Txt"/>
          <w:rFonts w:ascii="Calibri" w:hAnsi="Calibri" w:cs="Calibri"/>
          <w:sz w:val="24"/>
        </w:rPr>
      </w:pPr>
      <w:r>
        <w:rPr/>
      </w:r>
    </w:p>
    <w:p>
      <w:pPr>
        <w:pStyle w:val="Normal"/>
        <w:rPr/>
      </w:pPr>
      <w:r>
        <w:rPr>
          <w:rStyle w:val="Txt"/>
          <w:rFonts w:cs="Calibri" w:ascii="Calibri" w:hAnsi="Calibri"/>
          <w:sz w:val="24"/>
        </w:rPr>
        <w:t xml:space="preserve">Le mandat des délégués du  personnel et des membres du comité d’entreprise de la société prendra fin le 17 octobre 2017. </w:t>
      </w:r>
    </w:p>
    <w:p>
      <w:pPr>
        <w:pStyle w:val="Normal"/>
        <w:rPr>
          <w:rStyle w:val="Txt"/>
          <w:rFonts w:ascii="Calibri" w:hAnsi="Calibri" w:cs="Calibri"/>
          <w:sz w:val="24"/>
        </w:rPr>
      </w:pPr>
      <w:r>
        <w:rPr/>
      </w:r>
    </w:p>
    <w:p>
      <w:pPr>
        <w:pStyle w:val="Normal"/>
        <w:rPr/>
      </w:pPr>
      <w:r>
        <w:rPr>
          <w:rStyle w:val="Txt"/>
          <w:rFonts w:cs="Calibri" w:ascii="Calibri" w:hAnsi="Calibri"/>
          <w:sz w:val="24"/>
        </w:rPr>
        <w:t>La fin de mandat des membres du comité d’hygiène sécurité et des conditions de travail a été fixée après prorogation des mandats et en accord avec les élus au 17 octobre 2017.</w:t>
      </w:r>
    </w:p>
    <w:p>
      <w:pPr>
        <w:pStyle w:val="Normal"/>
        <w:rPr/>
      </w:pPr>
      <w:r>
        <w:rPr>
          <w:rStyle w:val="Txt"/>
          <w:rFonts w:cs="Calibri" w:ascii="Calibri" w:hAnsi="Calibri"/>
          <w:sz w:val="24"/>
        </w:rPr>
        <w:t>Le mandat des délégués du personnel et des membres du comité d’entreprise de la société prendront  fin le 31 octobre 2017.</w:t>
      </w:r>
    </w:p>
    <w:p>
      <w:pPr>
        <w:pStyle w:val="Normal"/>
        <w:rPr>
          <w:rStyle w:val="Txt"/>
          <w:rFonts w:ascii="Calibri" w:hAnsi="Calibri" w:cs="Calibri"/>
          <w:sz w:val="24"/>
        </w:rPr>
      </w:pPr>
      <w:r>
        <w:rPr/>
      </w:r>
    </w:p>
    <w:p>
      <w:pPr>
        <w:pStyle w:val="Normal"/>
        <w:rPr>
          <w:rStyle w:val="Txt"/>
          <w:rFonts w:ascii="Calibri" w:hAnsi="Calibri" w:cs="Calibri"/>
          <w:sz w:val="24"/>
        </w:rPr>
      </w:pPr>
      <w:r>
        <w:rPr>
          <w:rStyle w:val="Txt"/>
          <w:rFonts w:cs="Calibri" w:ascii="Calibri" w:hAnsi="Calibri"/>
          <w:sz w:val="24"/>
        </w:rPr>
        <w:t>Un projet d’ordonnance du 31 août 2018 relative à « la nouvelle organisation du dialogue social et économique dans l’entreprise et favorisant l’exercice et la valorisation des responsabilités syndicales » prévoit la fusion du comité d’entreprise, des délégués de personnel et le comité d’hygiène sécurité et des conditions de travail.</w:t>
      </w:r>
    </w:p>
    <w:p>
      <w:pPr>
        <w:pStyle w:val="Normal"/>
        <w:rPr>
          <w:rStyle w:val="Txt"/>
          <w:rFonts w:ascii="Calibri" w:hAnsi="Calibri" w:cs="Calibri"/>
          <w:sz w:val="24"/>
        </w:rPr>
      </w:pPr>
      <w:r>
        <w:rPr/>
      </w:r>
    </w:p>
    <w:p>
      <w:pPr>
        <w:pStyle w:val="Normal"/>
        <w:rPr>
          <w:rStyle w:val="Txt"/>
        </w:rPr>
      </w:pPr>
      <w:r>
        <w:rPr>
          <w:rStyle w:val="Txt"/>
          <w:rFonts w:cs="Calibri" w:ascii="Calibri" w:hAnsi="Calibri"/>
          <w:sz w:val="24"/>
        </w:rPr>
        <w:t xml:space="preserve">Les décrets d’application n’étant pas à ce jour publiés  alors que nous devions rentrer en négociation afin de conclure un protocole électorale, les partis signataires conviennent de fixer la durée de prorogation des mandats par le présent accord. </w:t>
      </w:r>
    </w:p>
    <w:p>
      <w:pPr>
        <w:pStyle w:val="Normal"/>
        <w:ind w:left="-142" w:hanging="0"/>
        <w:jc w:val="both"/>
        <w:rPr>
          <w:rStyle w:val="Txt"/>
        </w:rPr>
      </w:pPr>
      <w:r>
        <w:rPr/>
      </w:r>
    </w:p>
    <w:p>
      <w:pPr>
        <w:pStyle w:val="Normal"/>
        <w:ind w:left="-142" w:hanging="0"/>
        <w:jc w:val="both"/>
        <w:rPr>
          <w:rStyle w:val="Txt"/>
          <w:rFonts w:ascii="Calibri" w:hAnsi="Calibri" w:cs="Calibri"/>
          <w:sz w:val="24"/>
        </w:rPr>
      </w:pPr>
      <w:r>
        <w:rPr/>
      </w:r>
    </w:p>
    <w:p>
      <w:pPr>
        <w:pStyle w:val="Heading2"/>
        <w:numPr>
          <w:ilvl w:val="1"/>
          <w:numId w:val="1"/>
        </w:numPr>
        <w:spacing w:before="0" w:after="120"/>
        <w:ind w:left="-142" w:hanging="0"/>
        <w:rPr>
          <w:rStyle w:val="Txtbold"/>
        </w:rPr>
      </w:pPr>
      <w:r>
        <w:rPr>
          <w:rStyle w:val="Txtbold"/>
        </w:rPr>
        <w:t xml:space="preserve">ARTICLE 1 – Champ d’application </w:t>
      </w:r>
    </w:p>
    <w:p>
      <w:pPr>
        <w:pStyle w:val="Normal"/>
        <w:ind w:left="-142" w:hanging="0"/>
        <w:jc w:val="both"/>
        <w:rPr>
          <w:rStyle w:val="Txt"/>
          <w:rFonts w:ascii="Calibri" w:hAnsi="Calibri" w:cs="Calibri"/>
          <w:sz w:val="24"/>
        </w:rPr>
      </w:pPr>
      <w:r>
        <w:rPr>
          <w:rStyle w:val="Txt"/>
          <w:rFonts w:cs="Calibri" w:ascii="Calibri" w:hAnsi="Calibri"/>
          <w:sz w:val="24"/>
        </w:rPr>
        <w:t xml:space="preserve">Les dispositions du présent accord sont applicables aux mandats de délégués du personnel, des représentants du personnel au comité d’entreprise ainsi qu’aux membres du comité d’hygiène sécurité et conditions de travail et aux délégués du personnel. </w:t>
      </w:r>
    </w:p>
    <w:p>
      <w:pPr>
        <w:pStyle w:val="Normal"/>
        <w:ind w:left="-142" w:hanging="0"/>
        <w:jc w:val="both"/>
        <w:rPr>
          <w:rStyle w:val="Txt"/>
          <w:rFonts w:ascii="Calibri" w:hAnsi="Calibri" w:cs="Calibri"/>
          <w:sz w:val="24"/>
        </w:rPr>
      </w:pPr>
      <w:r>
        <w:rPr/>
      </w:r>
    </w:p>
    <w:p>
      <w:pPr>
        <w:pStyle w:val="Normal"/>
        <w:ind w:left="-142" w:hanging="0"/>
        <w:jc w:val="both"/>
        <w:rPr>
          <w:rStyle w:val="Txt"/>
          <w:rFonts w:ascii="Calibri" w:hAnsi="Calibri" w:cs="Calibri"/>
          <w:sz w:val="24"/>
        </w:rPr>
      </w:pPr>
      <w:r>
        <w:rPr/>
      </w:r>
    </w:p>
    <w:p>
      <w:pPr>
        <w:pStyle w:val="Heading2"/>
        <w:numPr>
          <w:ilvl w:val="1"/>
          <w:numId w:val="1"/>
        </w:numPr>
        <w:spacing w:before="0" w:after="120"/>
        <w:ind w:left="0" w:hanging="142"/>
        <w:rPr/>
      </w:pPr>
      <w:r>
        <w:rPr>
          <w:rStyle w:val="Txtbold"/>
        </w:rPr>
        <w:t xml:space="preserve">ARTICLE 2 – Durée des mandats </w:t>
      </w:r>
    </w:p>
    <w:p>
      <w:pPr>
        <w:pStyle w:val="Normal"/>
        <w:spacing w:before="0" w:after="120"/>
        <w:ind w:left="-142" w:hanging="0"/>
        <w:jc w:val="both"/>
        <w:rPr>
          <w:rStyle w:val="Txt"/>
          <w:rFonts w:ascii="Calibri" w:hAnsi="Calibri" w:cs="Calibri"/>
          <w:sz w:val="24"/>
        </w:rPr>
      </w:pPr>
      <w:r>
        <w:rPr>
          <w:rStyle w:val="Txt"/>
          <w:rFonts w:cs="Calibri" w:ascii="Calibri" w:hAnsi="Calibri"/>
          <w:sz w:val="24"/>
        </w:rPr>
        <w:t xml:space="preserve">La durée des mandats des instances représentatives du personnel tels que définis dans l’article 1 qui devait prendre fin le 17 octobre 2017 sera différée au 31 mars 2018. </w:t>
      </w:r>
    </w:p>
    <w:p>
      <w:pPr>
        <w:pStyle w:val="Normal"/>
        <w:spacing w:before="0" w:after="120"/>
        <w:ind w:left="-142" w:hanging="0"/>
        <w:jc w:val="both"/>
        <w:rPr>
          <w:rStyle w:val="Txt"/>
          <w:rFonts w:ascii="Calibri" w:hAnsi="Calibri" w:cs="Calibri"/>
          <w:sz w:val="24"/>
        </w:rPr>
      </w:pPr>
      <w:r>
        <w:rPr>
          <w:rStyle w:val="Txt"/>
          <w:rFonts w:cs="Calibri" w:ascii="Calibri" w:hAnsi="Calibri"/>
          <w:sz w:val="24"/>
        </w:rPr>
        <w:t>La procédure en vue des futures élections professionnelles intégrant les dispositifs du comité social et économique sera lancée dès le mois de janvier 2018, sous réserve que les décrets d’applications soient publiés.</w:t>
      </w:r>
    </w:p>
    <w:p>
      <w:pPr>
        <w:pStyle w:val="Normal"/>
        <w:jc w:val="both"/>
        <w:rPr>
          <w:rStyle w:val="Txtbold"/>
          <w:rFonts w:ascii="Calibri" w:hAnsi="Calibri" w:cs="Calibri"/>
          <w:sz w:val="24"/>
        </w:rPr>
      </w:pPr>
      <w:r>
        <w:rPr/>
      </w:r>
    </w:p>
    <w:p>
      <w:pPr>
        <w:pStyle w:val="Heading2"/>
        <w:numPr>
          <w:ilvl w:val="1"/>
          <w:numId w:val="1"/>
        </w:numPr>
        <w:spacing w:before="0" w:after="120"/>
        <w:ind w:left="-142" w:hanging="0"/>
        <w:rPr>
          <w:rStyle w:val="Txt"/>
          <w:bCs/>
        </w:rPr>
      </w:pPr>
      <w:r>
        <w:rPr>
          <w:rStyle w:val="Txtbold"/>
        </w:rPr>
        <w:t xml:space="preserve">ARTICLE 3 – Durée de l’accord </w:t>
      </w:r>
    </w:p>
    <w:p>
      <w:pPr>
        <w:pStyle w:val="Normal"/>
        <w:ind w:left="-142" w:hanging="0"/>
        <w:jc w:val="both"/>
        <w:rPr>
          <w:rStyle w:val="Txt"/>
          <w:rFonts w:ascii="Calibri" w:hAnsi="Calibri" w:cs="Calibri"/>
          <w:sz w:val="24"/>
        </w:rPr>
      </w:pPr>
      <w:r>
        <w:rPr>
          <w:rStyle w:val="Txt"/>
          <w:rFonts w:cs="Calibri" w:ascii="Calibri" w:hAnsi="Calibri"/>
          <w:sz w:val="24"/>
        </w:rPr>
        <w:t>Le présent accord est conclu pour une durée déterminée de 5 mois soit jusqu’au 31 mars 2018, pour la durée de son objet telle que précisée à l’article 2 ci-dessus ; sous réserve que les décrets d’application soient publiés ; il prend effet à compter du 17 octobre 2017.</w:t>
      </w:r>
    </w:p>
    <w:p>
      <w:pPr>
        <w:pStyle w:val="Normal"/>
        <w:ind w:left="-142" w:hanging="0"/>
        <w:jc w:val="both"/>
        <w:rPr>
          <w:rStyle w:val="Txt"/>
          <w:rFonts w:ascii="Calibri" w:hAnsi="Calibri" w:cs="Calibri"/>
          <w:sz w:val="24"/>
        </w:rPr>
      </w:pPr>
      <w:r>
        <w:rPr/>
      </w:r>
    </w:p>
    <w:p>
      <w:pPr>
        <w:pStyle w:val="Normal"/>
        <w:ind w:left="-142" w:hanging="0"/>
        <w:jc w:val="both"/>
        <w:rPr>
          <w:rStyle w:val="Txtbold"/>
          <w:rFonts w:ascii="Calibri" w:hAnsi="Calibri" w:cs="Calibri"/>
          <w:b/>
          <w:b/>
          <w:bCs/>
          <w:sz w:val="24"/>
        </w:rPr>
      </w:pPr>
      <w:r>
        <w:rPr/>
      </w:r>
    </w:p>
    <w:p>
      <w:pPr>
        <w:pStyle w:val="Normal"/>
        <w:spacing w:before="0" w:after="120"/>
        <w:ind w:left="-142" w:hanging="0"/>
        <w:jc w:val="both"/>
        <w:rPr>
          <w:rFonts w:ascii="Calibri" w:hAnsi="Calibri" w:cs="Calibri"/>
          <w:b/>
          <w:b/>
          <w:bCs/>
          <w:sz w:val="24"/>
        </w:rPr>
      </w:pPr>
      <w:r>
        <w:rPr>
          <w:rStyle w:val="Txtbold"/>
          <w:rFonts w:cs="Calibri" w:ascii="Calibri" w:hAnsi="Calibri"/>
          <w:b/>
          <w:bCs/>
          <w:sz w:val="24"/>
        </w:rPr>
        <w:t xml:space="preserve">ARTICLE 4 – Formalité de dépôt </w:t>
      </w:r>
    </w:p>
    <w:p>
      <w:pPr>
        <w:pStyle w:val="Normal"/>
        <w:ind w:left="-142" w:hanging="0"/>
        <w:jc w:val="both"/>
        <w:rPr/>
      </w:pPr>
      <w:r>
        <w:rPr>
          <w:rStyle w:val="Txt"/>
          <w:rFonts w:cs="Calibri" w:ascii="Calibri" w:hAnsi="Calibri"/>
          <w:sz w:val="24"/>
        </w:rPr>
        <w:t xml:space="preserve">Le présent accord a été fait en nombre suffisant pour remise à chacune des parties signataires et dépôts dans les conditions prévues par l’article L.2231-6 du code du travail. </w:t>
      </w:r>
    </w:p>
    <w:p>
      <w:pPr>
        <w:pStyle w:val="Normal"/>
        <w:jc w:val="both"/>
        <w:rPr>
          <w:rStyle w:val="Txt"/>
          <w:rFonts w:ascii="Calibri" w:hAnsi="Calibri" w:cs="Calibri"/>
          <w:sz w:val="24"/>
        </w:rPr>
      </w:pPr>
      <w:r>
        <w:rPr/>
      </w:r>
    </w:p>
    <w:p>
      <w:pPr>
        <w:pStyle w:val="Normal"/>
        <w:jc w:val="both"/>
        <w:rPr>
          <w:rStyle w:val="Txt"/>
          <w:rFonts w:ascii="Calibri" w:hAnsi="Calibri" w:cs="Calibri"/>
          <w:sz w:val="24"/>
        </w:rPr>
      </w:pPr>
      <w:r>
        <w:rPr/>
      </w:r>
    </w:p>
    <w:p>
      <w:pPr>
        <w:pStyle w:val="Normal"/>
        <w:jc w:val="both"/>
        <w:rPr>
          <w:rStyle w:val="Txt"/>
          <w:rFonts w:ascii="Calibri" w:hAnsi="Calibri" w:cs="Calibri"/>
          <w:sz w:val="24"/>
        </w:rPr>
      </w:pPr>
      <w:r>
        <w:rPr/>
      </w:r>
    </w:p>
    <w:p>
      <w:pPr>
        <w:pStyle w:val="Normal"/>
        <w:jc w:val="both"/>
        <w:rPr>
          <w:rStyle w:val="Txt"/>
          <w:rFonts w:ascii="Calibri" w:hAnsi="Calibri" w:cs="Calibri"/>
          <w:sz w:val="24"/>
        </w:rPr>
      </w:pPr>
      <w:r>
        <w:rPr/>
      </w:r>
    </w:p>
    <w:p>
      <w:pPr>
        <w:pStyle w:val="Normal"/>
        <w:ind w:left="-142" w:hanging="0"/>
        <w:jc w:val="both"/>
        <w:rPr/>
      </w:pPr>
      <w:r>
        <w:rPr>
          <w:rStyle w:val="Txt"/>
          <w:rFonts w:cs="Calibri" w:ascii="Calibri" w:hAnsi="Calibri"/>
          <w:sz w:val="24"/>
        </w:rPr>
        <w:t xml:space="preserve">Fait à Roubaix, </w:t>
      </w:r>
    </w:p>
    <w:p>
      <w:pPr>
        <w:pStyle w:val="Normal"/>
        <w:ind w:left="-142" w:hanging="0"/>
        <w:jc w:val="both"/>
        <w:rPr>
          <w:rStyle w:val="Txt"/>
          <w:rFonts w:ascii="Calibri" w:hAnsi="Calibri" w:cs="Calibri"/>
          <w:sz w:val="24"/>
        </w:rPr>
      </w:pPr>
      <w:r>
        <w:rPr>
          <w:rStyle w:val="Txt"/>
          <w:rFonts w:cs="Calibri" w:ascii="Calibri" w:hAnsi="Calibri"/>
          <w:sz w:val="24"/>
        </w:rPr>
        <w:t>Le  20 septembre 2017</w:t>
      </w:r>
    </w:p>
    <w:p>
      <w:pPr>
        <w:pStyle w:val="Normal"/>
        <w:ind w:left="-142" w:hanging="0"/>
        <w:jc w:val="both"/>
        <w:rPr>
          <w:rStyle w:val="Txt"/>
          <w:rFonts w:ascii="Calibri" w:hAnsi="Calibri" w:cs="Calibri"/>
          <w:sz w:val="24"/>
        </w:rPr>
      </w:pPr>
      <w:r>
        <w:rPr/>
      </w:r>
    </w:p>
    <w:p>
      <w:pPr>
        <w:pStyle w:val="Heading2"/>
        <w:numPr>
          <w:ilvl w:val="1"/>
          <w:numId w:val="1"/>
        </w:numPr>
        <w:tabs>
          <w:tab w:val="left" w:pos="5580" w:leader="none"/>
        </w:tabs>
        <w:ind w:left="-142" w:hanging="0"/>
        <w:jc w:val="center"/>
        <w:rPr>
          <w:rStyle w:val="Txt"/>
          <w:rFonts w:ascii="Calibri" w:hAnsi="Calibri" w:cs="Calibri"/>
          <w:b/>
          <w:b/>
          <w:bCs/>
          <w:sz w:val="24"/>
        </w:rPr>
      </w:pPr>
      <w:r>
        <w:rPr/>
      </w:r>
    </w:p>
    <w:p>
      <w:pPr>
        <w:pStyle w:val="Normal"/>
        <w:ind w:left="-180" w:hanging="0"/>
        <w:rPr>
          <w:rStyle w:val="Txt"/>
          <w:b/>
          <w:b/>
          <w:bCs/>
        </w:rPr>
      </w:pPr>
      <w:r>
        <w:rPr/>
      </w:r>
    </w:p>
    <w:p>
      <w:pPr>
        <w:pStyle w:val="Heading2"/>
        <w:numPr>
          <w:ilvl w:val="1"/>
          <w:numId w:val="1"/>
        </w:numPr>
        <w:tabs>
          <w:tab w:val="left" w:pos="5580" w:leader="none"/>
        </w:tabs>
        <w:ind w:left="-180" w:hanging="0"/>
        <w:jc w:val="left"/>
        <w:rPr/>
      </w:pPr>
      <w:r>
        <w:rPr/>
        <w:t xml:space="preserve">Pour la Société </w:t>
      </w:r>
    </w:p>
    <w:p>
      <w:pPr>
        <w:pStyle w:val="Normal"/>
        <w:ind w:left="-180" w:hanging="0"/>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pPr>
      <w:r>
        <w:rPr/>
      </w:r>
    </w:p>
    <w:p>
      <w:pPr>
        <w:pStyle w:val="Normal"/>
        <w:rPr/>
      </w:pPr>
      <w:r>
        <w:rPr/>
      </w:r>
    </w:p>
    <w:p>
      <w:pPr>
        <w:pStyle w:val="Normal"/>
        <w:ind w:left="-180" w:hanging="0"/>
        <w:rPr>
          <w:rFonts w:ascii="Calibri" w:hAnsi="Calibri" w:cs="Calibri"/>
          <w:b/>
          <w:b/>
          <w:sz w:val="24"/>
          <w:szCs w:val="24"/>
        </w:rPr>
      </w:pPr>
      <w:r>
        <w:rPr>
          <w:rFonts w:cs="Calibri" w:ascii="Calibri" w:hAnsi="Calibri"/>
          <w:b/>
          <w:sz w:val="24"/>
          <w:szCs w:val="24"/>
        </w:rPr>
        <w:t>Pour les organisations syndicales signataires présentes</w:t>
      </w:r>
    </w:p>
    <w:p>
      <w:pPr>
        <w:pStyle w:val="Normal"/>
        <w:ind w:left="-180" w:hanging="0"/>
        <w:rPr>
          <w:rFonts w:ascii="Calibri" w:hAnsi="Calibri" w:cs="Calibri"/>
          <w:b/>
          <w:b/>
          <w:sz w:val="24"/>
          <w:szCs w:val="24"/>
        </w:rPr>
      </w:pPr>
      <w:r>
        <w:rPr>
          <w:rFonts w:cs="Calibri" w:ascii="Calibri" w:hAnsi="Calibri"/>
          <w:b/>
          <w:sz w:val="24"/>
          <w:szCs w:val="24"/>
        </w:rPr>
      </w:r>
    </w:p>
    <w:p>
      <w:pPr>
        <w:pStyle w:val="Normal"/>
        <w:ind w:left="-180" w:hanging="0"/>
        <w:rPr>
          <w:rFonts w:ascii="Calibri" w:hAnsi="Calibri" w:cs="Calibri"/>
          <w:b/>
          <w:b/>
          <w:sz w:val="24"/>
          <w:szCs w:val="24"/>
        </w:rPr>
      </w:pPr>
      <w:r>
        <w:rPr>
          <w:rFonts w:cs="Calibri" w:ascii="Calibri" w:hAnsi="Calibri"/>
          <w:b/>
          <w:sz w:val="24"/>
          <w:szCs w:val="24"/>
        </w:rPr>
      </w:r>
    </w:p>
    <w:p>
      <w:pPr>
        <w:pStyle w:val="Normal"/>
        <w:ind w:left="-180" w:hanging="0"/>
        <w:rPr>
          <w:rFonts w:ascii="Calibri" w:hAnsi="Calibri" w:cs="Calibri"/>
          <w:b/>
          <w:b/>
          <w:sz w:val="24"/>
          <w:szCs w:val="24"/>
        </w:rPr>
      </w:pPr>
      <w:r>
        <w:rPr>
          <w:rFonts w:cs="Calibri" w:ascii="Calibri" w:hAnsi="Calibri"/>
          <w:b/>
          <w:sz w:val="24"/>
          <w:szCs w:val="24"/>
        </w:rPr>
      </w:r>
    </w:p>
    <w:p>
      <w:pPr>
        <w:pStyle w:val="Normal"/>
        <w:ind w:left="-180" w:hanging="0"/>
        <w:rPr>
          <w:rFonts w:ascii="Calibri" w:hAnsi="Calibri" w:cs="Calibri"/>
          <w:sz w:val="24"/>
          <w:szCs w:val="24"/>
        </w:rPr>
      </w:pPr>
      <w:r>
        <w:rPr>
          <w:rFonts w:cs="Calibri" w:ascii="Calibri" w:hAnsi="Calibri"/>
          <w:sz w:val="24"/>
          <w:szCs w:val="24"/>
        </w:rPr>
        <w:t>Pour la CFTC</w:t>
      </w:r>
    </w:p>
    <w:p>
      <w:pPr>
        <w:pStyle w:val="Normal"/>
        <w:ind w:left="-180" w:hanging="0"/>
        <w:rPr>
          <w:rFonts w:ascii="Calibri" w:hAnsi="Calibri" w:cs="Calibri"/>
          <w:b/>
          <w:b/>
          <w:sz w:val="24"/>
          <w:szCs w:val="24"/>
        </w:rPr>
      </w:pPr>
      <w:r>
        <w:rPr>
          <w:rFonts w:cs="Calibri" w:ascii="Calibri" w:hAnsi="Calibri"/>
          <w:b/>
          <w:sz w:val="24"/>
          <w:szCs w:val="24"/>
        </w:rPr>
      </w:r>
    </w:p>
    <w:p>
      <w:pPr>
        <w:pStyle w:val="Normal"/>
        <w:ind w:left="-180" w:hanging="0"/>
        <w:rPr>
          <w:rFonts w:ascii="Calibri" w:hAnsi="Calibri" w:cs="Calibri"/>
          <w:b/>
          <w:b/>
          <w:sz w:val="24"/>
          <w:szCs w:val="24"/>
        </w:rPr>
      </w:pPr>
      <w:r>
        <w:rPr>
          <w:rFonts w:cs="Calibri" w:ascii="Calibri" w:hAnsi="Calibri"/>
          <w:b/>
          <w:sz w:val="24"/>
          <w:szCs w:val="24"/>
        </w:rPr>
      </w:r>
    </w:p>
    <w:p>
      <w:pPr>
        <w:pStyle w:val="Normal"/>
        <w:ind w:left="-180" w:hanging="0"/>
        <w:rPr>
          <w:rFonts w:ascii="Calibri" w:hAnsi="Calibri" w:cs="Calibri"/>
          <w:sz w:val="24"/>
          <w:szCs w:val="24"/>
        </w:rPr>
      </w:pPr>
      <w:r>
        <w:rPr>
          <w:rFonts w:cs="Calibri" w:ascii="Calibri" w:hAnsi="Calibri"/>
          <w:sz w:val="24"/>
          <w:szCs w:val="24"/>
        </w:rPr>
        <w:t>Pour la CFE-CGC</w:t>
      </w:r>
    </w:p>
    <w:p>
      <w:pPr>
        <w:pStyle w:val="Normal"/>
        <w:ind w:left="-180" w:hanging="0"/>
        <w:rPr>
          <w:rFonts w:ascii="Calibri" w:hAnsi="Calibri" w:cs="Calibri"/>
          <w:sz w:val="24"/>
          <w:szCs w:val="24"/>
        </w:rPr>
      </w:pPr>
      <w:r>
        <w:rPr>
          <w:rFonts w:cs="Calibri" w:ascii="Calibri" w:hAnsi="Calibri"/>
          <w:sz w:val="24"/>
          <w:szCs w:val="24"/>
        </w:rPr>
      </w:r>
    </w:p>
    <w:p>
      <w:pPr>
        <w:pStyle w:val="Normal"/>
        <w:ind w:left="-180" w:hanging="0"/>
        <w:rPr>
          <w:rFonts w:ascii="Calibri" w:hAnsi="Calibri" w:cs="Calibri"/>
          <w:sz w:val="24"/>
          <w:szCs w:val="24"/>
        </w:rPr>
      </w:pPr>
      <w:r>
        <w:rPr>
          <w:rFonts w:cs="Calibri" w:ascii="Calibri" w:hAnsi="Calibri"/>
          <w:sz w:val="24"/>
          <w:szCs w:val="24"/>
        </w:rPr>
      </w:r>
    </w:p>
    <w:p>
      <w:pPr>
        <w:pStyle w:val="Normal"/>
        <w:ind w:left="-180" w:hanging="0"/>
        <w:rPr>
          <w:rFonts w:ascii="Calibri" w:hAnsi="Calibri" w:cs="Calibri"/>
          <w:sz w:val="24"/>
          <w:szCs w:val="24"/>
        </w:rPr>
      </w:pPr>
      <w:r>
        <w:rPr>
          <w:rFonts w:cs="Calibri" w:ascii="Calibri" w:hAnsi="Calibri"/>
          <w:sz w:val="24"/>
          <w:szCs w:val="24"/>
        </w:rPr>
        <w:t>Pour la CFTC</w:t>
      </w:r>
    </w:p>
    <w:p>
      <w:pPr>
        <w:pStyle w:val="Normal"/>
        <w:ind w:left="-180" w:hanging="0"/>
        <w:rPr>
          <w:rFonts w:ascii="Calibri" w:hAnsi="Calibri" w:cs="Calibri"/>
          <w:sz w:val="24"/>
          <w:szCs w:val="24"/>
        </w:rPr>
      </w:pPr>
      <w:r>
        <w:rPr>
          <w:rFonts w:cs="Calibri" w:ascii="Calibri" w:hAnsi="Calibri"/>
          <w:sz w:val="24"/>
          <w:szCs w:val="24"/>
        </w:rPr>
      </w:r>
    </w:p>
    <w:p>
      <w:pPr>
        <w:pStyle w:val="Normal"/>
        <w:ind w:left="-180" w:hanging="0"/>
        <w:rPr>
          <w:rFonts w:ascii="Calibri" w:hAnsi="Calibri" w:cs="Calibri"/>
          <w:sz w:val="24"/>
          <w:szCs w:val="24"/>
        </w:rPr>
      </w:pPr>
      <w:r>
        <w:rPr>
          <w:rFonts w:cs="Calibri" w:ascii="Calibri" w:hAnsi="Calibri"/>
          <w:sz w:val="24"/>
          <w:szCs w:val="24"/>
        </w:rPr>
      </w:r>
    </w:p>
    <w:p>
      <w:pPr>
        <w:pStyle w:val="Normal"/>
        <w:ind w:left="-180" w:hanging="0"/>
        <w:rPr>
          <w:rFonts w:ascii="Calibri" w:hAnsi="Calibri" w:cs="Calibri"/>
          <w:sz w:val="24"/>
          <w:szCs w:val="24"/>
        </w:rPr>
      </w:pPr>
      <w:r>
        <w:rPr>
          <w:rFonts w:cs="Calibri" w:ascii="Calibri" w:hAnsi="Calibri"/>
          <w:sz w:val="24"/>
          <w:szCs w:val="24"/>
        </w:rPr>
        <w:t xml:space="preserve">Pour la CGT </w:t>
      </w:r>
    </w:p>
    <w:p>
      <w:pPr>
        <w:pStyle w:val="Normal"/>
        <w:ind w:left="-180" w:hanging="0"/>
        <w:rPr>
          <w:rFonts w:ascii="Calibri" w:hAnsi="Calibri" w:cs="Calibri"/>
          <w:sz w:val="24"/>
          <w:szCs w:val="24"/>
        </w:rPr>
      </w:pPr>
      <w:r>
        <w:rPr>
          <w:rFonts w:cs="Calibri" w:ascii="Calibri" w:hAnsi="Calibri"/>
          <w:sz w:val="24"/>
          <w:szCs w:val="24"/>
        </w:rPr>
      </w:r>
    </w:p>
    <w:p>
      <w:pPr>
        <w:pStyle w:val="Normal"/>
        <w:ind w:left="-180" w:hanging="0"/>
        <w:rPr>
          <w:rFonts w:ascii="Calibri" w:hAnsi="Calibri" w:cs="Calibri"/>
          <w:sz w:val="24"/>
          <w:szCs w:val="24"/>
        </w:rPr>
      </w:pPr>
      <w:r>
        <w:rPr>
          <w:rFonts w:cs="Calibri" w:ascii="Calibri" w:hAnsi="Calibri"/>
          <w:sz w:val="24"/>
          <w:szCs w:val="24"/>
        </w:rPr>
      </w:r>
    </w:p>
    <w:p>
      <w:pPr>
        <w:pStyle w:val="Normal"/>
        <w:ind w:left="-180" w:hanging="0"/>
        <w:rPr>
          <w:rFonts w:ascii="Calibri" w:hAnsi="Calibri" w:cs="Calibri"/>
          <w:sz w:val="24"/>
          <w:szCs w:val="24"/>
        </w:rPr>
      </w:pPr>
      <w:r>
        <w:rPr>
          <w:rFonts w:cs="Calibri" w:ascii="Calibri" w:hAnsi="Calibri"/>
          <w:sz w:val="24"/>
          <w:szCs w:val="24"/>
        </w:rPr>
      </w:r>
    </w:p>
    <w:p>
      <w:pPr>
        <w:pStyle w:val="Normal"/>
        <w:ind w:left="-180" w:hanging="0"/>
        <w:rPr>
          <w:rFonts w:ascii="Calibri" w:hAnsi="Calibri" w:cs="Calibri"/>
          <w:sz w:val="24"/>
          <w:szCs w:val="24"/>
        </w:rPr>
      </w:pPr>
      <w:r>
        <w:rPr>
          <w:rFonts w:cs="Calibri" w:ascii="Calibri" w:hAnsi="Calibri"/>
          <w:sz w:val="24"/>
          <w:szCs w:val="24"/>
        </w:rPr>
        <w:t>Pour FO</w:t>
      </w:r>
    </w:p>
    <w:p>
      <w:pPr>
        <w:pStyle w:val="Normal"/>
        <w:ind w:left="-180" w:hanging="0"/>
        <w:rPr>
          <w:rFonts w:ascii="Calibri" w:hAnsi="Calibri" w:cs="Calibri"/>
          <w:sz w:val="24"/>
          <w:szCs w:val="24"/>
        </w:rPr>
      </w:pPr>
      <w:r>
        <w:rPr>
          <w:rFonts w:cs="Calibri" w:ascii="Calibri" w:hAnsi="Calibri"/>
          <w:sz w:val="24"/>
          <w:szCs w:val="24"/>
        </w:rPr>
      </w:r>
    </w:p>
    <w:p>
      <w:pPr>
        <w:pStyle w:val="Normal"/>
        <w:ind w:left="-180" w:hanging="0"/>
        <w:rPr>
          <w:rFonts w:ascii="Calibri" w:hAnsi="Calibri" w:cs="Calibri"/>
          <w:sz w:val="24"/>
          <w:szCs w:val="24"/>
        </w:rPr>
      </w:pPr>
      <w:r>
        <w:rPr>
          <w:rFonts w:cs="Calibri" w:ascii="Calibri" w:hAnsi="Calibri"/>
          <w:sz w:val="24"/>
          <w:szCs w:val="24"/>
        </w:rPr>
      </w:r>
    </w:p>
    <w:p>
      <w:pPr>
        <w:pStyle w:val="Normal"/>
        <w:ind w:left="-180" w:hanging="0"/>
        <w:rPr>
          <w:rFonts w:ascii="Calibri" w:hAnsi="Calibri" w:cs="Calibri"/>
          <w:sz w:val="24"/>
          <w:szCs w:val="24"/>
        </w:rPr>
      </w:pPr>
      <w:r>
        <w:rPr>
          <w:rFonts w:cs="Calibri" w:ascii="Calibri" w:hAnsi="Calibri"/>
          <w:sz w:val="24"/>
          <w:szCs w:val="24"/>
        </w:rPr>
      </w:r>
    </w:p>
    <w:p>
      <w:pPr>
        <w:pStyle w:val="Normal"/>
        <w:ind w:left="-180" w:hanging="0"/>
        <w:rPr>
          <w:rFonts w:ascii="Calibri" w:hAnsi="Calibri" w:cs="Calibri"/>
          <w:vanish/>
          <w:sz w:val="24"/>
        </w:rPr>
      </w:pPr>
      <w:bookmarkStart w:id="0" w:name="_PictureBullets"/>
      <w:bookmarkStart w:id="1" w:name="_PictureBullets"/>
      <w:bookmarkEnd w:id="1"/>
      <w:r>
        <w:rPr>
          <w:rFonts w:cs="Calibri" w:ascii="Calibri" w:hAnsi="Calibri"/>
          <w:vanish/>
          <w:sz w:val="24"/>
        </w:rPr>
      </w:r>
    </w:p>
    <w:sectPr>
      <w:headerReference w:type="default" r:id="rId2"/>
      <w:footerReference w:type="default" r:id="rId3"/>
      <w:type w:val="nextPage"/>
      <w:pgSz w:w="11906" w:h="16838"/>
      <w:pgMar w:left="1247" w:right="1247" w:header="720" w:top="1418" w:footer="851"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Arial Narrow">
    <w:charset w:val="00"/>
    <w:family w:val="swiss"/>
    <w:pitch w:val="variable"/>
  </w:font>
  <w:font w:name="Symbol">
    <w:charset w:val="01"/>
    <w:family w:val="roman"/>
    <w:pitch w:val="variable"/>
  </w:font>
  <w:font w:name="Courier New">
    <w:charset w:val="00"/>
    <w:family w:val="modern"/>
    <w:pitch w:val="default"/>
  </w:font>
  <w:font w:name="Wingdings">
    <w:charset w:val="02"/>
    <w:family w:val="auto"/>
    <w:pitch w:val="variable"/>
  </w:font>
  <w:font w:name="Tahoma">
    <w:charset w:val="00"/>
    <w:family w:val="swiss"/>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rFonts w:ascii="Calibri" w:hAnsi="Calibri" w:cs="Calibri"/>
        <w:sz w:val="16"/>
        <w:szCs w:val="16"/>
      </w:rPr>
    </w:pPr>
    <w:r>
      <w:rPr>
        <w:rFonts w:cs="Calibri" w:ascii="Calibri" w:hAnsi="Calibri"/>
        <w:sz w:val="16"/>
        <w:szCs w:val="16"/>
      </w:rPr>
      <w:fldChar w:fldCharType="begin"/>
    </w:r>
    <w:r>
      <w:instrText> PAGE </w:instrText>
    </w:r>
    <w:r>
      <w:fldChar w:fldCharType="separate"/>
    </w:r>
    <w:r>
      <w:t>3</w:t>
    </w:r>
    <w:r>
      <w:fldChar w:fldCharType="end"/>
    </w:r>
  </w:p>
  <w:p>
    <w:pPr>
      <w:pStyle w:val="Footer"/>
      <w:jc w:val="center"/>
      <w:rPr>
        <w:rFonts w:ascii="Arial" w:hAnsi="Arial" w:cs="Arial"/>
        <w:sz w:val="14"/>
        <w:szCs w:val="16"/>
      </w:rPr>
    </w:pPr>
    <w:r>
      <w:rPr>
        <w:rFonts w:cs="Arial" w:ascii="Arial" w:hAnsi="Arial"/>
        <w:sz w:val="14"/>
        <w:szCs w:val="16"/>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drawing>
        <wp:inline distT="0" distB="0" distL="0" distR="0">
          <wp:extent cx="3034030" cy="670560"/>
          <wp:effectExtent l="0" t="0" r="0" b="0"/>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1"/>
                  <a:stretch>
                    <a:fillRect/>
                  </a:stretch>
                </pic:blipFill>
                <pic:spPr bwMode="auto">
                  <a:xfrm>
                    <a:off x="0" y="0"/>
                    <a:ext cx="3034030" cy="67056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46.5pt;height:38.25pt" o:bullet="t">
        <v:imagedata r:id="rId1" o:title=""/>
      </v:shape>
    </w:pict>
  </w:numPicBullet>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48"/>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fr-FR" w:bidi="ar-SA" w:eastAsia="zh-CN"/>
    </w:rPr>
  </w:style>
  <w:style w:type="paragraph" w:styleId="Heading1">
    <w:name w:val="Heading 1"/>
    <w:basedOn w:val="Normal"/>
    <w:next w:val="Normal"/>
    <w:qFormat/>
    <w:pPr>
      <w:keepNext/>
      <w:numPr>
        <w:ilvl w:val="0"/>
        <w:numId w:val="1"/>
      </w:numPr>
      <w:ind w:left="-142" w:hanging="0"/>
      <w:jc w:val="center"/>
      <w:outlineLvl w:val="0"/>
      <w:outlineLvl w:val="0"/>
    </w:pPr>
    <w:rPr>
      <w:rFonts w:ascii="Calibri" w:hAnsi="Calibri" w:cs="Calibri"/>
      <w:b/>
      <w:bCs/>
      <w:sz w:val="24"/>
    </w:rPr>
  </w:style>
  <w:style w:type="paragraph" w:styleId="Heading2">
    <w:name w:val="Heading 2"/>
    <w:basedOn w:val="Normal"/>
    <w:next w:val="Normal"/>
    <w:qFormat/>
    <w:pPr>
      <w:keepNext/>
      <w:numPr>
        <w:ilvl w:val="1"/>
        <w:numId w:val="1"/>
      </w:numPr>
      <w:ind w:left="-142" w:hanging="0"/>
      <w:jc w:val="both"/>
      <w:outlineLvl w:val="1"/>
      <w:outlineLvl w:val="1"/>
    </w:pPr>
    <w:rPr>
      <w:rFonts w:ascii="Calibri" w:hAnsi="Calibri" w:cs="Calibri"/>
      <w:b/>
      <w:bCs/>
      <w:sz w:val="24"/>
    </w:rPr>
  </w:style>
  <w:style w:type="paragraph" w:styleId="Heading3">
    <w:name w:val="Heading 3"/>
    <w:basedOn w:val="Normal"/>
    <w:next w:val="Normal"/>
    <w:qFormat/>
    <w:pPr>
      <w:keepNext/>
      <w:numPr>
        <w:ilvl w:val="2"/>
        <w:numId w:val="1"/>
      </w:numPr>
      <w:tabs>
        <w:tab w:val="left" w:pos="284" w:leader="none"/>
        <w:tab w:val="left" w:pos="567" w:leader="none"/>
      </w:tabs>
      <w:jc w:val="both"/>
      <w:outlineLvl w:val="2"/>
      <w:outlineLvl w:val="2"/>
    </w:pPr>
    <w:rPr>
      <w:rFonts w:ascii="Calibri" w:hAnsi="Calibri" w:cs="Calibri"/>
      <w:b/>
      <w:sz w:val="24"/>
      <w:u w:val="single"/>
    </w:rPr>
  </w:style>
  <w:style w:type="paragraph" w:styleId="Heading4">
    <w:name w:val="Heading 4"/>
    <w:basedOn w:val="Normal"/>
    <w:next w:val="Normal"/>
    <w:qFormat/>
    <w:pPr>
      <w:keepNext/>
      <w:numPr>
        <w:ilvl w:val="3"/>
        <w:numId w:val="1"/>
      </w:numPr>
      <w:jc w:val="both"/>
      <w:outlineLvl w:val="3"/>
      <w:outlineLvl w:val="3"/>
    </w:pPr>
    <w:rPr>
      <w:rFonts w:ascii="Calibri" w:hAnsi="Calibri" w:cs="Calibri"/>
      <w:b/>
      <w:bCs/>
      <w:sz w:val="24"/>
    </w:rPr>
  </w:style>
  <w:style w:type="paragraph" w:styleId="Heading5">
    <w:name w:val="Heading 5"/>
    <w:basedOn w:val="Normal"/>
    <w:next w:val="Normal"/>
    <w:qFormat/>
    <w:pPr>
      <w:keepNext/>
      <w:numPr>
        <w:ilvl w:val="4"/>
        <w:numId w:val="1"/>
      </w:numPr>
      <w:tabs>
        <w:tab w:val="left" w:pos="1702" w:leader="none"/>
        <w:tab w:val="left" w:pos="1843" w:leader="none"/>
      </w:tabs>
      <w:ind w:left="1702" w:hanging="1702"/>
      <w:jc w:val="both"/>
      <w:outlineLvl w:val="4"/>
      <w:outlineLvl w:val="4"/>
    </w:pPr>
    <w:rPr>
      <w:rFonts w:ascii="Arial Narrow" w:hAnsi="Arial Narrow" w:cs="Arial Narrow"/>
      <w:b/>
      <w:bCs/>
      <w:sz w:val="24"/>
    </w:rPr>
  </w:style>
  <w:style w:type="paragraph" w:styleId="Heading6">
    <w:name w:val="Heading 6"/>
    <w:basedOn w:val="Normal"/>
    <w:next w:val="Normal"/>
    <w:qFormat/>
    <w:pPr>
      <w:keepNext/>
      <w:numPr>
        <w:ilvl w:val="5"/>
        <w:numId w:val="1"/>
      </w:numPr>
      <w:tabs>
        <w:tab w:val="left" w:pos="-142" w:leader="none"/>
        <w:tab w:val="left" w:pos="426" w:leader="none"/>
      </w:tabs>
      <w:ind w:left="-142" w:hanging="0"/>
      <w:jc w:val="both"/>
      <w:outlineLvl w:val="5"/>
      <w:outlineLvl w:val="5"/>
    </w:pPr>
    <w:rPr>
      <w:rFonts w:ascii="Calibri" w:hAnsi="Calibri" w:cs="Calibri"/>
      <w:sz w:val="24"/>
    </w:rPr>
  </w:style>
  <w:style w:type="character" w:styleId="WW8Num1z0">
    <w:name w:val="WW8Num1z0"/>
    <w:qFormat/>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rFonts w:ascii="Calibri" w:hAnsi="Calibri" w:eastAsia="Times New Roman" w:cs="Times New Roman"/>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rFonts w:ascii="Times New Roman" w:hAnsi="Times New Roman" w:eastAsia="Times New Roman" w:cs="Times New Roman"/>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rFonts w:ascii="Times New Roman" w:hAnsi="Times New Roman" w:eastAsia="Times New Roman" w:cs="Times New Roman"/>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rFonts w:ascii="Symbol" w:hAnsi="Symbol" w:cs="Symbo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9z0">
    <w:name w:val="WW8Num9z0"/>
    <w:qFormat/>
    <w:rPr>
      <w:rFonts w:ascii="Symbol" w:hAnsi="Symbol" w:cs="Symbol"/>
    </w:rPr>
  </w:style>
  <w:style w:type="character" w:styleId="WW8Num9z1">
    <w:name w:val="WW8Num9z1"/>
    <w:qFormat/>
    <w:rPr>
      <w:rFonts w:ascii="Times New Roman" w:hAnsi="Times New Roman" w:cs="Times New Roman"/>
    </w:rPr>
  </w:style>
  <w:style w:type="character" w:styleId="WW8Num10z0">
    <w:name w:val="WW8Num10z0"/>
    <w:qFormat/>
    <w:rPr>
      <w:rFonts w:ascii="Times New Roman" w:hAnsi="Times New Roman" w:eastAsia="Times New Roman" w:cs="Times New Roman"/>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11z0">
    <w:name w:val="WW8Num11z0"/>
    <w:qFormat/>
    <w:rPr>
      <w:rFonts w:ascii="Symbol" w:hAnsi="Symbol" w:cs="Symbo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2z0">
    <w:name w:val="WW8Num12z0"/>
    <w:qFormat/>
    <w:rPr>
      <w:rFonts w:ascii="Symbol" w:hAnsi="Symbol" w:cs="Symbol"/>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St5z0">
    <w:name w:val="WW8NumSt5z0"/>
    <w:qFormat/>
    <w:rPr>
      <w:rFonts w:ascii="Symbol" w:hAnsi="Symbol" w:cs="Symbol"/>
    </w:rPr>
  </w:style>
  <w:style w:type="character" w:styleId="WW8NumSt6z0">
    <w:name w:val="WW8NumSt6z0"/>
    <w:qFormat/>
    <w:rPr>
      <w:rFonts w:ascii="Symbol" w:hAnsi="Symbol" w:cs="Symbol"/>
    </w:rPr>
  </w:style>
  <w:style w:type="character" w:styleId="Policepardfaut">
    <w:name w:val="Police par défaut"/>
    <w:qFormat/>
    <w:rPr/>
  </w:style>
  <w:style w:type="character" w:styleId="Txt">
    <w:name w:val="txt"/>
    <w:basedOn w:val="Policepardfaut"/>
    <w:qFormat/>
    <w:rPr/>
  </w:style>
  <w:style w:type="character" w:styleId="Txtbold">
    <w:name w:val="txtbold"/>
    <w:basedOn w:val="Policepardfaut"/>
    <w:qFormat/>
    <w:rPr/>
  </w:style>
  <w:style w:type="character" w:styleId="Expos">
    <w:name w:val="expos"/>
    <w:basedOn w:val="Policepardfaut"/>
    <w:qFormat/>
    <w:rPr/>
  </w:style>
  <w:style w:type="character" w:styleId="Rtx">
    <w:name w:val="rtx"/>
    <w:basedOn w:val="Policepardfaut"/>
    <w:qFormat/>
    <w:rPr/>
  </w:style>
  <w:style w:type="character" w:styleId="InternetLink">
    <w:name w:val="Internet Link"/>
    <w:rPr>
      <w:color w:val="0000FF"/>
      <w:u w:val="single"/>
    </w:rPr>
  </w:style>
  <w:style w:type="character" w:styleId="TextedebullesCar">
    <w:name w:val="Texte de bulles Car"/>
    <w:qFormat/>
    <w:rPr>
      <w:rFonts w:ascii="Tahoma" w:hAnsi="Tahoma" w:cs="Tahoma"/>
      <w:sz w:val="16"/>
      <w:szCs w:val="16"/>
    </w:rPr>
  </w:style>
  <w:style w:type="character" w:styleId="PieddepageCar">
    <w:name w:val="Pied de page Car"/>
    <w:qFormat/>
    <w:rPr/>
  </w:style>
  <w:style w:type="character" w:styleId="EntteCar">
    <w:name w:val="En-tête Car"/>
    <w:qFormat/>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jc w:val="both"/>
    </w:pPr>
    <w:rPr>
      <w:rFonts w:ascii="Calibri" w:hAnsi="Calibri" w:cs="Calibri"/>
      <w:sz w:val="24"/>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TextBodyIndent">
    <w:name w:val="Text Body Indent"/>
    <w:basedOn w:val="Normal"/>
    <w:pPr>
      <w:ind w:left="-142" w:hanging="0"/>
      <w:jc w:val="both"/>
    </w:pPr>
    <w:rPr>
      <w:rFonts w:ascii="Calibri" w:hAnsi="Calibri" w:cs="Calibri"/>
      <w:sz w:val="24"/>
    </w:rPr>
  </w:style>
  <w:style w:type="paragraph" w:styleId="Textedebulles">
    <w:name w:val="Texte de bulles"/>
    <w:basedOn w:val="Normal"/>
    <w:qFormat/>
    <w:pPr/>
    <w:rPr>
      <w:rFonts w:ascii="Tahoma" w:hAnsi="Tahoma" w:cs="Tahoma"/>
      <w:sz w:val="16"/>
      <w:szCs w:val="16"/>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numbering.xml.rels><?xml version="1.0" encoding="UTF-8"?>
<Relationships xmlns="http://schemas.openxmlformats.org/package/2006/relationships"><Relationship Id="rId1"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2013-10-01T15:12:00Z</cp:lastPrinted>
  <dcterms:created xsi:type="dcterms:W3CDTF">2017-10-16T08:09:00Z</dcterms:created>
  <dcterms:modified xsi:type="dcterms:W3CDTF">2017-10-16T08:09:00Z</dcterms:modified>
</cp:coreProperties>
</file>