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80"/>
        <w:ind w:right="284" w:hanging="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4" w:hanging="0"/>
        <w:jc w:val="center"/>
        <w:rPr>
          <w:b/>
          <w:b/>
        </w:rPr>
      </w:pPr>
      <w:r>
        <w:rPr>
          <w:b/>
        </w:rPr>
        <w:t xml:space="preserve">ACCORD RELATIF A LA PROROGATION DES MANDATS DES REPRESENTANTS DU PERSONNEL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4" w:hanging="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ind w:left="-142" w:right="284" w:hanging="0"/>
        <w:jc w:val="both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ind w:left="-142" w:right="284" w:hanging="0"/>
        <w:jc w:val="both"/>
        <w:rPr>
          <w:b/>
          <w:b/>
          <w:u w:val="single"/>
        </w:rPr>
      </w:pPr>
      <w:r>
        <w:rPr>
          <w:b/>
          <w:u w:val="single"/>
        </w:rPr>
        <w:t>ENTRE</w:t>
      </w:r>
    </w:p>
    <w:p>
      <w:pPr>
        <w:pStyle w:val="Normal"/>
        <w:ind w:left="-142" w:right="284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autoSpaceDE w:val="false"/>
        <w:ind w:left="-142" w:right="284" w:hanging="0"/>
        <w:jc w:val="both"/>
        <w:rPr/>
      </w:pPr>
      <w:r>
        <w:rPr>
          <w:b/>
          <w:bCs/>
        </w:rPr>
        <w:t>La société POUJAUD SAS,</w:t>
      </w:r>
      <w:r>
        <w:rPr/>
        <w:t xml:space="preserve"> au capital de 4 100 000 € dont le siège social est à La Mède 13220, 30 avenue Mirabeau, immatriculée au registre du commerce et des sociétés d'Aix en Provence sous le numéro B 410 379 119, représentée aux présentes par                          en sa qualité de Directeur Général,</w:t>
      </w:r>
    </w:p>
    <w:p>
      <w:pPr>
        <w:pStyle w:val="Normal"/>
        <w:ind w:right="284" w:hanging="0"/>
        <w:jc w:val="both"/>
        <w:rPr/>
      </w:pPr>
      <w:r>
        <w:rPr/>
      </w:r>
    </w:p>
    <w:p>
      <w:pPr>
        <w:pStyle w:val="Normal"/>
        <w:ind w:right="284" w:hanging="0"/>
        <w:jc w:val="center"/>
        <w:rPr>
          <w:b/>
          <w:b/>
        </w:rPr>
      </w:pPr>
      <w:r>
        <w:rPr>
          <w:b/>
        </w:rPr>
        <w:t>D’UNE PART,</w:t>
      </w:r>
    </w:p>
    <w:p>
      <w:pPr>
        <w:pStyle w:val="Normal"/>
        <w:ind w:right="284" w:hanging="0"/>
        <w:jc w:val="both"/>
        <w:rPr>
          <w:b/>
          <w:b/>
          <w:u w:val="single"/>
        </w:rPr>
      </w:pPr>
      <w:r>
        <w:rPr>
          <w:b/>
          <w:u w:val="single"/>
        </w:rPr>
        <w:t>ET</w:t>
      </w:r>
    </w:p>
    <w:p>
      <w:pPr>
        <w:pStyle w:val="NormalWeb"/>
        <w:ind w:right="284" w:hanging="0"/>
        <w:rPr/>
      </w:pPr>
      <w:r>
        <w:rPr/>
        <w:t xml:space="preserve">L’organisation syndicale représentative au niveau de l’entreprise, soit la CGT, représentée par le délégué syndical,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D’AUTRE PART,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ind w:right="284" w:hanging="0"/>
        <w:rPr>
          <w:b/>
          <w:b/>
        </w:rPr>
      </w:pPr>
      <w:r>
        <w:rPr>
          <w:b/>
        </w:rPr>
        <w:t>PREAMBULE : Contexte</w:t>
      </w:r>
    </w:p>
    <w:p>
      <w:pPr>
        <w:pStyle w:val="Normal"/>
        <w:ind w:right="284" w:hanging="0"/>
        <w:jc w:val="both"/>
        <w:rPr/>
      </w:pPr>
      <w:r>
        <w:rPr/>
        <w:t>L’ordonnance 2017-1386 du 22 septembre 2017, art. 9-11, 3° relative à nouvelle organisation du dialogue social et économique dans l’entreprise prévoit que si le mandat des représentants du personnel de l’entreprise s’achève entre le 1</w:t>
      </w:r>
      <w:r>
        <w:rPr>
          <w:vertAlign w:val="superscript"/>
        </w:rPr>
        <w:t>er</w:t>
      </w:r>
      <w:r>
        <w:rPr/>
        <w:t xml:space="preserve"> janvier et le 31 décembre 2018, leur durée peut être prorogée d’un an maximum par accord collectif ou décision de l’employeur après consultation des élus.</w:t>
      </w:r>
    </w:p>
    <w:p>
      <w:pPr>
        <w:pStyle w:val="Normal"/>
        <w:ind w:right="284" w:hanging="0"/>
        <w:jc w:val="both"/>
        <w:rPr/>
      </w:pPr>
      <w:r>
        <w:rPr/>
      </w:r>
    </w:p>
    <w:p>
      <w:pPr>
        <w:pStyle w:val="Normal"/>
        <w:ind w:right="284" w:hanging="0"/>
        <w:jc w:val="both"/>
        <w:rPr/>
      </w:pPr>
      <w:r>
        <w:rPr/>
        <w:t>Les mandats des membres du Comité d’Entreprise, des Délégués du Personnel et des membres des deux CHSCT (régions Nord et Sud) arrivent à expiration, dans le cadre général de renouvellement des instances, au 13 mars 2018.</w:t>
      </w:r>
    </w:p>
    <w:p>
      <w:pPr>
        <w:pStyle w:val="Normal"/>
        <w:ind w:right="284" w:hanging="0"/>
        <w:jc w:val="both"/>
        <w:rPr/>
      </w:pPr>
      <w:r>
        <w:rPr/>
      </w:r>
    </w:p>
    <w:p>
      <w:pPr>
        <w:pStyle w:val="Normal"/>
        <w:ind w:right="284" w:hanging="0"/>
        <w:jc w:val="both"/>
        <w:rPr/>
      </w:pPr>
      <w:r>
        <w:rPr/>
        <w:t>Pour les motifs évoqués ci-dessus et dans l’intérêt commun des parties, les dispositions suivantes sont arrêtées :</w:t>
      </w:r>
    </w:p>
    <w:p>
      <w:pPr>
        <w:pStyle w:val="NormalWeb"/>
        <w:ind w:right="284" w:hanging="0"/>
        <w:jc w:val="both"/>
        <w:rPr>
          <w:b/>
          <w:b/>
        </w:rPr>
      </w:pPr>
      <w:r>
        <w:rPr>
          <w:b/>
        </w:rPr>
      </w:r>
    </w:p>
    <w:p>
      <w:pPr>
        <w:pStyle w:val="NormalWeb"/>
        <w:ind w:right="284" w:hanging="0"/>
        <w:jc w:val="both"/>
        <w:rPr>
          <w:b/>
          <w:b/>
        </w:rPr>
      </w:pPr>
      <w:r>
        <w:rPr>
          <w:b/>
        </w:rPr>
        <w:t xml:space="preserve">ARTICLE 1-Prorogation des mandats des membres du Comité d’Entreprise, des Délégués du Personnel et des membres des deux CHSCT </w:t>
      </w:r>
    </w:p>
    <w:p>
      <w:pPr>
        <w:pStyle w:val="NormalWeb"/>
        <w:ind w:right="284" w:hanging="0"/>
        <w:jc w:val="both"/>
        <w:rPr/>
      </w:pPr>
      <w:r>
        <w:rPr/>
        <w:t>Les parties signataires du présent accord décident à l'unanimité de proroger la durée des mandats en cours des membres du Comité d’Entreprise, des Délégués du Personnel et des membres des deux CHSCT (régions Nord et Sud) de l’entreprise.</w:t>
      </w:r>
    </w:p>
    <w:p>
      <w:pPr>
        <w:pStyle w:val="NormalWeb"/>
        <w:ind w:right="284" w:hanging="0"/>
        <w:jc w:val="both"/>
        <w:rPr/>
      </w:pPr>
      <w:r>
        <w:rPr/>
        <w:t>Les mandats sont ainsi prorogés d’un an, soit jusqu’au 13 mars 2019.</w:t>
      </w:r>
    </w:p>
    <w:p>
      <w:pPr>
        <w:pStyle w:val="NormalWeb"/>
        <w:ind w:right="284" w:hanging="0"/>
        <w:jc w:val="both"/>
        <w:rPr>
          <w:strike/>
          <w:color w:val="FF00FF"/>
        </w:rPr>
      </w:pPr>
      <w:r>
        <w:rPr>
          <w:strike/>
          <w:color w:val="FF00FF"/>
        </w:rPr>
      </w:r>
    </w:p>
    <w:p>
      <w:pPr>
        <w:pStyle w:val="NormalWeb"/>
        <w:ind w:right="284" w:hanging="0"/>
        <w:jc w:val="both"/>
        <w:rPr>
          <w:b/>
          <w:b/>
        </w:rPr>
      </w:pPr>
      <w:r>
        <w:rPr>
          <w:b/>
        </w:rPr>
        <w:t xml:space="preserve">ARTICLE 2 – Prorogation du mandat du délégué syndical et du représentant syndical au CE </w:t>
      </w:r>
    </w:p>
    <w:p>
      <w:pPr>
        <w:pStyle w:val="NormalWeb"/>
        <w:ind w:right="284" w:hanging="0"/>
        <w:jc w:val="both"/>
        <w:rPr>
          <w:b/>
          <w:b/>
        </w:rPr>
      </w:pPr>
      <w:r>
        <w:rPr/>
        <w:t>Les parties signataires du présent accord décident à l'unanimité de proroger la durée des mandats en cours du délégué syndical et du représentant syndical au CE</w:t>
      </w:r>
      <w:r>
        <w:rPr>
          <w:b/>
        </w:rPr>
        <w:t xml:space="preserve"> </w:t>
      </w:r>
    </w:p>
    <w:p>
      <w:pPr>
        <w:pStyle w:val="NormalWeb"/>
        <w:ind w:right="284" w:hanging="0"/>
        <w:jc w:val="both"/>
        <w:rPr/>
      </w:pPr>
      <w:r>
        <w:rPr/>
        <w:t>Les mandats sont ainsi prorogés d’un an, soit jusqu’au 13 mars 2019.</w:t>
      </w:r>
    </w:p>
    <w:p>
      <w:pPr>
        <w:pStyle w:val="NormalWeb"/>
        <w:ind w:right="284" w:hanging="0"/>
        <w:jc w:val="both"/>
        <w:rPr/>
      </w:pPr>
      <w:r>
        <w:rPr/>
      </w:r>
    </w:p>
    <w:p>
      <w:pPr>
        <w:pStyle w:val="NormalWeb"/>
        <w:ind w:right="284" w:hanging="0"/>
        <w:rPr>
          <w:b/>
          <w:b/>
        </w:rPr>
      </w:pPr>
      <w:r>
        <w:rPr>
          <w:b/>
        </w:rPr>
        <w:t>ARTICLE 3 - Conditions de validité de l'accord </w:t>
      </w:r>
    </w:p>
    <w:p>
      <w:pPr>
        <w:pStyle w:val="NormalWeb"/>
        <w:ind w:right="284" w:hanging="0"/>
        <w:jc w:val="both"/>
        <w:rPr/>
      </w:pPr>
      <w:r>
        <w:rPr/>
        <w:t>ll est rappelé que la validité de cet accord est subordonnée à la signature unanime et sans</w:t>
        <w:br/>
        <w:t>réserve de l'employeur et de l’organisation syndicale représentative au niveau de l’entreprise.</w:t>
      </w:r>
    </w:p>
    <w:p>
      <w:pPr>
        <w:pStyle w:val="NormalWeb"/>
        <w:ind w:right="284" w:hanging="0"/>
        <w:jc w:val="both"/>
        <w:rPr/>
      </w:pPr>
      <w:r>
        <w:rPr/>
      </w:r>
    </w:p>
    <w:p>
      <w:pPr>
        <w:pStyle w:val="NormalWeb"/>
        <w:ind w:right="284" w:hanging="0"/>
        <w:rPr/>
      </w:pPr>
      <w:r>
        <w:rPr>
          <w:b/>
        </w:rPr>
        <w:t>ARTICLE 4 - Durée et publicité</w:t>
      </w:r>
    </w:p>
    <w:p>
      <w:pPr>
        <w:pStyle w:val="NormalWeb"/>
        <w:ind w:right="284" w:hanging="0"/>
        <w:jc w:val="both"/>
        <w:rPr/>
      </w:pPr>
      <w:r>
        <w:rPr/>
        <w:t>Le présent accord est conclu pour une durée déterminée correspondant à son objet et cesse de plein droit de produire ses effets à la fin des dates de prorogation des mandats telles que définies par les articles 1</w:t>
      </w:r>
      <w:r>
        <w:rPr>
          <w:vertAlign w:val="superscript"/>
        </w:rPr>
        <w:t>er</w:t>
      </w:r>
      <w:r>
        <w:rPr/>
        <w:t xml:space="preserve"> et 2 du présent accord. </w:t>
      </w:r>
    </w:p>
    <w:p>
      <w:pPr>
        <w:pStyle w:val="NormalWeb"/>
        <w:ind w:right="284" w:hanging="0"/>
        <w:jc w:val="both"/>
        <w:rPr/>
      </w:pPr>
      <w:r>
        <w:rPr/>
        <w:t>A son terme, il ne produira pas les effets d’un accord à durée indéterminée.</w:t>
      </w:r>
    </w:p>
    <w:p>
      <w:pPr>
        <w:pStyle w:val="NormalWeb"/>
        <w:ind w:right="284" w:hanging="0"/>
        <w:jc w:val="both"/>
        <w:rPr/>
      </w:pPr>
      <w:r>
        <w:rPr/>
        <w:t xml:space="preserve">Conformément aux dispositions de l’article L 2261-1 du Code du travail, le présent accord prend effet au lendemain de sa date de dépôt. </w:t>
      </w:r>
    </w:p>
    <w:p>
      <w:pPr>
        <w:pStyle w:val="Normal"/>
        <w:jc w:val="both"/>
        <w:rPr/>
      </w:pPr>
      <w:r>
        <w:rPr/>
        <w:t xml:space="preserve">Un exemplaire du présent accord sera remis à chaque signataire.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Le texte fera l’objet d’un dépôt en deux exemplaires auprès de la DIRECCTE des Bouches du Rhône et en un exemplaire auprès du Greffe du Conseil des Prud’hommes de Martigues.</w:t>
      </w:r>
    </w:p>
    <w:p>
      <w:pPr>
        <w:pStyle w:val="Normal"/>
        <w:jc w:val="both"/>
        <w:rPr/>
      </w:pPr>
      <w:r>
        <w:rPr/>
        <w:t>Le présent accord est fait en nombre suffisant pour remise à chacune des parties.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Son existence figurera aux emplacements réservés à la communication avec le personnel.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Fait à Aix en Provence, le 27 octobre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En 4 exemplaires originaux,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Pour la société </w:t>
        <w:tab/>
        <w:tab/>
        <w:tab/>
        <w:tab/>
        <w:tab/>
        <w:tab/>
        <w:t>Pour le syndicat CGT</w:t>
      </w:r>
    </w:p>
    <w:p>
      <w:pPr>
        <w:pStyle w:val="Normal"/>
        <w:jc w:val="both"/>
        <w:rPr/>
      </w:pPr>
      <w:r>
        <w:rPr/>
        <w:tab/>
        <w:tab/>
        <w:tab/>
        <w:tab/>
        <w:tab/>
      </w:r>
      <w:r>
        <w:rPr>
          <w:color w:val="000000"/>
        </w:rPr>
        <w:t xml:space="preserve"> </w:t>
      </w:r>
    </w:p>
    <w:p>
      <w:pPr>
        <w:pStyle w:val="Normal"/>
        <w:autoSpaceDE w:val="false"/>
        <w:ind w:right="-142" w:hanging="0"/>
        <w:jc w:val="both"/>
        <w:rPr/>
      </w:pPr>
      <w:r>
        <w:rPr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</w:r>
    </w:p>
    <w:p>
      <w:pPr>
        <w:pStyle w:val="NormalWeb"/>
        <w:ind w:right="284" w:hanging="0"/>
        <w:jc w:val="both"/>
        <w:rPr/>
      </w:pPr>
      <w:r>
        <w:rPr/>
      </w:r>
    </w:p>
    <w:p>
      <w:pPr>
        <w:pStyle w:val="NormalWeb"/>
        <w:spacing w:before="280" w:after="280"/>
        <w:ind w:right="284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566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">
    <w:altName w:val="Book Antiqua"/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90.1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i/>
        <w:i/>
      </w:rPr>
    </w:pPr>
    <w:r>
      <w:rPr>
        <w:i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>
      <w:rFonts w:ascii="Calibri" w:hAnsi="Calibri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StrongEmphasis">
    <w:name w:val="Strong Emphasis"/>
    <w:rPr>
      <w:b/>
      <w:bCs/>
    </w:rPr>
  </w:style>
  <w:style w:type="character" w:styleId="PageNumber">
    <w:name w:val="Page Number"/>
    <w:basedOn w:val="Policepardfaut"/>
    <w:rPr/>
  </w:style>
  <w:style w:type="character" w:styleId="Txt1">
    <w:name w:val="txt1"/>
    <w:qFormat/>
    <w:rPr>
      <w:rFonts w:ascii="Arial" w:hAnsi="Arial" w:cs="Arial"/>
      <w:b w:val="false"/>
      <w:bCs w:val="false"/>
      <w:color w:val="000000"/>
      <w:spacing w:val="0"/>
      <w:sz w:val="18"/>
      <w:szCs w:val="18"/>
    </w:rPr>
  </w:style>
  <w:style w:type="character" w:styleId="Txt">
    <w:name w:val="txt"/>
    <w:basedOn w:val="Policepardfaut"/>
    <w:qFormat/>
    <w:rPr/>
  </w:style>
  <w:style w:type="character" w:styleId="Marquedecommentaire">
    <w:name w:val="Marque de commentaire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enumros5">
    <w:name w:val="Liste à numéros 5"/>
    <w:basedOn w:val="Normal"/>
    <w:qFormat/>
    <w:pPr>
      <w:jc w:val="both"/>
    </w:pPr>
    <w:rPr>
      <w:rFonts w:ascii="Calibri" w:hAnsi="Calibri" w:cs="Calibri"/>
      <w:sz w:val="22"/>
      <w:szCs w:val="22"/>
    </w:rPr>
  </w:style>
  <w:style w:type="paragraph" w:styleId="Normalcentr">
    <w:name w:val="Normal centré"/>
    <w:basedOn w:val="Normal"/>
    <w:qFormat/>
    <w:pPr>
      <w:ind w:left="426" w:right="6236" w:hanging="357"/>
    </w:pPr>
    <w:rPr>
      <w:rFonts w:ascii="Palatino;Book Antiqua" w:hAnsi="Palatino;Book Antiqua" w:cs="Palatino;Book Antiqua"/>
      <w:sz w:val="22"/>
      <w:szCs w:val="20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2015-03-31T10:42:00Z</cp:lastPrinted>
  <dcterms:created xsi:type="dcterms:W3CDTF">2017-11-07T15:31:00Z</dcterms:created>
  <dcterms:modified xsi:type="dcterms:W3CDTF">2017-11-07T15:32:00Z</dcterms:modified>
</cp:coreProperties>
</file>