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6F9" w:rsidRDefault="004276FD">
      <w:pPr>
        <w:framePr w:wrap="none" w:vAnchor="page" w:hAnchor="page" w:x="1077" w:y="1645"/>
        <w:rPr>
          <w:sz w:val="2"/>
          <w:szCs w:val="2"/>
        </w:rPr>
      </w:pPr>
      <w:r>
        <w:fldChar w:fldCharType="begin"/>
      </w:r>
      <w:r>
        <w:instrText xml:space="preserve"> INCLUDEPICTURE  "G:\\-SRCT\\RT2\\GTC\\MOA\\D@CCORD\\Téléprocédure envoi Dila\\Jeu Envoi Dila\\NEWDATA_ADGT_20171110-084139\\Envoi 15112017\\media\\image1.jpeg" \* MERGEFORMATINET </w:instrText>
      </w:r>
      <w:r>
        <w:fldChar w:fldCharType="separate"/>
      </w:r>
      <w:r w:rsidR="00896789">
        <w:fldChar w:fldCharType="begin"/>
      </w:r>
      <w:r w:rsidR="00896789">
        <w:instrText xml:space="preserve"> </w:instrText>
      </w:r>
      <w:r w:rsidR="00896789">
        <w:instrText>INCLUDEPICTURE  "G:\\-SRCT\\RT2\\GTC\\MOA\\D@CCORD\\Téléprocédure envoi Dila\\Jeu Envoi Dila\\NEWDATA_ADGT_20171110-084139\\Envoi 15112017\\media\\image1.jpeg" \* MERGEFORMATINET</w:instrText>
      </w:r>
      <w:r w:rsidR="00896789">
        <w:instrText xml:space="preserve"> </w:instrText>
      </w:r>
      <w:r w:rsidR="00896789">
        <w:fldChar w:fldCharType="separate"/>
      </w:r>
      <w:r w:rsidR="0089678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pt;height:48pt">
            <v:imagedata r:id="rId7" r:href="rId8"/>
          </v:shape>
        </w:pict>
      </w:r>
      <w:r w:rsidR="00896789">
        <w:fldChar w:fldCharType="end"/>
      </w:r>
      <w:r>
        <w:fldChar w:fldCharType="end"/>
      </w:r>
    </w:p>
    <w:p w:rsidR="00BB56F9" w:rsidRDefault="004276FD">
      <w:pPr>
        <w:pStyle w:val="Heading10"/>
        <w:framePr w:w="9634" w:h="2712" w:hRule="exact" w:wrap="none" w:vAnchor="page" w:hAnchor="page" w:x="1178" w:y="2939"/>
        <w:shd w:val="clear" w:color="auto" w:fill="auto"/>
        <w:spacing w:after="224"/>
      </w:pPr>
      <w:bookmarkStart w:id="0" w:name="bookmark0"/>
      <w:r>
        <w:rPr>
          <w:rStyle w:val="Heading11"/>
          <w:b/>
          <w:bCs/>
        </w:rPr>
        <w:t>NOUS SOUSSIGNES</w:t>
      </w:r>
      <w:r>
        <w:t>:</w:t>
      </w:r>
      <w:bookmarkEnd w:id="0"/>
    </w:p>
    <w:p w:rsidR="00BB56F9" w:rsidRDefault="004276FD">
      <w:pPr>
        <w:pStyle w:val="Heading10"/>
        <w:framePr w:w="9634" w:h="2712" w:hRule="exact" w:wrap="none" w:vAnchor="page" w:hAnchor="page" w:x="1178" w:y="2939"/>
        <w:shd w:val="clear" w:color="auto" w:fill="auto"/>
        <w:spacing w:after="0" w:line="245" w:lineRule="exact"/>
      </w:pPr>
      <w:bookmarkStart w:id="1" w:name="bookmark1"/>
      <w:r>
        <w:t>La société PESTA</w:t>
      </w:r>
      <w:bookmarkEnd w:id="1"/>
    </w:p>
    <w:p w:rsidR="00BB56F9" w:rsidRDefault="004276FD">
      <w:pPr>
        <w:pStyle w:val="Bodytext20"/>
        <w:framePr w:w="9634" w:h="2712" w:hRule="exact" w:wrap="none" w:vAnchor="page" w:hAnchor="page" w:x="1178" w:y="2939"/>
        <w:shd w:val="clear" w:color="auto" w:fill="auto"/>
        <w:spacing w:after="296"/>
        <w:ind w:right="1400"/>
      </w:pPr>
      <w:r>
        <w:t>Immatriculée au Registre du Commerce et des sociétés sous le numéro 385 850 300 Dont le siège social est sis situé 1 Rue des Fonges - 05500 SAINT BONNET EN CHAMPSAUR Représentée par Monsieur xxxx, Président de la société EMIEU INVESTISSEMENTS</w:t>
      </w:r>
    </w:p>
    <w:p w:rsidR="00BB56F9" w:rsidRDefault="004276FD">
      <w:pPr>
        <w:pStyle w:val="Bodytext20"/>
        <w:framePr w:w="9634" w:h="2712" w:hRule="exact" w:wrap="none" w:vAnchor="page" w:hAnchor="page" w:x="1178" w:y="2939"/>
        <w:shd w:val="clear" w:color="auto" w:fill="auto"/>
        <w:spacing w:after="230" w:line="200" w:lineRule="exact"/>
      </w:pPr>
      <w:r>
        <w:t xml:space="preserve">Ci-après dénommée « </w:t>
      </w:r>
      <w:r>
        <w:rPr>
          <w:rStyle w:val="Bodytext2Bold"/>
        </w:rPr>
        <w:t>l'Entreprise »</w:t>
      </w:r>
    </w:p>
    <w:p w:rsidR="00BB56F9" w:rsidRDefault="004276FD">
      <w:pPr>
        <w:pStyle w:val="Bodytext20"/>
        <w:framePr w:w="9634" w:h="2712" w:hRule="exact" w:wrap="none" w:vAnchor="page" w:hAnchor="page" w:x="1178" w:y="2939"/>
        <w:shd w:val="clear" w:color="auto" w:fill="auto"/>
        <w:spacing w:after="0" w:line="238" w:lineRule="exact"/>
        <w:jc w:val="both"/>
      </w:pPr>
      <w:r>
        <w:t xml:space="preserve">Établissons le présent avenant au plan d'épargne entreprise mis en place le 26/06/2017 (ci-après dénommé le </w:t>
      </w:r>
      <w:r>
        <w:rPr>
          <w:rStyle w:val="Bodytext2Bold"/>
        </w:rPr>
        <w:t>« Plan »).</w:t>
      </w:r>
    </w:p>
    <w:p w:rsidR="00BB56F9" w:rsidRDefault="004276FD">
      <w:pPr>
        <w:pStyle w:val="Bodytext20"/>
        <w:framePr w:w="9634" w:h="1987" w:hRule="exact" w:wrap="none" w:vAnchor="page" w:hAnchor="page" w:x="1178" w:y="6099"/>
        <w:shd w:val="clear" w:color="auto" w:fill="auto"/>
        <w:spacing w:after="290" w:line="238" w:lineRule="exact"/>
        <w:jc w:val="both"/>
      </w:pPr>
      <w:r>
        <w:t xml:space="preserve">Conformément à l'article L. 3332-5 du code du travail, le comité d'entreprise ou, à défaut, les délégués du personnel ont été consultés sur le projet de règlement du Plan au moins quinze jours avant son dépôt auprès de la Direction Régionale des Entreprises, de la Concurrence, de la Consommation, du Travail et de l'Emploi (ci-après dénommée « DIRECCTE »). </w:t>
      </w:r>
      <w:r>
        <w:rPr>
          <w:rStyle w:val="Bodytext2Italic"/>
        </w:rPr>
        <w:t xml:space="preserve">(Joindre le procès-verbal de consultation ou le procès-verbal de carence si l'entreprise remplit les </w:t>
      </w:r>
      <w:r>
        <w:rPr>
          <w:rStyle w:val="Bodytext2Italic0"/>
        </w:rPr>
        <w:t>conditions d'effectif pour être assujettie à l'obligation de constituer soit un comité d'entreprise, soit des délégués du personnel et qu'il n'y en a pas)</w:t>
      </w:r>
    </w:p>
    <w:p w:rsidR="00BB56F9" w:rsidRDefault="004276FD">
      <w:pPr>
        <w:pStyle w:val="Bodytext20"/>
        <w:framePr w:w="9634" w:h="1987" w:hRule="exact" w:wrap="none" w:vAnchor="page" w:hAnchor="page" w:x="1178" w:y="6099"/>
        <w:shd w:val="clear" w:color="auto" w:fill="auto"/>
        <w:spacing w:after="0" w:line="200" w:lineRule="exact"/>
      </w:pPr>
      <w:r>
        <w:t>Cet avenant a pour objet de modifier les règles d'abondement prévues au Plan.</w:t>
      </w:r>
    </w:p>
    <w:p w:rsidR="00BB56F9" w:rsidRDefault="004276FD">
      <w:pPr>
        <w:pStyle w:val="Bodytext20"/>
        <w:framePr w:w="9634" w:h="6379" w:hRule="exact" w:wrap="none" w:vAnchor="page" w:hAnchor="page" w:x="1178" w:y="8555"/>
        <w:shd w:val="clear" w:color="auto" w:fill="auto"/>
        <w:spacing w:after="230" w:line="200" w:lineRule="exact"/>
      </w:pPr>
      <w:r>
        <w:t>En conséquence :</w:t>
      </w:r>
    </w:p>
    <w:p w:rsidR="00BB56F9" w:rsidRDefault="004276FD">
      <w:pPr>
        <w:pStyle w:val="Heading10"/>
        <w:framePr w:w="9634" w:h="6379" w:hRule="exact" w:wrap="none" w:vAnchor="page" w:hAnchor="page" w:x="1178" w:y="8555"/>
        <w:shd w:val="clear" w:color="auto" w:fill="auto"/>
        <w:spacing w:line="238" w:lineRule="exact"/>
        <w:jc w:val="both"/>
      </w:pPr>
      <w:bookmarkStart w:id="2" w:name="bookmark2"/>
      <w:r>
        <w:t>I. Les dispositions de l'article 3 du Plan intitulé « Aide de l'entreprise et abondement » sont remplacées par les suivantes :</w:t>
      </w:r>
      <w:bookmarkEnd w:id="2"/>
    </w:p>
    <w:p w:rsidR="00BB56F9" w:rsidRDefault="004276FD">
      <w:pPr>
        <w:pStyle w:val="Bodytext20"/>
        <w:framePr w:w="9634" w:h="6379" w:hRule="exact" w:wrap="none" w:vAnchor="page" w:hAnchor="page" w:x="1178" w:y="8555"/>
        <w:shd w:val="clear" w:color="auto" w:fill="auto"/>
        <w:spacing w:after="290" w:line="238" w:lineRule="exact"/>
      </w:pPr>
      <w:r>
        <w:t>L'aide de l'Entreprise consiste en la prise en charge des frais de tenue de compte des Epargnants dans les conditions visées à l'article 6 du Plan, et des frais de tenue des conseils de surveillance des FCPE.</w:t>
      </w:r>
    </w:p>
    <w:p w:rsidR="00BB56F9" w:rsidRDefault="004276FD">
      <w:pPr>
        <w:pStyle w:val="Bodytext20"/>
        <w:framePr w:w="9634" w:h="6379" w:hRule="exact" w:wrap="none" w:vAnchor="page" w:hAnchor="page" w:x="1178" w:y="8555"/>
        <w:shd w:val="clear" w:color="auto" w:fill="auto"/>
        <w:spacing w:after="230" w:line="200" w:lineRule="exact"/>
      </w:pPr>
      <w:r>
        <w:t>Par ailleurs, l'Entreprise complétera les versements au Plan, par un abondement calculé comme suit :</w:t>
      </w:r>
    </w:p>
    <w:p w:rsidR="00BB56F9" w:rsidRDefault="004276FD">
      <w:pPr>
        <w:pStyle w:val="Heading10"/>
        <w:framePr w:w="9634" w:h="6379" w:hRule="exact" w:wrap="none" w:vAnchor="page" w:hAnchor="page" w:x="1178" w:y="8555"/>
        <w:shd w:val="clear" w:color="auto" w:fill="auto"/>
        <w:spacing w:line="238" w:lineRule="exact"/>
      </w:pPr>
      <w:bookmarkStart w:id="3" w:name="bookmark3"/>
      <w:r>
        <w:t>Chaque versement volontaire au Plan sera abondé à hauteur de 150 % dans la limite d'un plafond de 1200 € par an et par Epargnant.</w:t>
      </w:r>
      <w:bookmarkEnd w:id="3"/>
    </w:p>
    <w:p w:rsidR="00BB56F9" w:rsidRDefault="004276FD">
      <w:pPr>
        <w:pStyle w:val="Heading10"/>
        <w:framePr w:w="9634" w:h="6379" w:hRule="exact" w:wrap="none" w:vAnchor="page" w:hAnchor="page" w:x="1178" w:y="8555"/>
        <w:shd w:val="clear" w:color="auto" w:fill="auto"/>
        <w:spacing w:line="238" w:lineRule="exact"/>
      </w:pPr>
      <w:bookmarkStart w:id="4" w:name="bookmark4"/>
      <w:r>
        <w:t>Seuls les versements volontaires font l'objet d'un abondement. Les autres sources d'alimentation du Plan ne donnent pas lieu à abondement.</w:t>
      </w:r>
      <w:bookmarkEnd w:id="4"/>
    </w:p>
    <w:p w:rsidR="00BB56F9" w:rsidRDefault="004276FD">
      <w:pPr>
        <w:pStyle w:val="Bodytext20"/>
        <w:framePr w:w="9634" w:h="6379" w:hRule="exact" w:wrap="none" w:vAnchor="page" w:hAnchor="page" w:x="1178" w:y="8555"/>
        <w:shd w:val="clear" w:color="auto" w:fill="auto"/>
        <w:spacing w:line="238" w:lineRule="exact"/>
      </w:pPr>
      <w:r>
        <w:t>Conformément à l'article R. 3332-11 du code du travail, l'abondement sera versé en même temps que le versement de l'Epargnant ou au plus tard à la fin de chaque exercice.</w:t>
      </w:r>
    </w:p>
    <w:p w:rsidR="00BB56F9" w:rsidRDefault="004276FD">
      <w:pPr>
        <w:pStyle w:val="Bodytext20"/>
        <w:framePr w:w="9634" w:h="6379" w:hRule="exact" w:wrap="none" w:vAnchor="page" w:hAnchor="page" w:x="1178" w:y="8555"/>
        <w:shd w:val="clear" w:color="auto" w:fill="auto"/>
        <w:spacing w:after="0" w:line="238" w:lineRule="exact"/>
      </w:pPr>
      <w:r>
        <w:t>Par année civile et par Epargnant, le montant total des versements constituant l'abondement de l'Entreprise, ne pourra ni dépasser le triple de ses versements, ni excéder le plafond légal en vigueur</w:t>
      </w:r>
      <w:r>
        <w:rPr>
          <w:vertAlign w:val="superscript"/>
        </w:rPr>
        <w:t>1</w:t>
      </w:r>
      <w:r>
        <w:t>.</w:t>
      </w:r>
    </w:p>
    <w:p w:rsidR="00BB56F9" w:rsidRDefault="004276FD">
      <w:pPr>
        <w:pStyle w:val="Bodytext20"/>
        <w:framePr w:w="9634" w:h="6379" w:hRule="exact" w:wrap="none" w:vAnchor="page" w:hAnchor="page" w:x="1178" w:y="8555"/>
        <w:shd w:val="clear" w:color="auto" w:fill="auto"/>
        <w:spacing w:after="254" w:line="238" w:lineRule="exact"/>
      </w:pPr>
      <w:r>
        <w:t>Ce plafond tient compte, le cas échéant, de l'abondement versé par ailleurs audit Epargnant par l'Entreprise dans le cadre d'un plan d'épargne de groupe ou d'un plan d'épargne interentreprises.</w:t>
      </w:r>
    </w:p>
    <w:p w:rsidR="00BB56F9" w:rsidRDefault="004276FD">
      <w:pPr>
        <w:pStyle w:val="Bodytext20"/>
        <w:framePr w:w="9634" w:h="6379" w:hRule="exact" w:wrap="none" w:vAnchor="page" w:hAnchor="page" w:x="1178" w:y="8555"/>
        <w:shd w:val="clear" w:color="auto" w:fill="auto"/>
        <w:spacing w:after="0"/>
      </w:pPr>
      <w:r>
        <w:t>Les sommes versées au titre de l'abondement sont soumises à la CSG et à la CRDS au titre des revenus d'activité, conformément à la réglementation en vigueur.</w:t>
      </w:r>
    </w:p>
    <w:p w:rsidR="00BB56F9" w:rsidRDefault="004276FD">
      <w:pPr>
        <w:pStyle w:val="Bodytext30"/>
        <w:framePr w:w="9634" w:h="432" w:hRule="exact" w:wrap="none" w:vAnchor="page" w:hAnchor="page" w:x="1178" w:y="15333"/>
        <w:shd w:val="clear" w:color="auto" w:fill="auto"/>
        <w:spacing w:before="0" w:after="0"/>
      </w:pPr>
      <w:r>
        <w:rPr>
          <w:vertAlign w:val="superscript"/>
        </w:rPr>
        <w:t>1</w:t>
      </w:r>
      <w:r>
        <w:t xml:space="preserve"> Soit, à la date de signature de l'avenant, 8% du plafond annuel de la Sécurité Sociale ou plafond majoré conformément à l'article L. 3332-11</w:t>
      </w:r>
      <w:r>
        <w:br/>
        <w:t>du Code du travail.</w:t>
      </w:r>
    </w:p>
    <w:p w:rsidR="00BB56F9" w:rsidRDefault="004276FD">
      <w:pPr>
        <w:pStyle w:val="Bodytext20"/>
        <w:framePr w:wrap="none" w:vAnchor="page" w:hAnchor="page" w:x="1178" w:y="15899"/>
        <w:shd w:val="clear" w:color="auto" w:fill="auto"/>
        <w:spacing w:after="0" w:line="200" w:lineRule="exact"/>
        <w:ind w:left="8"/>
      </w:pPr>
      <w:r>
        <w:t>Paraphes :</w:t>
      </w:r>
    </w:p>
    <w:p w:rsidR="00BB56F9" w:rsidRDefault="00BB56F9">
      <w:pPr>
        <w:rPr>
          <w:sz w:val="2"/>
          <w:szCs w:val="2"/>
        </w:rPr>
        <w:sectPr w:rsidR="00BB56F9">
          <w:pgSz w:w="11900" w:h="16840"/>
          <w:pgMar w:top="360" w:right="360" w:bottom="360" w:left="360" w:header="0" w:footer="3" w:gutter="0"/>
          <w:cols w:space="720"/>
          <w:noEndnote/>
          <w:docGrid w:linePitch="360"/>
        </w:sectPr>
      </w:pPr>
    </w:p>
    <w:p w:rsidR="00BB56F9" w:rsidRDefault="004276FD">
      <w:pPr>
        <w:pStyle w:val="Headerorfooter0"/>
        <w:framePr w:wrap="none" w:vAnchor="page" w:hAnchor="page" w:x="1202" w:y="1603"/>
        <w:shd w:val="clear" w:color="auto" w:fill="auto"/>
      </w:pPr>
      <w:r>
        <w:lastRenderedPageBreak/>
        <w:t>II. Autres dispositions</w:t>
      </w:r>
    </w:p>
    <w:p w:rsidR="00BB56F9" w:rsidRDefault="004276FD">
      <w:pPr>
        <w:pStyle w:val="Bodytext20"/>
        <w:framePr w:w="9648" w:h="2585" w:hRule="exact" w:wrap="none" w:vAnchor="page" w:hAnchor="page" w:x="1166" w:y="2109"/>
        <w:shd w:val="clear" w:color="auto" w:fill="auto"/>
        <w:spacing w:after="280" w:line="200" w:lineRule="exact"/>
        <w:jc w:val="both"/>
      </w:pPr>
      <w:r>
        <w:t>Les autres dispositions du règlement du Plan demeurent inchangées.</w:t>
      </w:r>
    </w:p>
    <w:p w:rsidR="00BB56F9" w:rsidRDefault="004276FD">
      <w:pPr>
        <w:pStyle w:val="Heading10"/>
        <w:framePr w:w="9648" w:h="2585" w:hRule="exact" w:wrap="none" w:vAnchor="page" w:hAnchor="page" w:x="1166" w:y="2109"/>
        <w:shd w:val="clear" w:color="auto" w:fill="auto"/>
        <w:spacing w:after="244"/>
        <w:jc w:val="both"/>
      </w:pPr>
      <w:bookmarkStart w:id="5" w:name="bookmark5"/>
      <w:r w:rsidRPr="004276FD">
        <w:rPr>
          <w:lang w:eastAsia="en-US" w:bidi="en-US"/>
        </w:rPr>
        <w:t xml:space="preserve">III. </w:t>
      </w:r>
      <w:r>
        <w:t>Effet et dépôt de l'avenant</w:t>
      </w:r>
      <w:bookmarkEnd w:id="5"/>
    </w:p>
    <w:p w:rsidR="00BB56F9" w:rsidRDefault="004276FD">
      <w:pPr>
        <w:pStyle w:val="Bodytext20"/>
        <w:framePr w:w="9648" w:h="2585" w:hRule="exact" w:wrap="none" w:vAnchor="page" w:hAnchor="page" w:x="1166" w:y="2109"/>
        <w:shd w:val="clear" w:color="auto" w:fill="auto"/>
        <w:spacing w:after="120"/>
        <w:jc w:val="both"/>
      </w:pPr>
      <w:r>
        <w:t>Le présent avenant prend effet à compter de son dépôt auprès de la Direction Régionale des Entreprises, de la Concurrence, de la Consommation, du Travail et de l'Emploi (DIRECCTE). Il sera communiqué à l'ensemble du personnel de l'Entreprise conformément aux dispositions prévues par le règlement du Plan.</w:t>
      </w:r>
    </w:p>
    <w:p w:rsidR="00BB56F9" w:rsidRDefault="004276FD">
      <w:pPr>
        <w:pStyle w:val="Bodytext20"/>
        <w:framePr w:w="9648" w:h="2585" w:hRule="exact" w:wrap="none" w:vAnchor="page" w:hAnchor="page" w:x="1166" w:y="2109"/>
        <w:shd w:val="clear" w:color="auto" w:fill="auto"/>
        <w:spacing w:after="0"/>
        <w:jc w:val="both"/>
      </w:pPr>
      <w:r>
        <w:t>Dès sa conclusion, ou après la fin du délai d'opposition, si un tel délai s'applique, l'avenant sera à la diligence de l'Entreprise, adressé en deux exemplaires à la DIRECCTE, dont une version sur support papier signé des parties par lettre recommandée avec demande d'avis de réception et une version sur support électronique.</w:t>
      </w:r>
    </w:p>
    <w:p w:rsidR="00BB56F9" w:rsidRDefault="004276FD">
      <w:pPr>
        <w:pStyle w:val="Bodytext20"/>
        <w:framePr w:wrap="none" w:vAnchor="page" w:hAnchor="page" w:x="1166" w:y="5393"/>
        <w:shd w:val="clear" w:color="auto" w:fill="auto"/>
        <w:spacing w:after="0" w:line="200" w:lineRule="exact"/>
        <w:ind w:left="8" w:right="9108"/>
        <w:jc w:val="both"/>
      </w:pPr>
      <w:r>
        <w:t>Fait à</w:t>
      </w:r>
    </w:p>
    <w:p w:rsidR="00BB56F9" w:rsidRDefault="004276FD">
      <w:pPr>
        <w:pStyle w:val="Bodytext20"/>
        <w:framePr w:wrap="none" w:vAnchor="page" w:hAnchor="page" w:x="2059" w:y="5407"/>
        <w:shd w:val="clear" w:color="auto" w:fill="auto"/>
        <w:spacing w:after="0" w:line="200" w:lineRule="exact"/>
      </w:pPr>
      <w:r>
        <w:t>le</w:t>
      </w:r>
    </w:p>
    <w:p w:rsidR="00BB56F9" w:rsidRDefault="004276FD">
      <w:pPr>
        <w:pStyle w:val="Other0"/>
        <w:framePr w:wrap="none" w:vAnchor="page" w:hAnchor="page" w:x="2858" w:y="5401"/>
        <w:shd w:val="clear" w:color="auto" w:fill="auto"/>
        <w:spacing w:line="220" w:lineRule="exact"/>
        <w:jc w:val="both"/>
      </w:pPr>
      <w:r>
        <w:rPr>
          <w:rStyle w:val="OtherArial11pt"/>
        </w:rPr>
        <w:t xml:space="preserve">“x&gt; </w:t>
      </w:r>
      <w:r>
        <w:rPr>
          <w:rStyle w:val="OtherArial8pt"/>
        </w:rPr>
        <w:t xml:space="preserve">ÇtoovaU </w:t>
      </w:r>
      <w:r>
        <w:rPr>
          <w:rStyle w:val="OtherArial11pt"/>
        </w:rPr>
        <w:t>L&amp;lotnaJlt</w:t>
      </w:r>
    </w:p>
    <w:p w:rsidR="00BB56F9" w:rsidRDefault="004276FD">
      <w:pPr>
        <w:pStyle w:val="Bodytext20"/>
        <w:framePr w:wrap="none" w:vAnchor="page" w:hAnchor="page" w:x="1166" w:y="6028"/>
        <w:shd w:val="clear" w:color="auto" w:fill="auto"/>
        <w:spacing w:after="0" w:line="200" w:lineRule="exact"/>
        <w:jc w:val="both"/>
      </w:pPr>
      <w:r>
        <w:t>En &amp; exemplaires</w:t>
      </w:r>
    </w:p>
    <w:p w:rsidR="00BB56F9" w:rsidRDefault="004276FD">
      <w:pPr>
        <w:pStyle w:val="Bodytext20"/>
        <w:framePr w:wrap="none" w:vAnchor="page" w:hAnchor="page" w:x="1166" w:y="6732"/>
        <w:shd w:val="clear" w:color="auto" w:fill="auto"/>
        <w:spacing w:after="0" w:line="200" w:lineRule="exact"/>
        <w:ind w:right="8697"/>
        <w:jc w:val="both"/>
      </w:pPr>
      <w:r>
        <w:t>Signatures</w:t>
      </w:r>
    </w:p>
    <w:p w:rsidR="00BB56F9" w:rsidRDefault="004276FD">
      <w:pPr>
        <w:pStyle w:val="Bodytext20"/>
        <w:framePr w:wrap="none" w:vAnchor="page" w:hAnchor="page" w:x="1166" w:y="15847"/>
        <w:shd w:val="clear" w:color="auto" w:fill="auto"/>
        <w:spacing w:after="0" w:line="200" w:lineRule="exact"/>
        <w:ind w:left="29" w:right="8740"/>
        <w:jc w:val="both"/>
      </w:pPr>
      <w:proofErr w:type="gramStart"/>
      <w:r>
        <w:t>Paraphes</w:t>
      </w:r>
      <w:proofErr w:type="gramEnd"/>
      <w:r>
        <w:t xml:space="preserve"> :</w:t>
      </w:r>
    </w:p>
    <w:p w:rsidR="00BB56F9" w:rsidRDefault="004276FD">
      <w:pPr>
        <w:pStyle w:val="Bodytext40"/>
        <w:framePr w:wrap="none" w:vAnchor="page" w:hAnchor="page" w:x="10497" w:y="15870"/>
        <w:shd w:val="clear" w:color="auto" w:fill="auto"/>
      </w:pPr>
      <w:r>
        <w:t>2</w:t>
      </w:r>
    </w:p>
    <w:p w:rsidR="00BB56F9" w:rsidRDefault="00BB56F9">
      <w:pPr>
        <w:rPr>
          <w:sz w:val="2"/>
          <w:szCs w:val="2"/>
        </w:rPr>
      </w:pPr>
      <w:bookmarkStart w:id="6" w:name="_GoBack"/>
      <w:bookmarkEnd w:id="6"/>
    </w:p>
    <w:sectPr w:rsidR="00BB56F9">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450" w:rsidRDefault="004276FD">
      <w:r>
        <w:separator/>
      </w:r>
    </w:p>
  </w:endnote>
  <w:endnote w:type="continuationSeparator" w:id="0">
    <w:p w:rsidR="00827450" w:rsidRDefault="0042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6F9" w:rsidRDefault="00BB56F9"/>
  </w:footnote>
  <w:footnote w:type="continuationSeparator" w:id="0">
    <w:p w:rsidR="00BB56F9" w:rsidRDefault="00BB56F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BB56F9"/>
    <w:rsid w:val="004276FD"/>
    <w:rsid w:val="00827450"/>
    <w:rsid w:val="00896789"/>
    <w:rsid w:val="00BB56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fr-F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
    <w:name w:val="Heading #1_"/>
    <w:basedOn w:val="Policepardfaut"/>
    <w:link w:val="Heading10"/>
    <w:rPr>
      <w:rFonts w:ascii="Arial" w:eastAsia="Arial" w:hAnsi="Arial" w:cs="Arial"/>
      <w:b/>
      <w:bCs/>
      <w:i w:val="0"/>
      <w:iCs w:val="0"/>
      <w:smallCaps w:val="0"/>
      <w:strike w:val="0"/>
      <w:sz w:val="18"/>
      <w:szCs w:val="18"/>
      <w:u w:val="none"/>
    </w:rPr>
  </w:style>
  <w:style w:type="character" w:customStyle="1" w:styleId="Heading11">
    <w:name w:val="Heading #1"/>
    <w:basedOn w:val="Heading1"/>
    <w:rPr>
      <w:rFonts w:ascii="Arial" w:eastAsia="Arial" w:hAnsi="Arial" w:cs="Arial"/>
      <w:b/>
      <w:bCs/>
      <w:i w:val="0"/>
      <w:iCs w:val="0"/>
      <w:smallCaps w:val="0"/>
      <w:strike w:val="0"/>
      <w:color w:val="000000"/>
      <w:spacing w:val="0"/>
      <w:w w:val="100"/>
      <w:position w:val="0"/>
      <w:sz w:val="18"/>
      <w:szCs w:val="18"/>
      <w:u w:val="single"/>
      <w:lang w:val="fr-FR" w:eastAsia="fr-FR" w:bidi="fr-FR"/>
    </w:rPr>
  </w:style>
  <w:style w:type="character" w:customStyle="1" w:styleId="Bodytext2">
    <w:name w:val="Body text (2)_"/>
    <w:basedOn w:val="Policepardfaut"/>
    <w:link w:val="Bodytext20"/>
    <w:rPr>
      <w:rFonts w:ascii="Arial" w:eastAsia="Arial" w:hAnsi="Arial" w:cs="Arial"/>
      <w:b w:val="0"/>
      <w:bCs w:val="0"/>
      <w:i w:val="0"/>
      <w:iCs w:val="0"/>
      <w:smallCaps w:val="0"/>
      <w:strike w:val="0"/>
      <w:sz w:val="18"/>
      <w:szCs w:val="18"/>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18"/>
      <w:szCs w:val="18"/>
      <w:u w:val="none"/>
      <w:lang w:val="fr-FR" w:eastAsia="fr-FR" w:bidi="fr-FR"/>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18"/>
      <w:szCs w:val="18"/>
      <w:u w:val="none"/>
      <w:lang w:val="fr-FR" w:eastAsia="fr-FR" w:bidi="fr-FR"/>
    </w:rPr>
  </w:style>
  <w:style w:type="character" w:customStyle="1" w:styleId="Bodytext2Italic0">
    <w:name w:val="Body text (2) + Italic"/>
    <w:basedOn w:val="Bodytext2"/>
    <w:rPr>
      <w:rFonts w:ascii="Arial" w:eastAsia="Arial" w:hAnsi="Arial" w:cs="Arial"/>
      <w:b w:val="0"/>
      <w:bCs w:val="0"/>
      <w:i/>
      <w:iCs/>
      <w:smallCaps w:val="0"/>
      <w:strike w:val="0"/>
      <w:color w:val="CD2E2F"/>
      <w:spacing w:val="0"/>
      <w:w w:val="100"/>
      <w:position w:val="0"/>
      <w:sz w:val="18"/>
      <w:szCs w:val="18"/>
      <w:u w:val="none"/>
      <w:lang w:val="fr-FR" w:eastAsia="fr-FR" w:bidi="fr-FR"/>
    </w:rPr>
  </w:style>
  <w:style w:type="character" w:customStyle="1" w:styleId="Bodytext3">
    <w:name w:val="Body text (3)_"/>
    <w:basedOn w:val="Policepardfaut"/>
    <w:link w:val="Bodytext30"/>
    <w:rPr>
      <w:rFonts w:ascii="Arial" w:eastAsia="Arial" w:hAnsi="Arial" w:cs="Arial"/>
      <w:b w:val="0"/>
      <w:bCs w:val="0"/>
      <w:i w:val="0"/>
      <w:iCs w:val="0"/>
      <w:smallCaps w:val="0"/>
      <w:strike w:val="0"/>
      <w:sz w:val="15"/>
      <w:szCs w:val="15"/>
      <w:u w:val="none"/>
    </w:rPr>
  </w:style>
  <w:style w:type="character" w:customStyle="1" w:styleId="Headerorfooter">
    <w:name w:val="Header or footer_"/>
    <w:basedOn w:val="Policepardfaut"/>
    <w:link w:val="Headerorfooter0"/>
    <w:rPr>
      <w:rFonts w:ascii="Arial" w:eastAsia="Arial" w:hAnsi="Arial" w:cs="Arial"/>
      <w:b w:val="0"/>
      <w:bCs w:val="0"/>
      <w:i w:val="0"/>
      <w:iCs w:val="0"/>
      <w:smallCaps w:val="0"/>
      <w:strike w:val="0"/>
      <w:sz w:val="19"/>
      <w:szCs w:val="19"/>
      <w:u w:val="none"/>
    </w:rPr>
  </w:style>
  <w:style w:type="character" w:customStyle="1" w:styleId="Other">
    <w:name w:val="Other_"/>
    <w:basedOn w:val="Policepardfaut"/>
    <w:link w:val="Other0"/>
    <w:rPr>
      <w:b w:val="0"/>
      <w:bCs w:val="0"/>
      <w:i w:val="0"/>
      <w:iCs w:val="0"/>
      <w:smallCaps w:val="0"/>
      <w:strike w:val="0"/>
      <w:sz w:val="20"/>
      <w:szCs w:val="20"/>
      <w:u w:val="none"/>
    </w:rPr>
  </w:style>
  <w:style w:type="character" w:customStyle="1" w:styleId="OtherArial11pt">
    <w:name w:val="Other + Arial;11 pt"/>
    <w:basedOn w:val="Other"/>
    <w:rPr>
      <w:rFonts w:ascii="Arial" w:eastAsia="Arial" w:hAnsi="Arial" w:cs="Arial"/>
      <w:b w:val="0"/>
      <w:bCs w:val="0"/>
      <w:i w:val="0"/>
      <w:iCs w:val="0"/>
      <w:smallCaps w:val="0"/>
      <w:strike w:val="0"/>
      <w:color w:val="000000"/>
      <w:spacing w:val="0"/>
      <w:w w:val="100"/>
      <w:position w:val="0"/>
      <w:sz w:val="22"/>
      <w:szCs w:val="22"/>
      <w:u w:val="none"/>
      <w:lang w:val="fr-FR" w:eastAsia="fr-FR" w:bidi="fr-FR"/>
    </w:rPr>
  </w:style>
  <w:style w:type="character" w:customStyle="1" w:styleId="OtherArial8pt">
    <w:name w:val="Other + Arial;8 pt"/>
    <w:basedOn w:val="Other"/>
    <w:rPr>
      <w:rFonts w:ascii="Arial" w:eastAsia="Arial" w:hAnsi="Arial" w:cs="Arial"/>
      <w:b w:val="0"/>
      <w:bCs w:val="0"/>
      <w:i w:val="0"/>
      <w:iCs w:val="0"/>
      <w:smallCaps w:val="0"/>
      <w:strike w:val="0"/>
      <w:color w:val="000000"/>
      <w:spacing w:val="0"/>
      <w:w w:val="100"/>
      <w:position w:val="0"/>
      <w:sz w:val="16"/>
      <w:szCs w:val="16"/>
      <w:u w:val="none"/>
      <w:lang w:val="fr-FR" w:eastAsia="fr-FR" w:bidi="fr-FR"/>
    </w:rPr>
  </w:style>
  <w:style w:type="character" w:customStyle="1" w:styleId="Bodytext4">
    <w:name w:val="Body text (4)_"/>
    <w:basedOn w:val="Policepardfaut"/>
    <w:link w:val="Bodytext40"/>
    <w:rPr>
      <w:rFonts w:ascii="Arial" w:eastAsia="Arial" w:hAnsi="Arial" w:cs="Arial"/>
      <w:b w:val="0"/>
      <w:bCs w:val="0"/>
      <w:i w:val="0"/>
      <w:iCs w:val="0"/>
      <w:smallCaps w:val="0"/>
      <w:strike w:val="0"/>
      <w:sz w:val="17"/>
      <w:szCs w:val="17"/>
      <w:u w:val="none"/>
    </w:rPr>
  </w:style>
  <w:style w:type="paragraph" w:customStyle="1" w:styleId="Heading10">
    <w:name w:val="Heading #1"/>
    <w:basedOn w:val="Normal"/>
    <w:link w:val="Heading1"/>
    <w:pPr>
      <w:shd w:val="clear" w:color="auto" w:fill="FFFFFF"/>
      <w:spacing w:after="260" w:line="200" w:lineRule="exact"/>
      <w:outlineLvl w:val="0"/>
    </w:pPr>
    <w:rPr>
      <w:rFonts w:ascii="Arial" w:eastAsia="Arial" w:hAnsi="Arial" w:cs="Arial"/>
      <w:b/>
      <w:bCs/>
      <w:sz w:val="18"/>
      <w:szCs w:val="18"/>
    </w:rPr>
  </w:style>
  <w:style w:type="paragraph" w:customStyle="1" w:styleId="Bodytext20">
    <w:name w:val="Body text (2)"/>
    <w:basedOn w:val="Normal"/>
    <w:link w:val="Bodytext2"/>
    <w:pPr>
      <w:shd w:val="clear" w:color="auto" w:fill="FFFFFF"/>
      <w:spacing w:after="260" w:line="245" w:lineRule="exact"/>
    </w:pPr>
    <w:rPr>
      <w:rFonts w:ascii="Arial" w:eastAsia="Arial" w:hAnsi="Arial" w:cs="Arial"/>
      <w:sz w:val="18"/>
      <w:szCs w:val="18"/>
    </w:rPr>
  </w:style>
  <w:style w:type="paragraph" w:customStyle="1" w:styleId="Bodytext30">
    <w:name w:val="Body text (3)"/>
    <w:basedOn w:val="Normal"/>
    <w:link w:val="Bodytext3"/>
    <w:pPr>
      <w:shd w:val="clear" w:color="auto" w:fill="FFFFFF"/>
      <w:spacing w:before="420" w:after="260" w:line="187" w:lineRule="exact"/>
    </w:pPr>
    <w:rPr>
      <w:rFonts w:ascii="Arial" w:eastAsia="Arial" w:hAnsi="Arial" w:cs="Arial"/>
      <w:sz w:val="15"/>
      <w:szCs w:val="15"/>
    </w:rPr>
  </w:style>
  <w:style w:type="paragraph" w:customStyle="1" w:styleId="Headerorfooter0">
    <w:name w:val="Header or footer"/>
    <w:basedOn w:val="Normal"/>
    <w:link w:val="Headerorfooter"/>
    <w:pPr>
      <w:shd w:val="clear" w:color="auto" w:fill="FFFFFF"/>
      <w:spacing w:line="212" w:lineRule="exact"/>
    </w:pPr>
    <w:rPr>
      <w:rFonts w:ascii="Arial" w:eastAsia="Arial" w:hAnsi="Arial" w:cs="Arial"/>
      <w:sz w:val="19"/>
      <w:szCs w:val="19"/>
    </w:rPr>
  </w:style>
  <w:style w:type="paragraph" w:customStyle="1" w:styleId="Other0">
    <w:name w:val="Other"/>
    <w:basedOn w:val="Normal"/>
    <w:link w:val="Other"/>
    <w:pPr>
      <w:shd w:val="clear" w:color="auto" w:fill="FFFFFF"/>
    </w:pPr>
    <w:rPr>
      <w:sz w:val="20"/>
      <w:szCs w:val="20"/>
    </w:rPr>
  </w:style>
  <w:style w:type="paragraph" w:customStyle="1" w:styleId="Bodytext40">
    <w:name w:val="Body text (4)"/>
    <w:basedOn w:val="Normal"/>
    <w:link w:val="Bodytext4"/>
    <w:pPr>
      <w:shd w:val="clear" w:color="auto" w:fill="FFFFFF"/>
      <w:spacing w:line="190" w:lineRule="exact"/>
    </w:pPr>
    <w:rPr>
      <w:rFonts w:ascii="Arial" w:eastAsia="Arial" w:hAnsi="Arial" w:cs="Arial"/>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3339</Characters>
  <Application>Microsoft Office Word</Application>
  <DocSecurity>0</DocSecurity>
  <Lines>27</Lines>
  <Paragraphs>7</Paragraphs>
  <ScaleCrop>false</ScaleCrop>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2017-11-15T16:49:00Z</dcterms:created>
  <dcterms:modified xsi:type="dcterms:W3CDTF">2017-11-15T16:57:00Z</dcterms:modified>
</cp:coreProperties>
</file>