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b/>
          <w:b/>
          <w:sz w:val="36"/>
        </w:rPr>
      </w:pPr>
      <w:r>
        <w:rPr>
          <w:b/>
          <w:sz w:val="36"/>
        </w:rPr>
        <w:t>NEGOCIATION PARITAIRE</w:t>
      </w:r>
    </w:p>
    <w:p>
      <w:pPr>
        <w:pStyle w:val="Normal"/>
        <w:pBdr>
          <w:top w:val="single" w:sz="4" w:space="1" w:color="000000"/>
          <w:left w:val="single" w:sz="4" w:space="4" w:color="000000"/>
          <w:bottom w:val="single" w:sz="4" w:space="1" w:color="000000"/>
          <w:right w:val="single" w:sz="4" w:space="4" w:color="000000"/>
        </w:pBdr>
        <w:jc w:val="center"/>
        <w:rPr>
          <w:b/>
          <w:b/>
          <w:sz w:val="36"/>
        </w:rPr>
      </w:pPr>
      <w:r>
        <w:rPr>
          <w:b/>
          <w:sz w:val="36"/>
        </w:rPr>
      </w:r>
    </w:p>
    <w:p>
      <w:pPr>
        <w:pStyle w:val="Normal"/>
        <w:pBdr>
          <w:top w:val="single" w:sz="4" w:space="1" w:color="000000"/>
          <w:left w:val="single" w:sz="4" w:space="4" w:color="000000"/>
          <w:bottom w:val="single" w:sz="4" w:space="1" w:color="000000"/>
          <w:right w:val="single" w:sz="4" w:space="4" w:color="000000"/>
        </w:pBdr>
        <w:jc w:val="center"/>
        <w:rPr/>
      </w:pPr>
      <w:r>
        <w:rPr>
          <w:b/>
          <w:sz w:val="36"/>
        </w:rPr>
        <w:t>PROCES-VERBAL D’ACCORD SUITE A LA</w:t>
      </w:r>
    </w:p>
    <w:p>
      <w:pPr>
        <w:pStyle w:val="Normal"/>
        <w:pBdr>
          <w:top w:val="single" w:sz="4" w:space="1" w:color="000000"/>
          <w:left w:val="single" w:sz="4" w:space="4" w:color="000000"/>
          <w:bottom w:val="single" w:sz="4" w:space="1" w:color="000000"/>
          <w:right w:val="single" w:sz="4" w:space="4" w:color="000000"/>
        </w:pBdr>
        <w:jc w:val="center"/>
        <w:rPr>
          <w:b/>
          <w:b/>
          <w:sz w:val="36"/>
        </w:rPr>
      </w:pPr>
      <w:r>
        <w:rPr>
          <w:b/>
          <w:sz w:val="36"/>
        </w:rPr>
        <w:t>REUNION DU 24 AVRIL 2018</w:t>
      </w:r>
    </w:p>
    <w:p>
      <w:pPr>
        <w:pStyle w:val="Normal"/>
        <w:pBdr>
          <w:top w:val="single" w:sz="4" w:space="1" w:color="000000"/>
          <w:left w:val="single" w:sz="4" w:space="4" w:color="000000"/>
          <w:bottom w:val="single" w:sz="4" w:space="1" w:color="000000"/>
          <w:right w:val="single" w:sz="4" w:space="4" w:color="000000"/>
        </w:pBdr>
        <w:jc w:val="center"/>
        <w:rPr>
          <w:b/>
          <w:b/>
          <w:sz w:val="36"/>
        </w:rPr>
      </w:pPr>
      <w:r>
        <w:rPr>
          <w:b/>
          <w:sz w:val="36"/>
        </w:rPr>
        <w:t>DE LA SOCIETE RICARD</w:t>
      </w:r>
    </w:p>
    <w:p>
      <w:pPr>
        <w:pStyle w:val="Normal"/>
        <w:rPr>
          <w:b/>
          <w:b/>
          <w:sz w:val="36"/>
        </w:rPr>
      </w:pPr>
      <w:r>
        <w:rPr>
          <w:b/>
          <w:sz w:val="36"/>
        </w:rPr>
      </w:r>
    </w:p>
    <w:p>
      <w:pPr>
        <w:pStyle w:val="Normal"/>
        <w:rPr/>
      </w:pPr>
      <w:r>
        <w:rPr/>
      </w:r>
    </w:p>
    <w:p>
      <w:pPr>
        <w:pStyle w:val="Normal"/>
        <w:rPr/>
      </w:pPr>
      <w:r>
        <w:rPr/>
      </w:r>
    </w:p>
    <w:p>
      <w:pPr>
        <w:pStyle w:val="Normal"/>
        <w:rPr/>
      </w:pPr>
      <w:r>
        <w:rPr/>
      </w:r>
    </w:p>
    <w:p>
      <w:pPr>
        <w:pStyle w:val="Header"/>
        <w:jc w:val="both"/>
        <w:rPr/>
      </w:pPr>
      <w:r>
        <w:rPr/>
      </w:r>
    </w:p>
    <w:p>
      <w:pPr>
        <w:pStyle w:val="Normal"/>
        <w:jc w:val="both"/>
        <w:rPr/>
      </w:pPr>
      <w:r>
        <w:rPr>
          <w:i/>
          <w:u w:val="single"/>
        </w:rPr>
        <w:t>Présents en Visio conférence</w:t>
      </w:r>
      <w:r>
        <w:rPr/>
        <w:t> :</w:t>
      </w:r>
    </w:p>
    <w:p>
      <w:pPr>
        <w:pStyle w:val="Header"/>
        <w:jc w:val="both"/>
        <w:rPr/>
      </w:pPr>
      <w:r>
        <w:rPr/>
      </w:r>
    </w:p>
    <w:p>
      <w:pPr>
        <w:pStyle w:val="Normal"/>
        <w:ind w:left="2124" w:firstLine="708"/>
        <w:jc w:val="both"/>
        <w:rPr/>
      </w:pPr>
      <w:r>
        <w:rPr/>
      </w:r>
    </w:p>
    <w:p>
      <w:pPr>
        <w:pStyle w:val="Normal"/>
        <w:jc w:val="both"/>
        <w:rPr/>
      </w:pPr>
      <w:r>
        <w:rPr/>
      </w:r>
    </w:p>
    <w:p>
      <w:pPr>
        <w:pStyle w:val="Normal"/>
        <w:ind w:left="708" w:firstLine="708"/>
        <w:jc w:val="both"/>
        <w:rPr/>
      </w:pPr>
      <w:r>
        <w:rPr/>
        <w:t xml:space="preserve">Pour la Direction : </w:t>
        <w:tab/>
      </w:r>
    </w:p>
    <w:p>
      <w:pPr>
        <w:pStyle w:val="Normal"/>
        <w:jc w:val="both"/>
        <w:rPr/>
      </w:pPr>
      <w:r>
        <w:rPr/>
      </w:r>
    </w:p>
    <w:p>
      <w:pPr>
        <w:pStyle w:val="Normal"/>
        <w:ind w:left="708" w:firstLine="708"/>
        <w:jc w:val="both"/>
        <w:rPr>
          <w:b/>
          <w:b/>
        </w:rPr>
      </w:pPr>
      <w:r>
        <w:rPr/>
        <w:t>Pour la C.G.T. :</w:t>
        <w:tab/>
      </w:r>
    </w:p>
    <w:p>
      <w:pPr>
        <w:pStyle w:val="Normal"/>
        <w:jc w:val="both"/>
        <w:rPr>
          <w:b/>
          <w:b/>
        </w:rPr>
      </w:pPr>
      <w:r>
        <w:rPr>
          <w:b/>
        </w:rPr>
      </w:r>
    </w:p>
    <w:p>
      <w:pPr>
        <w:pStyle w:val="Normal"/>
        <w:jc w:val="both"/>
        <w:rPr/>
      </w:pPr>
      <w:r>
        <w:rPr/>
      </w:r>
    </w:p>
    <w:p>
      <w:pPr>
        <w:pStyle w:val="Normal"/>
        <w:ind w:left="708" w:firstLine="708"/>
        <w:jc w:val="both"/>
        <w:rPr>
          <w:b/>
          <w:b/>
          <w:bCs/>
        </w:rPr>
      </w:pPr>
      <w:r>
        <w:rPr/>
        <w:t>Pour F.O. :</w:t>
        <w:tab/>
        <w:tab/>
      </w:r>
    </w:p>
    <w:p>
      <w:pPr>
        <w:pStyle w:val="Normal"/>
        <w:jc w:val="both"/>
        <w:rPr>
          <w:b/>
          <w:b/>
          <w:bCs/>
        </w:rPr>
      </w:pPr>
      <w:r>
        <w:rPr>
          <w:b/>
          <w:bCs/>
        </w:rPr>
        <w:tab/>
        <w:tab/>
        <w:tab/>
        <w:tab/>
        <w:tab/>
      </w:r>
    </w:p>
    <w:p>
      <w:pPr>
        <w:pStyle w:val="Normal"/>
        <w:ind w:firstLine="708"/>
        <w:jc w:val="both"/>
        <w:rPr/>
      </w:pPr>
      <w:r>
        <w:rPr/>
      </w:r>
    </w:p>
    <w:p>
      <w:pPr>
        <w:pStyle w:val="Normal"/>
        <w:ind w:left="708" w:firstLine="708"/>
        <w:jc w:val="both"/>
        <w:rPr>
          <w:b/>
          <w:b/>
        </w:rPr>
      </w:pPr>
      <w:r>
        <w:rPr/>
        <w:t>Pour le SIPGR :</w:t>
        <w:tab/>
      </w:r>
      <w:r>
        <w:rPr>
          <w:b/>
        </w:rPr>
        <w:tab/>
        <w:tab/>
        <w:tab/>
      </w:r>
    </w:p>
    <w:p>
      <w:pPr>
        <w:pStyle w:val="Normal"/>
        <w:ind w:left="708" w:firstLine="708"/>
        <w:jc w:val="both"/>
        <w:rPr>
          <w:b/>
          <w:b/>
        </w:rPr>
      </w:pPr>
      <w:r>
        <w:rPr>
          <w:b/>
        </w:rPr>
        <w:tab/>
        <w:tab/>
        <w:tab/>
      </w:r>
    </w:p>
    <w:p>
      <w:pPr>
        <w:pStyle w:val="Normal"/>
        <w:ind w:left="708" w:firstLine="708"/>
        <w:jc w:val="both"/>
        <w:rPr>
          <w:b/>
          <w:b/>
        </w:rPr>
      </w:pPr>
      <w:r>
        <w:rPr>
          <w:b/>
        </w:rPr>
      </w:r>
    </w:p>
    <w:p>
      <w:pPr>
        <w:pStyle w:val="Normal"/>
        <w:jc w:val="both"/>
        <w:rPr>
          <w:b/>
          <w:b/>
        </w:rPr>
      </w:pPr>
      <w:r>
        <w:rPr>
          <w:b/>
        </w:rPr>
      </w:r>
    </w:p>
    <w:p>
      <w:pPr>
        <w:pStyle w:val="Normal"/>
        <w:ind w:left="2124" w:firstLine="708"/>
        <w:jc w:val="both"/>
        <w:rPr>
          <w:b/>
          <w:b/>
        </w:rPr>
      </w:pPr>
      <w:r>
        <w:rPr>
          <w:b/>
        </w:rPr>
      </w:r>
    </w:p>
    <w:p>
      <w:pPr>
        <w:pStyle w:val="Normal"/>
        <w:jc w:val="both"/>
        <w:rPr/>
      </w:pPr>
      <w:r>
        <w:rPr/>
      </w:r>
    </w:p>
    <w:p>
      <w:pPr>
        <w:pStyle w:val="Normal"/>
        <w:rPr/>
      </w:pPr>
      <w:r>
        <w:rPr/>
        <w:t>Secrétaire de séance </w:t>
      </w:r>
    </w:p>
    <w:p>
      <w:pPr>
        <w:pStyle w:val="Normal"/>
        <w:jc w:val="both"/>
        <w:rPr/>
      </w:pPr>
      <w:r>
        <w:rPr/>
      </w:r>
    </w:p>
    <w:p>
      <w:pPr>
        <w:pStyle w:val="Normal"/>
        <w:jc w:val="both"/>
        <w:rPr/>
      </w:pPr>
      <w:r>
        <w:rPr/>
      </w:r>
    </w:p>
    <w:p>
      <w:pPr>
        <w:pStyle w:val="Normal"/>
        <w:jc w:val="both"/>
        <w:rPr/>
      </w:pPr>
      <w:r>
        <w:rPr/>
      </w:r>
    </w:p>
    <w:p>
      <w:pPr>
        <w:pStyle w:val="Normal"/>
        <w:jc w:val="center"/>
        <w:rPr>
          <w:sz w:val="32"/>
        </w:rPr>
      </w:pPr>
      <w:r>
        <w:rPr>
          <w:sz w:val="32"/>
        </w:rPr>
        <w:t>****</w:t>
      </w:r>
    </w:p>
    <w:p>
      <w:pPr>
        <w:pStyle w:val="Normal"/>
        <w:jc w:val="both"/>
        <w:rPr>
          <w:sz w:val="32"/>
        </w:rPr>
      </w:pPr>
      <w:r>
        <w:rPr>
          <w:sz w:val="32"/>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Dans le cadre de la Négociation Annuelle Obligatoire, les représentants des organisations syndicales et la direction de l’entreprise se sont rencontrés les 5, 20 et 24 Avril 2018.</w:t>
      </w:r>
    </w:p>
    <w:p>
      <w:pPr>
        <w:pStyle w:val="Normal"/>
        <w:jc w:val="both"/>
        <w:rPr/>
      </w:pPr>
      <w:r>
        <w:rPr/>
      </w:r>
    </w:p>
    <w:p>
      <w:pPr>
        <w:pStyle w:val="Normal"/>
        <w:jc w:val="both"/>
        <w:rPr/>
      </w:pPr>
      <w:r>
        <w:rPr/>
        <w:t>Les discussions ont abouti aux décisions suivantes :</w:t>
      </w:r>
    </w:p>
    <w:p>
      <w:pPr>
        <w:pStyle w:val="Normal"/>
        <w:jc w:val="both"/>
        <w:rPr/>
      </w:pPr>
      <w:r>
        <w:rPr/>
      </w:r>
    </w:p>
    <w:p>
      <w:pPr>
        <w:pStyle w:val="Normal"/>
        <w:jc w:val="both"/>
        <w:rPr/>
      </w:pPr>
      <w:r>
        <w:rPr/>
      </w:r>
    </w:p>
    <w:p>
      <w:pPr>
        <w:pStyle w:val="Normal"/>
        <w:jc w:val="both"/>
        <w:rPr/>
      </w:pPr>
      <w:r>
        <w:rPr/>
      </w:r>
    </w:p>
    <w:p>
      <w:pPr>
        <w:pStyle w:val="Heading2"/>
        <w:numPr>
          <w:ilvl w:val="1"/>
          <w:numId w:val="1"/>
        </w:numPr>
        <w:rPr>
          <w:sz w:val="32"/>
          <w:szCs w:val="32"/>
        </w:rPr>
      </w:pPr>
      <w:r>
        <w:rPr>
          <w:sz w:val="32"/>
          <w:szCs w:val="32"/>
        </w:rPr>
        <w:t>AUGMENTATIONS GENERALES 2018</w:t>
      </w:r>
    </w:p>
    <w:p>
      <w:pPr>
        <w:pStyle w:val="Normal"/>
        <w:jc w:val="both"/>
        <w:rPr>
          <w:sz w:val="32"/>
          <w:szCs w:val="32"/>
        </w:rPr>
      </w:pPr>
      <w:r>
        <w:rPr>
          <w:sz w:val="32"/>
          <w:szCs w:val="32"/>
        </w:rPr>
      </w:r>
    </w:p>
    <w:p>
      <w:pPr>
        <w:pStyle w:val="Normal"/>
        <w:jc w:val="both"/>
        <w:rPr/>
      </w:pPr>
      <w:r>
        <w:rPr>
          <w:sz w:val="28"/>
          <w:szCs w:val="28"/>
        </w:rPr>
        <w:t>Soucieuses de prendre en considération la conjoncture de reprise d’inflation constatée en France mais également conscientes de la conjoncture interne difficile pour nos produits sur le marché français, tant en volume qu’en valeur, les Organisation Syndicales de l’entreprise et la Direction se sont entendues pour appliquer, à compter du 1</w:t>
      </w:r>
      <w:r>
        <w:rPr>
          <w:sz w:val="28"/>
          <w:szCs w:val="28"/>
          <w:vertAlign w:val="superscript"/>
        </w:rPr>
        <w:t>er</w:t>
      </w:r>
      <w:r>
        <w:rPr>
          <w:sz w:val="28"/>
          <w:szCs w:val="28"/>
        </w:rPr>
        <w:t xml:space="preserve"> juillet 2018 :</w:t>
      </w:r>
    </w:p>
    <w:p>
      <w:pPr>
        <w:pStyle w:val="Normal"/>
        <w:jc w:val="both"/>
        <w:rPr>
          <w:sz w:val="28"/>
          <w:szCs w:val="28"/>
        </w:rPr>
      </w:pPr>
      <w:r>
        <w:rPr>
          <w:sz w:val="28"/>
          <w:szCs w:val="28"/>
        </w:rPr>
      </w:r>
    </w:p>
    <w:p>
      <w:pPr>
        <w:pStyle w:val="Normal"/>
        <w:jc w:val="both"/>
        <w:rPr/>
      </w:pPr>
      <w:r>
        <w:rPr>
          <w:sz w:val="28"/>
          <w:szCs w:val="28"/>
          <w:u w:val="single"/>
        </w:rPr>
        <w:t>Pour les non cadres</w:t>
      </w:r>
      <w:r>
        <w:rPr>
          <w:sz w:val="28"/>
          <w:szCs w:val="28"/>
        </w:rPr>
        <w:t> :</w:t>
      </w:r>
    </w:p>
    <w:p>
      <w:pPr>
        <w:pStyle w:val="Normal"/>
        <w:numPr>
          <w:ilvl w:val="0"/>
          <w:numId w:val="2"/>
        </w:numPr>
        <w:jc w:val="both"/>
        <w:rPr>
          <w:sz w:val="28"/>
          <w:szCs w:val="28"/>
        </w:rPr>
      </w:pPr>
      <w:r>
        <w:rPr>
          <w:sz w:val="28"/>
          <w:szCs w:val="28"/>
        </w:rPr>
        <w:t>Une augmentation générale des salaires de 1 %</w:t>
      </w:r>
      <w:r>
        <w:rPr>
          <w:b/>
          <w:sz w:val="28"/>
          <w:szCs w:val="28"/>
        </w:rPr>
        <w:t xml:space="preserve"> </w:t>
      </w:r>
      <w:r>
        <w:rPr>
          <w:sz w:val="28"/>
          <w:szCs w:val="28"/>
        </w:rPr>
        <w:t>avec une valeur plancher de 20 €, ainsi qu’une enveloppe d’augmentation individuelle de 0,6 %.</w:t>
      </w:r>
    </w:p>
    <w:p>
      <w:pPr>
        <w:pStyle w:val="Normal"/>
        <w:jc w:val="both"/>
        <w:rPr>
          <w:b/>
          <w:b/>
          <w:sz w:val="28"/>
          <w:szCs w:val="28"/>
        </w:rPr>
      </w:pPr>
      <w:r>
        <w:rPr>
          <w:b/>
          <w:sz w:val="28"/>
          <w:szCs w:val="28"/>
        </w:rPr>
      </w:r>
    </w:p>
    <w:p>
      <w:pPr>
        <w:pStyle w:val="Normal"/>
        <w:jc w:val="both"/>
        <w:rPr/>
      </w:pPr>
      <w:r>
        <w:rPr>
          <w:sz w:val="28"/>
          <w:szCs w:val="28"/>
          <w:u w:val="single"/>
        </w:rPr>
        <w:t>Pour les cadres </w:t>
      </w:r>
      <w:r>
        <w:rPr>
          <w:sz w:val="28"/>
          <w:szCs w:val="28"/>
        </w:rPr>
        <w:t>:</w:t>
      </w:r>
    </w:p>
    <w:p>
      <w:pPr>
        <w:pStyle w:val="Normal"/>
        <w:numPr>
          <w:ilvl w:val="0"/>
          <w:numId w:val="2"/>
        </w:numPr>
        <w:jc w:val="both"/>
        <w:rPr>
          <w:sz w:val="28"/>
          <w:szCs w:val="28"/>
        </w:rPr>
      </w:pPr>
      <w:r>
        <w:rPr>
          <w:sz w:val="28"/>
          <w:szCs w:val="28"/>
        </w:rPr>
        <w:t>Une enveloppe de 1,6 % d’augmentation individuelle</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Pour la DIRECTION</w:t>
        <w:tab/>
        <w:tab/>
        <w:t xml:space="preserve">   Pour la C.G.T.</w:t>
        <w:tab/>
        <w:t xml:space="preserve">        Pour F.O.</w:t>
        <w:tab/>
        <w:t xml:space="preserve">    Pour le S.I.P.G.R.</w:t>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p>
    <w:sectPr>
      <w:footerReference w:type="default" r:id="rId2"/>
      <w:type w:val="nextPage"/>
      <w:pgSz w:w="11906" w:h="16838"/>
      <w:pgMar w:left="1418" w:right="1418" w:header="0" w:top="1134" w:footer="72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Style w:val="PageNumber"/>
      </w:rPr>
    </w:pPr>
    <w:r>
      <w:rPr>
        <w:rStyle w:val="PageNumbe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Times New Roman" w:hAnsi="Times New Roman" w:cs="Times New Roman" w:hint="default"/>
        <w:sz w:val="28"/>
        <w:szCs w:val="28"/>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b/>
      <w:bCs/>
      <w:i/>
      <w:iCs/>
    </w:rPr>
  </w:style>
  <w:style w:type="paragraph" w:styleId="Heading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jc w:val="center"/>
      <w:outlineLvl w:val="1"/>
      <w:outlineLvl w:val="1"/>
    </w:pPr>
    <w:rPr>
      <w:b/>
      <w:bCs/>
      <w:sz w:val="28"/>
    </w:rPr>
  </w:style>
  <w:style w:type="paragraph" w:styleId="Heading3">
    <w:name w:val="Heading 3"/>
    <w:basedOn w:val="Normal"/>
    <w:next w:val="Normal"/>
    <w:qFormat/>
    <w:pPr>
      <w:keepNext/>
      <w:numPr>
        <w:ilvl w:val="2"/>
        <w:numId w:val="1"/>
      </w:numPr>
      <w:outlineLvl w:val="2"/>
      <w:outlineLvl w:val="2"/>
    </w:pPr>
    <w:rPr>
      <w:b/>
      <w:bCs/>
    </w:rPr>
  </w:style>
  <w:style w:type="paragraph" w:styleId="Heading4">
    <w:name w:val="Heading 4"/>
    <w:basedOn w:val="Normal"/>
    <w:next w:val="Normal"/>
    <w:qFormat/>
    <w:pPr>
      <w:keepNext/>
      <w:numPr>
        <w:ilvl w:val="3"/>
        <w:numId w:val="1"/>
      </w:numPr>
      <w:outlineLvl w:val="3"/>
      <w:outlineLvl w:val="3"/>
    </w:pPr>
    <w:rPr>
      <w:i/>
      <w:iCs/>
      <w:u w:val="single"/>
    </w:rPr>
  </w:style>
  <w:style w:type="paragraph" w:styleId="Heading5">
    <w:name w:val="Heading 5"/>
    <w:basedOn w:val="Normal"/>
    <w:next w:val="Normal"/>
    <w:qFormat/>
    <w:pPr>
      <w:keepNext/>
      <w:numPr>
        <w:ilvl w:val="4"/>
        <w:numId w:val="1"/>
      </w:numPr>
      <w:outlineLvl w:val="4"/>
      <w:outlineLvl w:val="4"/>
    </w:pPr>
    <w:rPr>
      <w:u w:val="single"/>
    </w:rPr>
  </w:style>
  <w:style w:type="paragraph" w:styleId="Heading6">
    <w:name w:val="Heading 6"/>
    <w:basedOn w:val="Normal"/>
    <w:next w:val="Normal"/>
    <w:qFormat/>
    <w:pPr>
      <w:keepNext/>
      <w:numPr>
        <w:ilvl w:val="5"/>
        <w:numId w:val="1"/>
      </w:numPr>
      <w:outlineLvl w:val="5"/>
      <w:outlineLvl w:val="5"/>
    </w:pPr>
    <w:rPr>
      <w:b/>
      <w:bCs/>
      <w:i/>
      <w:iCs/>
      <w:sz w:val="28"/>
      <w:u w:val="single"/>
    </w:rPr>
  </w:style>
  <w:style w:type="paragraph" w:styleId="Heading7">
    <w:name w:val="Heading 7"/>
    <w:basedOn w:val="Normal"/>
    <w:next w:val="Normal"/>
    <w:qFormat/>
    <w:pPr>
      <w:keepNext/>
      <w:numPr>
        <w:ilvl w:val="6"/>
        <w:numId w:val="1"/>
      </w:numPr>
      <w:outlineLvl w:val="6"/>
      <w:outlineLvl w:val="6"/>
    </w:pPr>
    <w:rPr>
      <w:i/>
      <w:iCs/>
    </w:rPr>
  </w:style>
  <w:style w:type="paragraph" w:styleId="Heading8">
    <w:name w:val="Heading 8"/>
    <w:basedOn w:val="Normal"/>
    <w:next w:val="Normal"/>
    <w:qFormat/>
    <w:pPr>
      <w:keepNext/>
      <w:numPr>
        <w:ilvl w:val="7"/>
        <w:numId w:val="1"/>
      </w:numPr>
      <w:outlineLvl w:val="7"/>
      <w:outlineLvl w:val="7"/>
    </w:pPr>
    <w:rPr>
      <w:b/>
      <w:bCs/>
      <w:u w:val="single"/>
    </w:rPr>
  </w:style>
  <w:style w:type="paragraph" w:styleId="Heading9">
    <w:name w:val="Heading 9"/>
    <w:basedOn w:val="Normal"/>
    <w:next w:val="Normal"/>
    <w:qFormat/>
    <w:pPr>
      <w:keepNext/>
      <w:numPr>
        <w:ilvl w:val="8"/>
        <w:numId w:val="1"/>
      </w:numPr>
      <w:jc w:val="both"/>
      <w:outlineLvl w:val="8"/>
      <w:outlineLvl w:val="8"/>
    </w:pPr>
    <w:rPr>
      <w:b/>
      <w:bCs/>
      <w:u w:val="single"/>
    </w:rPr>
  </w:style>
  <w:style w:type="character" w:styleId="WW8Num1z0">
    <w:name w:val="WW8Num1z0"/>
    <w:qFormat/>
    <w:rPr>
      <w:rFonts w:ascii="Times New Roman" w:hAnsi="Times New Roman" w:eastAsia="Times New Roman" w:cs="Times New Roman"/>
      <w:sz w:val="28"/>
      <w:szCs w:val="28"/>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itre2Car">
    <w:name w:val="Titre 2 Car"/>
    <w:qFormat/>
    <w:rPr>
      <w:b/>
      <w:bCs/>
      <w:sz w:val="28"/>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i/>
      <w:i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ind w:left="720" w:hanging="0"/>
    </w:pPr>
    <w:rPr/>
  </w:style>
  <w:style w:type="paragraph" w:styleId="Textedebulles">
    <w:name w:val="Texte de bulles"/>
    <w:basedOn w:val="Normal"/>
    <w:qFormat/>
    <w:pPr/>
    <w:rPr>
      <w:rFonts w:ascii="Tahoma" w:hAnsi="Tahoma" w:cs="Tahoma"/>
      <w:sz w:val="16"/>
      <w:szCs w:val="16"/>
    </w:rPr>
  </w:style>
  <w:style w:type="paragraph" w:styleId="Corpsdetexte2">
    <w:name w:val="Corps de texte 2"/>
    <w:basedOn w:val="Normal"/>
    <w:qFormat/>
    <w:pPr/>
    <w:rPr>
      <w:b/>
      <w:bCs/>
    </w:rPr>
  </w:style>
  <w:style w:type="paragraph" w:styleId="Corpsdetexte3">
    <w:name w:val="Corps de texte 3"/>
    <w:basedOn w:val="Normal"/>
    <w:qFormat/>
    <w:pPr>
      <w:jc w:val="both"/>
    </w:pPr>
    <w:rPr/>
  </w:style>
  <w:style w:type="paragraph" w:styleId="Retraitcorpsdetexte2">
    <w:name w:val="Retrait corps de texte 2"/>
    <w:basedOn w:val="Normal"/>
    <w:qFormat/>
    <w:pPr>
      <w:ind w:left="705" w:hanging="705"/>
      <w:jc w:val="both"/>
    </w:pPr>
    <w:rPr>
      <w:b/>
      <w:bCs/>
    </w:rPr>
  </w:style>
  <w:style w:type="paragraph" w:styleId="Retraitcorpsdetexte3">
    <w:name w:val="Retrait corps de texte 3"/>
    <w:basedOn w:val="Normal"/>
    <w:qFormat/>
    <w:pPr>
      <w:ind w:left="705" w:hanging="705"/>
      <w:jc w:val="both"/>
    </w:pPr>
    <w:rPr>
      <w:i/>
      <w:iCs/>
    </w:rPr>
  </w:style>
  <w:style w:type="paragraph" w:styleId="Paragraphedeliste">
    <w:name w:val="Paragraphe de liste"/>
    <w:basedOn w:val="Normal"/>
    <w:qFormat/>
    <w:pPr>
      <w:ind w:left="708" w:hanging="0"/>
    </w:pPr>
    <w:rPr/>
  </w:style>
  <w:style w:type="paragraph" w:styleId="NormalWeb">
    <w:name w:val="Normal (Web)"/>
    <w:basedOn w:val="Normal"/>
    <w:qFormat/>
    <w:pPr>
      <w:spacing w:before="100" w:after="100"/>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2018-08-03T13:32:00Z</dcterms:created>
  <dc:language>en-GB</dc:language>
  <cp:lastPrinted>2018-08-03T13:31:00Z</cp:lastPrinted>
  <dcterms:modified xsi:type="dcterms:W3CDTF">2018-08-03T13:32:00Z</dcterms:modified>
  <cp:revision>2</cp:revision>
  <dc:title>NEGOCIATION PARITAIRE</dc:title>
</cp:coreProperties>
</file>