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13" w:rsidRPr="00624D8A" w:rsidRDefault="000B1413" w:rsidP="000B1413">
      <w:pPr>
        <w:tabs>
          <w:tab w:val="center" w:pos="5040"/>
        </w:tabs>
        <w:jc w:val="both"/>
        <w:rPr>
          <w:rFonts w:ascii="Calibri" w:hAnsi="Calibri"/>
          <w:b/>
          <w:smallCaps/>
          <w:sz w:val="32"/>
          <w:szCs w:val="32"/>
        </w:rPr>
      </w:pPr>
      <w:r w:rsidRPr="00624D8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-238125</wp:posOffset>
            </wp:positionV>
            <wp:extent cx="26574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23" y="21150"/>
                <wp:lineTo x="21523" y="0"/>
                <wp:lineTo x="0" y="0"/>
              </wp:wrapPolygon>
            </wp:wrapTight>
            <wp:docPr id="9" name="Image 9" descr="RDC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DC_N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413" w:rsidRPr="00624D8A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mallCaps/>
          <w:sz w:val="32"/>
          <w:szCs w:val="32"/>
        </w:rPr>
        <w:t>AVENANT N°1 à l’</w:t>
      </w:r>
      <w:r w:rsidRPr="00624D8A">
        <w:rPr>
          <w:rFonts w:ascii="Calibri" w:hAnsi="Calibri"/>
          <w:b/>
          <w:smallCaps/>
          <w:sz w:val="32"/>
          <w:szCs w:val="32"/>
        </w:rPr>
        <w:t xml:space="preserve">Accord </w:t>
      </w:r>
      <w:r w:rsidRPr="00200DC5">
        <w:rPr>
          <w:rFonts w:ascii="Calibri" w:hAnsi="Calibri"/>
          <w:b/>
          <w:smallCaps/>
          <w:sz w:val="32"/>
          <w:szCs w:val="32"/>
        </w:rPr>
        <w:t>du 14/06/2017</w:t>
      </w:r>
      <w:r w:rsidRPr="00624D8A">
        <w:rPr>
          <w:rFonts w:ascii="Calibri" w:hAnsi="Calibri"/>
          <w:b/>
          <w:smallCaps/>
          <w:sz w:val="32"/>
          <w:szCs w:val="32"/>
        </w:rPr>
        <w:t xml:space="preserve"> relatif à l’organisation des instances représentatives du personnel</w:t>
      </w: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4A098B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  <w:bookmarkStart w:id="0" w:name="_GoBack"/>
    </w:p>
    <w:p w:rsidR="000B1413" w:rsidRPr="004A098B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4A098B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  <w:r w:rsidRPr="004A098B">
        <w:rPr>
          <w:rFonts w:ascii="Calibri" w:hAnsi="Calibri"/>
          <w:sz w:val="22"/>
          <w:szCs w:val="22"/>
        </w:rPr>
        <w:t xml:space="preserve">Entre la société </w:t>
      </w:r>
      <w:r w:rsidRPr="004A098B">
        <w:rPr>
          <w:rFonts w:ascii="Calibri" w:hAnsi="Calibri"/>
          <w:b/>
          <w:bCs/>
          <w:sz w:val="22"/>
          <w:szCs w:val="22"/>
        </w:rPr>
        <w:t>RABOT DUTILLEUL CONSTRUCTION (RDC)</w:t>
      </w:r>
      <w:r w:rsidRPr="004A098B">
        <w:rPr>
          <w:rFonts w:ascii="Calibri" w:hAnsi="Calibri"/>
          <w:sz w:val="22"/>
          <w:szCs w:val="22"/>
        </w:rPr>
        <w:t xml:space="preserve">, SAS au capital de 8.000.000 €, immatriculée au RC de Roubaix-Tourcoing sous le numéro </w:t>
      </w:r>
      <w:r w:rsidRPr="004A098B">
        <w:rPr>
          <w:rFonts w:ascii="Verdana" w:hAnsi="Verdana"/>
          <w:sz w:val="18"/>
          <w:szCs w:val="18"/>
        </w:rPr>
        <w:t xml:space="preserve">389 612 383, </w:t>
      </w:r>
      <w:r w:rsidRPr="004A098B">
        <w:rPr>
          <w:rFonts w:ascii="Calibri" w:hAnsi="Calibri"/>
          <w:sz w:val="22"/>
          <w:szCs w:val="22"/>
        </w:rPr>
        <w:t xml:space="preserve">dont le siège social est situé à WASQUEHAL – 10, Avenue de Flandre, représentée par </w:t>
      </w:r>
      <w:r w:rsidR="00263F19" w:rsidRPr="004A098B">
        <w:rPr>
          <w:rFonts w:ascii="Calibri" w:hAnsi="Calibri"/>
          <w:sz w:val="22"/>
          <w:szCs w:val="22"/>
          <w:highlight w:val="black"/>
        </w:rPr>
        <w:t>x</w:t>
      </w:r>
      <w:r w:rsidRPr="004A098B">
        <w:rPr>
          <w:rFonts w:ascii="Calibri" w:hAnsi="Calibri"/>
          <w:sz w:val="22"/>
          <w:szCs w:val="22"/>
          <w:highlight w:val="black"/>
        </w:rPr>
        <w:t>,</w:t>
      </w:r>
    </w:p>
    <w:p w:rsidR="000B1413" w:rsidRPr="004A098B" w:rsidRDefault="000B1413" w:rsidP="000B1413">
      <w:pPr>
        <w:tabs>
          <w:tab w:val="left" w:pos="8460"/>
        </w:tabs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4A098B" w:rsidRDefault="000B1413" w:rsidP="000B1413">
      <w:pPr>
        <w:tabs>
          <w:tab w:val="left" w:pos="8460"/>
        </w:tabs>
        <w:ind w:right="-82"/>
        <w:jc w:val="both"/>
        <w:rPr>
          <w:rFonts w:ascii="Calibri" w:hAnsi="Calibri"/>
          <w:sz w:val="22"/>
          <w:szCs w:val="22"/>
        </w:rPr>
      </w:pPr>
      <w:proofErr w:type="gramStart"/>
      <w:r w:rsidRPr="004A098B">
        <w:rPr>
          <w:rFonts w:ascii="Calibri" w:hAnsi="Calibri"/>
          <w:sz w:val="22"/>
          <w:szCs w:val="22"/>
        </w:rPr>
        <w:t>d’une</w:t>
      </w:r>
      <w:proofErr w:type="gramEnd"/>
      <w:r w:rsidRPr="004A098B">
        <w:rPr>
          <w:rFonts w:ascii="Calibri" w:hAnsi="Calibri"/>
          <w:sz w:val="22"/>
          <w:szCs w:val="22"/>
        </w:rPr>
        <w:t xml:space="preserve"> part,</w:t>
      </w:r>
    </w:p>
    <w:p w:rsidR="000B1413" w:rsidRPr="004A098B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4A098B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  <w:r w:rsidRPr="004A098B">
        <w:rPr>
          <w:rFonts w:ascii="Calibri" w:hAnsi="Calibri"/>
          <w:sz w:val="22"/>
          <w:szCs w:val="22"/>
        </w:rPr>
        <w:t xml:space="preserve">Et les </w:t>
      </w:r>
      <w:r w:rsidRPr="004A098B">
        <w:rPr>
          <w:rFonts w:ascii="Calibri" w:hAnsi="Calibri"/>
          <w:b/>
          <w:sz w:val="22"/>
          <w:szCs w:val="22"/>
        </w:rPr>
        <w:t>organisations syndicales représentatives dans l’Entreprise</w:t>
      </w:r>
      <w:r w:rsidRPr="004A098B">
        <w:rPr>
          <w:rFonts w:ascii="Calibri" w:hAnsi="Calibri"/>
          <w:sz w:val="22"/>
          <w:szCs w:val="22"/>
        </w:rPr>
        <w:t>,</w:t>
      </w:r>
    </w:p>
    <w:p w:rsidR="000B1413" w:rsidRPr="004A098B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4A098B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  <w:proofErr w:type="gramStart"/>
      <w:r w:rsidRPr="004A098B">
        <w:rPr>
          <w:rFonts w:ascii="Calibri" w:hAnsi="Calibri"/>
          <w:sz w:val="22"/>
          <w:szCs w:val="22"/>
        </w:rPr>
        <w:t>d’autre</w:t>
      </w:r>
      <w:proofErr w:type="gramEnd"/>
      <w:r w:rsidRPr="004A098B">
        <w:rPr>
          <w:rFonts w:ascii="Calibri" w:hAnsi="Calibri"/>
          <w:sz w:val="22"/>
          <w:szCs w:val="22"/>
        </w:rPr>
        <w:t xml:space="preserve"> part,</w:t>
      </w:r>
    </w:p>
    <w:p w:rsidR="000B1413" w:rsidRPr="004A098B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4A098B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  <w:proofErr w:type="gramStart"/>
      <w:r w:rsidRPr="004A098B">
        <w:rPr>
          <w:rFonts w:ascii="Calibri" w:hAnsi="Calibri"/>
          <w:b/>
          <w:sz w:val="22"/>
          <w:szCs w:val="22"/>
        </w:rPr>
        <w:t>il</w:t>
      </w:r>
      <w:proofErr w:type="gramEnd"/>
      <w:r w:rsidRPr="004A098B">
        <w:rPr>
          <w:rFonts w:ascii="Calibri" w:hAnsi="Calibri"/>
          <w:b/>
          <w:sz w:val="22"/>
          <w:szCs w:val="22"/>
        </w:rPr>
        <w:t xml:space="preserve"> a été convenu les dispositions exposées ci-après</w:t>
      </w:r>
      <w:r w:rsidRPr="004A098B">
        <w:rPr>
          <w:rFonts w:ascii="Calibri" w:hAnsi="Calibri"/>
          <w:sz w:val="22"/>
          <w:szCs w:val="22"/>
        </w:rPr>
        <w:t>.</w:t>
      </w:r>
    </w:p>
    <w:p w:rsidR="000B1413" w:rsidRPr="004A098B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4A098B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4A098B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4A098B" w:rsidRDefault="000B1413" w:rsidP="000B1413">
      <w:pPr>
        <w:ind w:right="-82"/>
        <w:jc w:val="both"/>
        <w:rPr>
          <w:rFonts w:ascii="Calibri" w:hAnsi="Calibri"/>
          <w:b/>
          <w:sz w:val="22"/>
          <w:szCs w:val="22"/>
        </w:rPr>
      </w:pPr>
      <w:r w:rsidRPr="004A098B">
        <w:rPr>
          <w:rFonts w:ascii="Calibri" w:hAnsi="Calibri"/>
          <w:b/>
          <w:sz w:val="22"/>
          <w:szCs w:val="22"/>
        </w:rPr>
        <w:t>********************</w:t>
      </w:r>
      <w:r w:rsidRPr="004A098B">
        <w:rPr>
          <w:rFonts w:ascii="Calibri" w:hAnsi="Calibri"/>
          <w:b/>
          <w:sz w:val="22"/>
          <w:szCs w:val="22"/>
        </w:rPr>
        <w:tab/>
      </w:r>
      <w:r w:rsidRPr="004A098B">
        <w:rPr>
          <w:rFonts w:ascii="Calibri" w:hAnsi="Calibri"/>
          <w:b/>
          <w:smallCaps/>
          <w:sz w:val="22"/>
          <w:szCs w:val="22"/>
        </w:rPr>
        <w:t>PREAMBULE</w:t>
      </w:r>
    </w:p>
    <w:p w:rsidR="000B1413" w:rsidRPr="004A098B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4A098B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  <w:r w:rsidRPr="004A098B">
        <w:rPr>
          <w:rFonts w:ascii="Calibri" w:hAnsi="Calibri"/>
          <w:sz w:val="22"/>
          <w:szCs w:val="22"/>
        </w:rPr>
        <w:t xml:space="preserve">L’accord du 14 juin 2017 relatif à l’organisation des instances représentatives du personnel au sein de la société Rabot </w:t>
      </w:r>
      <w:proofErr w:type="spellStart"/>
      <w:r w:rsidRPr="004A098B">
        <w:rPr>
          <w:rFonts w:ascii="Calibri" w:hAnsi="Calibri"/>
          <w:sz w:val="22"/>
          <w:szCs w:val="22"/>
        </w:rPr>
        <w:t>Dutilleul</w:t>
      </w:r>
      <w:proofErr w:type="spellEnd"/>
      <w:r w:rsidRPr="004A098B">
        <w:rPr>
          <w:rFonts w:ascii="Calibri" w:hAnsi="Calibri"/>
          <w:sz w:val="22"/>
          <w:szCs w:val="22"/>
        </w:rPr>
        <w:t xml:space="preserve"> Construction a été conclu afin : </w:t>
      </w:r>
    </w:p>
    <w:p w:rsidR="000B1413" w:rsidRPr="004A098B" w:rsidRDefault="000B1413" w:rsidP="000B1413">
      <w:pPr>
        <w:ind w:right="-82"/>
        <w:jc w:val="both"/>
        <w:rPr>
          <w:rFonts w:ascii="Calibri" w:hAnsi="Calibri"/>
          <w:strike/>
          <w:sz w:val="22"/>
          <w:szCs w:val="22"/>
        </w:rPr>
      </w:pPr>
      <w:r w:rsidRPr="004A098B">
        <w:rPr>
          <w:rFonts w:ascii="Calibri" w:hAnsi="Calibri"/>
          <w:sz w:val="22"/>
          <w:szCs w:val="22"/>
        </w:rPr>
        <w:t>- d’acter la fin des mandats des représentants du personnel en cours au 31 décembre 2017,</w:t>
      </w: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  <w:r w:rsidRPr="004A098B">
        <w:rPr>
          <w:rFonts w:ascii="Calibri" w:hAnsi="Calibri"/>
          <w:sz w:val="22"/>
          <w:szCs w:val="22"/>
        </w:rPr>
        <w:t xml:space="preserve">- et de définir l’organisation des instances représentatives du personnel au sein de l’entreprise et ses </w:t>
      </w:r>
      <w:bookmarkEnd w:id="0"/>
      <w:r>
        <w:rPr>
          <w:rFonts w:ascii="Calibri" w:hAnsi="Calibri"/>
          <w:sz w:val="22"/>
          <w:szCs w:val="22"/>
        </w:rPr>
        <w:t>établissements à compter du 1</w:t>
      </w:r>
      <w:r w:rsidRPr="006F245E">
        <w:rPr>
          <w:rFonts w:ascii="Calibri" w:hAnsi="Calibri"/>
          <w:sz w:val="22"/>
          <w:szCs w:val="22"/>
          <w:vertAlign w:val="superscript"/>
        </w:rPr>
        <w:t>er</w:t>
      </w:r>
      <w:r>
        <w:rPr>
          <w:rFonts w:ascii="Calibri" w:hAnsi="Calibri"/>
          <w:sz w:val="22"/>
          <w:szCs w:val="22"/>
        </w:rPr>
        <w:t xml:space="preserve"> janvier 2018.</w:t>
      </w: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Toutefois, l’ordonnance n°</w:t>
      </w:r>
      <w:r w:rsidRPr="00DA65FA">
        <w:rPr>
          <w:rFonts w:ascii="Calibri" w:hAnsi="Calibri"/>
          <w:sz w:val="22"/>
          <w:szCs w:val="22"/>
        </w:rPr>
        <w:t xml:space="preserve"> 2017-138</w:t>
      </w:r>
      <w:r>
        <w:rPr>
          <w:rFonts w:ascii="Calibri" w:hAnsi="Calibri"/>
          <w:sz w:val="22"/>
          <w:szCs w:val="22"/>
        </w:rPr>
        <w:t>6 en date du 22 septembre 2017, a rendu caduc les dispositions de l’accord du 14 juin 2017 relatives à l’organisation des instances représentatives du personnel au sein de l’entreprise. En effet, les nouvelles dispositions réglementaires imposent dorénavant la mise en place d’un Comité Social et Economique (CSE)</w:t>
      </w:r>
      <w:r w:rsidRPr="00DA65FA">
        <w:rPr>
          <w:rFonts w:ascii="Calibri" w:hAnsi="Calibri"/>
          <w:sz w:val="22"/>
          <w:szCs w:val="22"/>
        </w:rPr>
        <w:t xml:space="preserve"> et opère une ré</w:t>
      </w:r>
      <w:r>
        <w:rPr>
          <w:rFonts w:ascii="Calibri" w:hAnsi="Calibri"/>
          <w:sz w:val="22"/>
          <w:szCs w:val="22"/>
        </w:rPr>
        <w:t>elle fusion des trois institutions représentatives du personnel.</w:t>
      </w: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Les parties au présent accord ont considéré que l’organisation de nouvelles élections à la suite de la publication de l’ordonnance s’avérait complexe dans le contexte politique et social actuel incertain, notamment dans l’attente de la parution des décrets d’application de ladite ordonnance. </w:t>
      </w: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Partant de ce constat, les parties ont alors recherché, dans l’intérêt général, à assurer conventionnellement une continuité dans le fonctionnement des institutions représentatives du personnel avant la mise en place effective du CSE au sein de l’entreprise et ses établissements.</w:t>
      </w: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0 0 </w:t>
      </w: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Dans ce contexte, les parties signataires au présent accord ont convenu ce qui suit.</w:t>
      </w: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624D8A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624D8A" w:rsidRDefault="000B1413" w:rsidP="000B141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67"/>
        </w:tabs>
        <w:ind w:left="567" w:right="-82" w:hanging="540"/>
        <w:jc w:val="both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Article 1 : PROROGATION DES MANDATS EN COURS</w:t>
      </w:r>
    </w:p>
    <w:p w:rsidR="000B1413" w:rsidRPr="00624D8A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Les parties signataires du présent accord conviennent que les mandats des représentants du personnel (titulaires et suppléants) qui viennent normalement à échéance le 31 décembre 2017, sont prorogés jusqu’à </w:t>
      </w:r>
      <w:r w:rsidRPr="006741B3">
        <w:rPr>
          <w:rFonts w:ascii="Calibri" w:hAnsi="Calibri"/>
          <w:sz w:val="22"/>
          <w:szCs w:val="22"/>
        </w:rPr>
        <w:t xml:space="preserve">la date de proclamation des résultats définitifs des élections à intervenir, soit au plus tard </w:t>
      </w:r>
      <w:r>
        <w:rPr>
          <w:rFonts w:ascii="Calibri" w:hAnsi="Calibri"/>
          <w:sz w:val="22"/>
          <w:szCs w:val="22"/>
        </w:rPr>
        <w:t>le 31 d</w:t>
      </w:r>
      <w:r w:rsidRPr="006741B3">
        <w:rPr>
          <w:rFonts w:ascii="Calibri" w:hAnsi="Calibri"/>
          <w:sz w:val="22"/>
          <w:szCs w:val="22"/>
        </w:rPr>
        <w:t>écembre 2018.</w:t>
      </w: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dispositions de tous les établissements de l’entreprise restent inchangées durant cette période.</w:t>
      </w: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624D8A" w:rsidRDefault="000B1413" w:rsidP="000B141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67"/>
        </w:tabs>
        <w:ind w:left="567" w:right="-82" w:hanging="540"/>
        <w:jc w:val="both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Article 2 : SORT DES AUTRES DISPOSITIONS DE L’ACCORD DU 14 JUIN 2017</w:t>
      </w:r>
    </w:p>
    <w:p w:rsidR="000B1413" w:rsidRPr="00200DC5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Compte tenu de la publication</w:t>
      </w:r>
      <w:r w:rsidRPr="00200DC5">
        <w:rPr>
          <w:rFonts w:ascii="Calibri" w:hAnsi="Calibri"/>
          <w:sz w:val="22"/>
          <w:szCs w:val="22"/>
        </w:rPr>
        <w:t xml:space="preserve"> en date du 22 septembre 2017</w:t>
      </w:r>
      <w:r>
        <w:rPr>
          <w:rFonts w:ascii="Calibri" w:hAnsi="Calibri"/>
          <w:sz w:val="22"/>
          <w:szCs w:val="22"/>
        </w:rPr>
        <w:t xml:space="preserve"> de l’ordonnance n° 2017-1386 imposant la mise en place du Conseil Social et Economique, t</w:t>
      </w:r>
      <w:r w:rsidRPr="00200DC5">
        <w:rPr>
          <w:rFonts w:ascii="Calibri" w:hAnsi="Calibri"/>
          <w:sz w:val="22"/>
          <w:szCs w:val="22"/>
        </w:rPr>
        <w:t>outes les autres clauses de l’accord du</w:t>
      </w:r>
      <w:r>
        <w:rPr>
          <w:rFonts w:ascii="Calibri" w:hAnsi="Calibri"/>
          <w:sz w:val="22"/>
          <w:szCs w:val="22"/>
        </w:rPr>
        <w:t xml:space="preserve"> 14 juin 2017 relatif à l’organisation des instances représentatives du personnel deviennent caduques et ne peuvent en conséquence entrer en vigueur.</w:t>
      </w: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 nouvel accord d’organisation des instances représentatives du personnel au sein de l’entreprise sera négocié entre les parties avant le 31 décembre 2018.</w:t>
      </w:r>
    </w:p>
    <w:p w:rsidR="000B1413" w:rsidRDefault="000B1413" w:rsidP="000B1413">
      <w:pPr>
        <w:ind w:left="284" w:right="-82" w:hanging="284"/>
        <w:jc w:val="both"/>
        <w:rPr>
          <w:rFonts w:ascii="Calibri" w:hAnsi="Calibri"/>
          <w:sz w:val="22"/>
          <w:szCs w:val="22"/>
        </w:rPr>
      </w:pPr>
    </w:p>
    <w:p w:rsidR="000B1413" w:rsidRPr="00624D8A" w:rsidRDefault="000B1413" w:rsidP="000B1413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B1413" w:rsidRPr="00624D8A" w:rsidRDefault="000B1413" w:rsidP="000B141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0"/>
        </w:tabs>
        <w:ind w:left="567" w:right="-82" w:hanging="540"/>
        <w:jc w:val="both"/>
        <w:rPr>
          <w:rFonts w:ascii="Calibri" w:hAnsi="Calibri"/>
          <w:smallCaps/>
          <w:sz w:val="22"/>
          <w:szCs w:val="22"/>
        </w:rPr>
      </w:pPr>
      <w:r w:rsidRPr="00624D8A">
        <w:rPr>
          <w:rFonts w:ascii="Calibri" w:hAnsi="Calibri"/>
          <w:b/>
          <w:smallCaps/>
          <w:sz w:val="22"/>
          <w:szCs w:val="22"/>
        </w:rPr>
        <w:t xml:space="preserve">Article </w:t>
      </w:r>
      <w:r>
        <w:rPr>
          <w:rFonts w:ascii="Calibri" w:hAnsi="Calibri"/>
          <w:b/>
          <w:smallCaps/>
          <w:sz w:val="22"/>
          <w:szCs w:val="22"/>
        </w:rPr>
        <w:t>3</w:t>
      </w:r>
      <w:r w:rsidRPr="00624D8A">
        <w:rPr>
          <w:rFonts w:ascii="Calibri" w:hAnsi="Calibri"/>
          <w:b/>
          <w:smallCaps/>
          <w:sz w:val="22"/>
          <w:szCs w:val="22"/>
        </w:rPr>
        <w:t xml:space="preserve"> : PUBLICITE – DEPOT </w:t>
      </w:r>
    </w:p>
    <w:p w:rsidR="000B1413" w:rsidRPr="00624D8A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624D8A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  <w:r w:rsidRPr="00624D8A">
        <w:rPr>
          <w:rFonts w:ascii="Calibri" w:hAnsi="Calibri"/>
          <w:sz w:val="22"/>
          <w:szCs w:val="22"/>
        </w:rPr>
        <w:t>Le présent accord ainsi que ses avenants éventuels seront déposés à la DIRECCTE, à l'initiative de la Direction, en deux exemplaires, dont une version sur support papier signées des parties et une version sur support électronique, à la DIRECCTE, dans les 15 jours suivant sa signature.</w:t>
      </w: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624D8A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624D8A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  <w:r w:rsidRPr="00624D8A">
        <w:rPr>
          <w:rFonts w:ascii="Calibri" w:hAnsi="Calibri"/>
          <w:sz w:val="22"/>
          <w:szCs w:val="22"/>
        </w:rPr>
        <w:t xml:space="preserve">Fait à Wasquehal, </w:t>
      </w:r>
      <w:r w:rsidRPr="006741B3">
        <w:rPr>
          <w:rFonts w:ascii="Calibri" w:hAnsi="Calibri"/>
          <w:sz w:val="22"/>
          <w:szCs w:val="22"/>
        </w:rPr>
        <w:t>le 17 Novembre 2017</w:t>
      </w: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624D8A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624D8A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  <w:r w:rsidRPr="00624D8A">
        <w:rPr>
          <w:rFonts w:ascii="Calibri" w:hAnsi="Calibri"/>
          <w:sz w:val="22"/>
          <w:szCs w:val="22"/>
        </w:rPr>
        <w:t xml:space="preserve">Pour </w:t>
      </w:r>
      <w:r w:rsidRPr="00624D8A">
        <w:rPr>
          <w:rFonts w:ascii="Calibri" w:hAnsi="Calibri"/>
          <w:b/>
          <w:sz w:val="22"/>
          <w:szCs w:val="22"/>
        </w:rPr>
        <w:t>RABOT DUTILLEUL CONSTRUCTION</w:t>
      </w:r>
      <w:r w:rsidRPr="00624D8A">
        <w:rPr>
          <w:rFonts w:ascii="Calibri" w:hAnsi="Calibri"/>
          <w:sz w:val="22"/>
          <w:szCs w:val="22"/>
        </w:rPr>
        <w:t>,</w:t>
      </w: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624D8A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624D8A" w:rsidRDefault="000B1413" w:rsidP="000B1413">
      <w:pPr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624D8A" w:rsidRDefault="000B1413" w:rsidP="000B1413">
      <w:pPr>
        <w:tabs>
          <w:tab w:val="left" w:pos="4962"/>
        </w:tabs>
        <w:ind w:right="-82"/>
        <w:jc w:val="both"/>
        <w:rPr>
          <w:rFonts w:ascii="Calibri" w:hAnsi="Calibri"/>
          <w:b/>
          <w:sz w:val="22"/>
          <w:szCs w:val="22"/>
          <w:lang w:val="en-US"/>
        </w:rPr>
      </w:pPr>
      <w:r w:rsidRPr="00624D8A">
        <w:rPr>
          <w:rFonts w:ascii="Calibri" w:hAnsi="Calibri"/>
          <w:b/>
          <w:sz w:val="22"/>
          <w:szCs w:val="22"/>
          <w:lang w:val="en-US"/>
        </w:rPr>
        <w:t>CGT</w:t>
      </w:r>
      <w:r w:rsidRPr="00624D8A">
        <w:rPr>
          <w:rFonts w:ascii="Calibri" w:hAnsi="Calibri"/>
          <w:b/>
          <w:sz w:val="22"/>
          <w:szCs w:val="22"/>
          <w:lang w:val="en-US"/>
        </w:rPr>
        <w:tab/>
      </w:r>
      <w:r w:rsidRPr="00624D8A">
        <w:rPr>
          <w:rFonts w:ascii="Calibri" w:hAnsi="Calibri"/>
          <w:b/>
          <w:sz w:val="22"/>
          <w:szCs w:val="22"/>
          <w:lang w:val="en-US"/>
        </w:rPr>
        <w:tab/>
        <w:t>FO</w:t>
      </w:r>
    </w:p>
    <w:p w:rsidR="000B1413" w:rsidRDefault="000B1413" w:rsidP="000B1413">
      <w:pPr>
        <w:tabs>
          <w:tab w:val="left" w:pos="4820"/>
        </w:tabs>
        <w:ind w:right="-82"/>
        <w:jc w:val="both"/>
        <w:rPr>
          <w:rFonts w:ascii="Calibri" w:hAnsi="Calibri"/>
          <w:sz w:val="22"/>
          <w:szCs w:val="22"/>
        </w:rPr>
      </w:pPr>
    </w:p>
    <w:p w:rsidR="000B1413" w:rsidRDefault="000B1413" w:rsidP="000B1413">
      <w:pPr>
        <w:tabs>
          <w:tab w:val="left" w:pos="4820"/>
        </w:tabs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624D8A" w:rsidRDefault="000B1413" w:rsidP="000B1413">
      <w:pPr>
        <w:tabs>
          <w:tab w:val="left" w:pos="4820"/>
        </w:tabs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624D8A" w:rsidRDefault="000B1413" w:rsidP="000B1413">
      <w:pPr>
        <w:tabs>
          <w:tab w:val="left" w:pos="4820"/>
        </w:tabs>
        <w:ind w:right="-82"/>
        <w:jc w:val="both"/>
        <w:rPr>
          <w:rFonts w:ascii="Calibri" w:hAnsi="Calibri"/>
          <w:sz w:val="22"/>
          <w:szCs w:val="22"/>
        </w:rPr>
      </w:pPr>
    </w:p>
    <w:p w:rsidR="000B1413" w:rsidRPr="00B10D72" w:rsidRDefault="000B1413" w:rsidP="000B1413">
      <w:pPr>
        <w:tabs>
          <w:tab w:val="left" w:pos="4962"/>
        </w:tabs>
        <w:ind w:right="-82"/>
        <w:jc w:val="both"/>
        <w:rPr>
          <w:rFonts w:ascii="Calibri" w:hAnsi="Calibri"/>
          <w:sz w:val="22"/>
          <w:szCs w:val="22"/>
        </w:rPr>
      </w:pPr>
      <w:r w:rsidRPr="00B10D72">
        <w:rPr>
          <w:rFonts w:ascii="Calibri" w:hAnsi="Calibri"/>
          <w:b/>
          <w:sz w:val="22"/>
          <w:szCs w:val="22"/>
        </w:rPr>
        <w:t>CFDT</w:t>
      </w:r>
      <w:r w:rsidRPr="00B10D72">
        <w:rPr>
          <w:rFonts w:ascii="Calibri" w:hAnsi="Calibri"/>
          <w:b/>
          <w:sz w:val="22"/>
          <w:szCs w:val="22"/>
        </w:rPr>
        <w:tab/>
      </w:r>
      <w:r w:rsidRPr="00B10D72">
        <w:rPr>
          <w:rFonts w:ascii="Calibri" w:hAnsi="Calibri"/>
          <w:b/>
          <w:sz w:val="22"/>
          <w:szCs w:val="22"/>
        </w:rPr>
        <w:tab/>
        <w:t>CGC</w:t>
      </w:r>
    </w:p>
    <w:p w:rsidR="000B1413" w:rsidRPr="00624D8A" w:rsidRDefault="000B1413" w:rsidP="000B1413">
      <w:pPr>
        <w:ind w:right="-82"/>
        <w:jc w:val="both"/>
        <w:rPr>
          <w:rFonts w:ascii="Calibri" w:hAnsi="Calibri"/>
          <w:sz w:val="22"/>
          <w:szCs w:val="22"/>
          <w:u w:val="single"/>
        </w:rPr>
      </w:pPr>
    </w:p>
    <w:p w:rsidR="00F5342E" w:rsidRPr="000B1413" w:rsidRDefault="00F5342E" w:rsidP="000B1413"/>
    <w:sectPr w:rsidR="00F5342E" w:rsidRPr="000B1413" w:rsidSect="006412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FE" w:rsidRDefault="00263F19">
      <w:r>
        <w:separator/>
      </w:r>
    </w:p>
  </w:endnote>
  <w:endnote w:type="continuationSeparator" w:id="0">
    <w:p w:rsidR="00D20BFE" w:rsidRDefault="0026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E5" w:rsidRDefault="004A09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E5" w:rsidRPr="00A21BF0" w:rsidRDefault="000B1413" w:rsidP="00C360FE">
    <w:pPr>
      <w:tabs>
        <w:tab w:val="left" w:pos="8505"/>
      </w:tabs>
      <w:ind w:right="-143"/>
      <w:jc w:val="right"/>
      <w:rPr>
        <w:rFonts w:ascii="Calibri" w:hAnsi="Calibri"/>
        <w:sz w:val="18"/>
        <w:szCs w:val="18"/>
      </w:rPr>
    </w:pPr>
    <w:r w:rsidRPr="00203CE4">
      <w:rPr>
        <w:rFonts w:ascii="Calibri" w:hAnsi="Calibri"/>
        <w:sz w:val="18"/>
        <w:szCs w:val="18"/>
      </w:rPr>
      <w:tab/>
      <w:t xml:space="preserve">Page </w:t>
    </w:r>
    <w:r w:rsidRPr="00203CE4">
      <w:rPr>
        <w:rFonts w:ascii="Calibri" w:hAnsi="Calibri"/>
        <w:sz w:val="18"/>
        <w:szCs w:val="18"/>
      </w:rPr>
      <w:fldChar w:fldCharType="begin"/>
    </w:r>
    <w:r w:rsidRPr="00203CE4">
      <w:rPr>
        <w:rFonts w:ascii="Calibri" w:hAnsi="Calibri"/>
        <w:sz w:val="18"/>
        <w:szCs w:val="18"/>
      </w:rPr>
      <w:instrText xml:space="preserve"> PAGE </w:instrText>
    </w:r>
    <w:r w:rsidRPr="00203CE4">
      <w:rPr>
        <w:rFonts w:ascii="Calibri" w:hAnsi="Calibri"/>
        <w:sz w:val="18"/>
        <w:szCs w:val="18"/>
      </w:rPr>
      <w:fldChar w:fldCharType="separate"/>
    </w:r>
    <w:r w:rsidR="004A098B">
      <w:rPr>
        <w:rFonts w:ascii="Calibri" w:hAnsi="Calibri"/>
        <w:noProof/>
        <w:sz w:val="18"/>
        <w:szCs w:val="18"/>
      </w:rPr>
      <w:t>1</w:t>
    </w:r>
    <w:r w:rsidRPr="00203CE4">
      <w:rPr>
        <w:rFonts w:ascii="Calibri" w:hAnsi="Calibri"/>
        <w:sz w:val="18"/>
        <w:szCs w:val="18"/>
      </w:rPr>
      <w:fldChar w:fldCharType="end"/>
    </w:r>
    <w:r w:rsidRPr="00203CE4">
      <w:rPr>
        <w:rFonts w:ascii="Calibri" w:hAnsi="Calibri"/>
        <w:sz w:val="18"/>
        <w:szCs w:val="18"/>
      </w:rPr>
      <w:t xml:space="preserve"> sur </w:t>
    </w:r>
    <w:r w:rsidRPr="00203CE4">
      <w:rPr>
        <w:rFonts w:ascii="Calibri" w:hAnsi="Calibri"/>
        <w:sz w:val="18"/>
        <w:szCs w:val="18"/>
      </w:rPr>
      <w:fldChar w:fldCharType="begin"/>
    </w:r>
    <w:r w:rsidRPr="00203CE4">
      <w:rPr>
        <w:rFonts w:ascii="Calibri" w:hAnsi="Calibri"/>
        <w:sz w:val="18"/>
        <w:szCs w:val="18"/>
      </w:rPr>
      <w:instrText xml:space="preserve"> NUMPAGES  </w:instrText>
    </w:r>
    <w:r w:rsidRPr="00203CE4">
      <w:rPr>
        <w:rFonts w:ascii="Calibri" w:hAnsi="Calibri"/>
        <w:sz w:val="18"/>
        <w:szCs w:val="18"/>
      </w:rPr>
      <w:fldChar w:fldCharType="separate"/>
    </w:r>
    <w:r w:rsidR="004A098B">
      <w:rPr>
        <w:rFonts w:ascii="Calibri" w:hAnsi="Calibri"/>
        <w:noProof/>
        <w:sz w:val="18"/>
        <w:szCs w:val="18"/>
      </w:rPr>
      <w:t>2</w:t>
    </w:r>
    <w:r w:rsidRPr="00203CE4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E5" w:rsidRDefault="004A09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FE" w:rsidRDefault="00263F19">
      <w:r>
        <w:separator/>
      </w:r>
    </w:p>
  </w:footnote>
  <w:footnote w:type="continuationSeparator" w:id="0">
    <w:p w:rsidR="00D20BFE" w:rsidRDefault="00263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E5" w:rsidRDefault="004A09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E5" w:rsidRDefault="004A098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AE5" w:rsidRDefault="004A09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C37"/>
    <w:multiLevelType w:val="hybridMultilevel"/>
    <w:tmpl w:val="CBF297E8"/>
    <w:lvl w:ilvl="0" w:tplc="156069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97"/>
    <w:rsid w:val="000B1413"/>
    <w:rsid w:val="000F5097"/>
    <w:rsid w:val="00263F19"/>
    <w:rsid w:val="004A098B"/>
    <w:rsid w:val="00A732B1"/>
    <w:rsid w:val="00D20BFE"/>
    <w:rsid w:val="00F5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13"/>
    <w:pPr>
      <w:spacing w:after="0" w:line="240" w:lineRule="auto"/>
    </w:pPr>
    <w:rPr>
      <w:rFonts w:ascii="Tahoma" w:eastAsia="Times New Roman" w:hAnsi="Tahoma" w:cs="Tahoma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B14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B1413"/>
    <w:rPr>
      <w:rFonts w:ascii="Tahoma" w:eastAsia="Times New Roman" w:hAnsi="Tahoma" w:cs="Tahoma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0B14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B1413"/>
    <w:rPr>
      <w:rFonts w:ascii="Tahoma" w:eastAsia="Times New Roman" w:hAnsi="Tahoma" w:cs="Tahoma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13"/>
    <w:pPr>
      <w:spacing w:after="0" w:line="240" w:lineRule="auto"/>
    </w:pPr>
    <w:rPr>
      <w:rFonts w:ascii="Tahoma" w:eastAsia="Times New Roman" w:hAnsi="Tahoma" w:cs="Tahoma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B14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B1413"/>
    <w:rPr>
      <w:rFonts w:ascii="Tahoma" w:eastAsia="Times New Roman" w:hAnsi="Tahoma" w:cs="Tahoma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0B14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B1413"/>
    <w:rPr>
      <w:rFonts w:ascii="Tahoma" w:eastAsia="Times New Roman" w:hAnsi="Tahoma" w:cs="Tahoma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4621">
                  <w:marLeft w:val="0"/>
                  <w:marRight w:val="0"/>
                  <w:marTop w:val="0"/>
                  <w:marBottom w:val="0"/>
                  <w:divBdr>
                    <w:top w:val="single" w:sz="2" w:space="0" w:color="9CA9D7"/>
                    <w:left w:val="single" w:sz="6" w:space="0" w:color="9CA9D7"/>
                    <w:bottom w:val="single" w:sz="6" w:space="0" w:color="9CA9D7"/>
                    <w:right w:val="single" w:sz="6" w:space="0" w:color="9CA9D7"/>
                  </w:divBdr>
                  <w:divsChild>
                    <w:div w:id="454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FC4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8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4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14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48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9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38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824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1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42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456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65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706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67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41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546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816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1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3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2017-12-05T16:01:00Z</dcterms:created>
  <dcterms:modified xsi:type="dcterms:W3CDTF">2018-01-08T13:16:00Z</dcterms:modified>
</cp:coreProperties>
</file>