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3EC" w:rsidRDefault="00C05FB0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-48895</wp:posOffset>
            </wp:positionV>
            <wp:extent cx="1423670" cy="671195"/>
            <wp:effectExtent l="0" t="0" r="5080" b="0"/>
            <wp:wrapNone/>
            <wp:docPr id="2" name="Image 2" descr="MSA : Santé, Famille, Retraite, Service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A : Santé, Famille, Retraite, Service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3EC" w:rsidRDefault="006043EC">
      <w:pPr>
        <w:jc w:val="center"/>
        <w:rPr>
          <w:b/>
          <w:sz w:val="36"/>
          <w:szCs w:val="36"/>
        </w:rPr>
      </w:pPr>
    </w:p>
    <w:p w:rsidR="006043EC" w:rsidRDefault="006043EC">
      <w:pPr>
        <w:jc w:val="center"/>
        <w:rPr>
          <w:b/>
          <w:sz w:val="36"/>
          <w:szCs w:val="36"/>
        </w:rPr>
      </w:pPr>
    </w:p>
    <w:p w:rsidR="006043EC" w:rsidRDefault="006043E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MSA ARDECHE DROME LOIRE</w:t>
      </w:r>
    </w:p>
    <w:p w:rsidR="006043EC" w:rsidRDefault="006043EC">
      <w:pPr>
        <w:jc w:val="center"/>
        <w:rPr>
          <w:rFonts w:ascii="Arial" w:hAnsi="Arial" w:cs="Arial"/>
          <w:b/>
          <w:sz w:val="22"/>
          <w:szCs w:val="22"/>
        </w:rPr>
      </w:pPr>
    </w:p>
    <w:p w:rsidR="006043EC" w:rsidRDefault="006043EC">
      <w:pPr>
        <w:pBdr>
          <w:top w:val="threeDEmboss" w:sz="12" w:space="5" w:color="auto" w:shadow="1"/>
          <w:left w:val="threeDEmboss" w:sz="12" w:space="5" w:color="auto" w:shadow="1"/>
          <w:bottom w:val="threeDEngrave" w:sz="12" w:space="5" w:color="auto" w:shadow="1"/>
          <w:right w:val="threeDEngrave" w:sz="12" w:space="5" w:color="auto" w:shadow="1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ACCORD D'ENTREPRISE RELATIF</w:t>
      </w:r>
    </w:p>
    <w:p w:rsidR="006043EC" w:rsidRDefault="006043EC">
      <w:pPr>
        <w:pBdr>
          <w:top w:val="threeDEmboss" w:sz="12" w:space="5" w:color="auto" w:shadow="1"/>
          <w:left w:val="threeDEmboss" w:sz="12" w:space="5" w:color="auto" w:shadow="1"/>
          <w:bottom w:val="threeDEngrave" w:sz="12" w:space="5" w:color="auto" w:shadow="1"/>
          <w:right w:val="threeDEngrave" w:sz="12" w:space="5" w:color="auto" w:shadow="1"/>
        </w:pBd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AU DROIT A LA DECONNEXION</w:t>
      </w:r>
    </w:p>
    <w:p w:rsidR="006043EC" w:rsidRDefault="006043EC">
      <w:pPr>
        <w:pStyle w:val="NormalWeb"/>
        <w:spacing w:before="0" w:beforeAutospacing="0" w:after="0"/>
      </w:pPr>
    </w:p>
    <w:p w:rsidR="006043EC" w:rsidRDefault="006043EC">
      <w:pPr>
        <w:pStyle w:val="NormalWeb"/>
        <w:spacing w:before="0" w:beforeAutospacing="0" w:after="0"/>
        <w:jc w:val="both"/>
      </w:pPr>
    </w:p>
    <w:p w:rsidR="006043EC" w:rsidRDefault="006043EC">
      <w:pPr>
        <w:pStyle w:val="NormalWeb"/>
        <w:spacing w:before="0" w:beforeAutospacing="0" w:after="0"/>
        <w:jc w:val="both"/>
      </w:pPr>
    </w:p>
    <w:p w:rsidR="006043EC" w:rsidRDefault="006043EC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Entre </w:t>
      </w:r>
    </w:p>
    <w:p w:rsidR="006043EC" w:rsidRDefault="006043EC">
      <w:pPr>
        <w:tabs>
          <w:tab w:val="left" w:pos="5760"/>
        </w:tabs>
        <w:jc w:val="both"/>
      </w:pPr>
    </w:p>
    <w:p w:rsidR="006043EC" w:rsidRDefault="006043EC">
      <w:pPr>
        <w:jc w:val="both"/>
        <w:rPr>
          <w:b/>
          <w:bCs/>
        </w:rPr>
      </w:pPr>
      <w:r>
        <w:rPr>
          <w:b/>
          <w:bCs/>
        </w:rPr>
        <w:t>la Caisse de MSA Ardèche Drôme Loire,</w:t>
      </w:r>
    </w:p>
    <w:p w:rsidR="006043EC" w:rsidRDefault="006043EC">
      <w:pPr>
        <w:jc w:val="both"/>
      </w:pPr>
      <w:r>
        <w:t>ayant siège social 29 rue Frédéric Chopin 26000 Valence,</w:t>
      </w:r>
    </w:p>
    <w:p w:rsidR="006043EC" w:rsidRDefault="006043EC">
      <w:pPr>
        <w:jc w:val="both"/>
      </w:pPr>
      <w:r>
        <w:t xml:space="preserve">représentée par </w:t>
      </w:r>
      <w:r w:rsidR="00EF198D">
        <w:t xml:space="preserve">……                                    </w:t>
      </w:r>
      <w:r>
        <w:t>, Directeur Général.</w:t>
      </w:r>
    </w:p>
    <w:p w:rsidR="006043EC" w:rsidRDefault="006043EC">
      <w:pPr>
        <w:jc w:val="both"/>
      </w:pPr>
    </w:p>
    <w:p w:rsidR="006043EC" w:rsidRDefault="006043EC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D’une part,</w:t>
      </w:r>
    </w:p>
    <w:p w:rsidR="006043EC" w:rsidRDefault="006043EC">
      <w:pPr>
        <w:jc w:val="both"/>
      </w:pPr>
    </w:p>
    <w:p w:rsidR="006043EC" w:rsidRDefault="006043EC">
      <w:pPr>
        <w:jc w:val="both"/>
      </w:pPr>
    </w:p>
    <w:p w:rsidR="006043EC" w:rsidRDefault="006043EC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Et </w:t>
      </w:r>
    </w:p>
    <w:p w:rsidR="006043EC" w:rsidRDefault="006043EC">
      <w:pPr>
        <w:jc w:val="both"/>
      </w:pPr>
    </w:p>
    <w:p w:rsidR="006043EC" w:rsidRDefault="006043EC">
      <w:pPr>
        <w:numPr>
          <w:ilvl w:val="0"/>
          <w:numId w:val="2"/>
        </w:numPr>
        <w:jc w:val="both"/>
      </w:pPr>
      <w:r>
        <w:rPr>
          <w:b/>
          <w:bCs/>
        </w:rPr>
        <w:t>le syndicat CFDT</w:t>
      </w:r>
      <w:r>
        <w:t xml:space="preserve"> de la MSA Ardèche Drôme Loire, représenté par </w:t>
      </w:r>
    </w:p>
    <w:p w:rsidR="006043EC" w:rsidRPr="00EF198D" w:rsidRDefault="006043EC" w:rsidP="00EF198D">
      <w:pPr>
        <w:numPr>
          <w:ilvl w:val="0"/>
          <w:numId w:val="2"/>
        </w:numPr>
        <w:spacing w:before="60"/>
        <w:jc w:val="both"/>
        <w:rPr>
          <w:bCs/>
        </w:rPr>
      </w:pPr>
      <w:r w:rsidRPr="00EF198D">
        <w:rPr>
          <w:b/>
          <w:bCs/>
        </w:rPr>
        <w:t>le syndicat CGT</w:t>
      </w:r>
      <w:r>
        <w:t xml:space="preserve"> de la MSA Ardèche Drôme Loire, représenté par </w:t>
      </w:r>
    </w:p>
    <w:p w:rsidR="00EF198D" w:rsidRPr="00EF198D" w:rsidRDefault="00EF198D" w:rsidP="00EF198D">
      <w:pPr>
        <w:spacing w:before="60"/>
        <w:ind w:left="284"/>
        <w:jc w:val="both"/>
        <w:rPr>
          <w:bCs/>
        </w:rPr>
      </w:pPr>
    </w:p>
    <w:p w:rsidR="006043EC" w:rsidRDefault="006043EC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D’autre part,</w:t>
      </w:r>
    </w:p>
    <w:p w:rsidR="006043EC" w:rsidRDefault="006043EC">
      <w:pPr>
        <w:jc w:val="both"/>
      </w:pPr>
    </w:p>
    <w:p w:rsidR="006043EC" w:rsidRDefault="006043E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Il a été négocié et conclu l’accord ci-après.</w:t>
      </w:r>
    </w:p>
    <w:p w:rsidR="006043EC" w:rsidRDefault="006043EC">
      <w:pPr>
        <w:jc w:val="both"/>
      </w:pPr>
    </w:p>
    <w:p w:rsidR="006043EC" w:rsidRDefault="006043EC">
      <w:pPr>
        <w:jc w:val="both"/>
      </w:pPr>
    </w:p>
    <w:p w:rsidR="006043EC" w:rsidRDefault="006043E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PREAMBULE</w:t>
      </w:r>
    </w:p>
    <w:p w:rsidR="006043EC" w:rsidRDefault="006043EC">
      <w:pPr>
        <w:jc w:val="both"/>
      </w:pPr>
      <w:r>
        <w:t>Le droit à la déconnexion n’existe que pour les salariés ayant un moyen de connexion en dehors du lieu et du temps de travail.</w:t>
      </w:r>
    </w:p>
    <w:p w:rsidR="006043EC" w:rsidRDefault="006043EC">
      <w:pPr>
        <w:jc w:val="both"/>
      </w:pPr>
    </w:p>
    <w:p w:rsidR="006043EC" w:rsidRDefault="006043EC">
      <w:pPr>
        <w:jc w:val="both"/>
      </w:pPr>
      <w:r>
        <w:t>Cet accord s’applique aux salariés (hors cadres dirigeants et médecins chef) disposant d’un matériel de connexion à distance.</w:t>
      </w:r>
    </w:p>
    <w:p w:rsidR="006043EC" w:rsidRDefault="006043EC">
      <w:pPr>
        <w:jc w:val="both"/>
      </w:pPr>
    </w:p>
    <w:p w:rsidR="006043EC" w:rsidRDefault="006043EC">
      <w:pPr>
        <w:jc w:val="both"/>
      </w:pPr>
      <w:r>
        <w:t>Le présent accord a pour objectif de répondre à la Loi n°2016-1088 du 8 août 2016 qui instaure le droit à la déconnexion pour l’entreprise ainsi qu’à l’article L.2242-8,7° du Code du Travail.</w:t>
      </w:r>
    </w:p>
    <w:p w:rsidR="006043EC" w:rsidRDefault="006043EC">
      <w:pPr>
        <w:jc w:val="both"/>
      </w:pPr>
    </w:p>
    <w:p w:rsidR="006043EC" w:rsidRDefault="006043EC">
      <w:pPr>
        <w:spacing w:before="100" w:beforeAutospacing="1" w:after="100" w:afterAutospacing="1"/>
        <w:jc w:val="both"/>
      </w:pPr>
      <w:r>
        <w:br w:type="page"/>
      </w:r>
      <w:r>
        <w:rPr>
          <w:b/>
          <w:bCs/>
        </w:rPr>
        <w:lastRenderedPageBreak/>
        <w:t>IL A ETE CONVENU CE QUI SUIT :</w:t>
      </w:r>
    </w:p>
    <w:p w:rsidR="006043EC" w:rsidRDefault="006043E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Article 1 : La déconnexion - définition</w:t>
      </w:r>
    </w:p>
    <w:p w:rsidR="006043EC" w:rsidRDefault="006043EC">
      <w:pPr>
        <w:jc w:val="both"/>
      </w:pPr>
      <w:r>
        <w:t>Il y a lieu d’entendre par d</w:t>
      </w:r>
      <w:r>
        <w:rPr>
          <w:bCs/>
        </w:rPr>
        <w:t>roit à la déconnexion</w:t>
      </w:r>
      <w:r>
        <w:rPr>
          <w:b/>
          <w:bCs/>
        </w:rPr>
        <w:t xml:space="preserve">, </w:t>
      </w:r>
      <w:r>
        <w:t>le droit pour le salarié de ne pas être connecté à ses outils numériques professionnels (Smartphone, Internet, e-mail...) en dehors de son temps de travail.</w:t>
      </w:r>
    </w:p>
    <w:p w:rsidR="006043EC" w:rsidRDefault="006043EC">
      <w:pPr>
        <w:jc w:val="both"/>
      </w:pPr>
    </w:p>
    <w:p w:rsidR="006043EC" w:rsidRDefault="006043EC">
      <w:pPr>
        <w:jc w:val="both"/>
      </w:pPr>
      <w:r>
        <w:t>Le droit à la déconnexion n’existe que pour les salariés ayant un moyen de connexion en dehors du lieu et du temps de travail.</w:t>
      </w:r>
    </w:p>
    <w:p w:rsidR="006043EC" w:rsidRDefault="006043EC">
      <w:pPr>
        <w:spacing w:before="100" w:beforeAutospacing="1" w:after="100" w:afterAutospacing="1"/>
        <w:jc w:val="both"/>
        <w:rPr>
          <w:b/>
          <w:bCs/>
          <w:sz w:val="28"/>
          <w:szCs w:val="28"/>
          <w:u w:val="single"/>
        </w:rPr>
      </w:pPr>
    </w:p>
    <w:p w:rsidR="006043EC" w:rsidRDefault="006043EC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Article 2 : Droit à la déconnexion en dehors du temps de travail effectif </w:t>
      </w:r>
    </w:p>
    <w:p w:rsidR="006043EC" w:rsidRDefault="006043EC">
      <w:pPr>
        <w:spacing w:after="100" w:afterAutospacing="1"/>
        <w:jc w:val="both"/>
      </w:pPr>
      <w:r>
        <w:t xml:space="preserve">Dans le respect du principe de conciliation vie privée et vie professionnelle et en dehors des cas exceptionnels, le salarié, disposant d’outils numériques professionnels permettant de se connecter à distance, veillera à se déconnecter du réseau en dehors des heures habituelles de travail ou pendant ses congés. </w:t>
      </w:r>
    </w:p>
    <w:p w:rsidR="006043EC" w:rsidRDefault="006043EC">
      <w:pPr>
        <w:spacing w:before="100" w:beforeAutospacing="1" w:after="100" w:afterAutospacing="1"/>
        <w:jc w:val="both"/>
      </w:pPr>
      <w:r>
        <w:t xml:space="preserve">De façon à prévenir de l’usage de la messagerie professionnelle, le soir, le week-end et pendant les congés, il est rappelé qu’il n’y a donc pas d’obligation à répondre, pendant ces périodes, et qu’il est recommandé d’utiliser les fonctions d’envoi différé. </w:t>
      </w:r>
    </w:p>
    <w:p w:rsidR="006043EC" w:rsidRDefault="006043EC">
      <w:pPr>
        <w:spacing w:before="100" w:beforeAutospacing="1" w:after="100" w:afterAutospacing="1"/>
        <w:jc w:val="both"/>
      </w:pPr>
      <w:r>
        <w:t>Il en est de même des appels ou messages téléphoniques professionnels reçus pendant ces durées de congés ou de repos.</w:t>
      </w:r>
    </w:p>
    <w:p w:rsidR="006043EC" w:rsidRDefault="006043EC">
      <w:pPr>
        <w:jc w:val="both"/>
        <w:rPr>
          <w:b/>
          <w:bCs/>
          <w:sz w:val="28"/>
          <w:szCs w:val="28"/>
          <w:u w:val="single"/>
        </w:rPr>
      </w:pPr>
    </w:p>
    <w:p w:rsidR="006043EC" w:rsidRDefault="006043EC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Article 3 : Sensibilisation et formation à la déconnexion </w:t>
      </w:r>
    </w:p>
    <w:p w:rsidR="006043EC" w:rsidRDefault="006043EC">
      <w:pPr>
        <w:jc w:val="both"/>
      </w:pPr>
      <w:r>
        <w:t>Les technologies de l’information et de la communication (TIC) font partie intégrante de l’environnement de travail et sont nécessaires au bon fonctionnement de l’entreprise.</w:t>
      </w:r>
    </w:p>
    <w:p w:rsidR="006043EC" w:rsidRDefault="006043EC">
      <w:pPr>
        <w:spacing w:before="100" w:beforeAutospacing="1"/>
        <w:jc w:val="both"/>
      </w:pPr>
      <w:r>
        <w:t>Porteuses de lien social, facilitant les échanges et l’accès à l’information, elles doivent toutefois être utilisées à bon escient, dans le respect des personnes et de leur vie privée.</w:t>
      </w:r>
    </w:p>
    <w:p w:rsidR="006043EC" w:rsidRDefault="006043EC">
      <w:pPr>
        <w:spacing w:before="100" w:beforeAutospacing="1" w:after="100" w:afterAutospacing="1"/>
        <w:jc w:val="both"/>
      </w:pPr>
      <w:r>
        <w:t>Des actions de formation et de sensibilisation seront organisées à destination des responsables hiérarchiques et de l’ensemble des salariés concernés.</w:t>
      </w:r>
    </w:p>
    <w:p w:rsidR="006043EC" w:rsidRDefault="006043EC">
      <w:pPr>
        <w:spacing w:before="100" w:beforeAutospacing="1" w:after="100" w:afterAutospacing="1"/>
        <w:jc w:val="both"/>
      </w:pPr>
      <w:r>
        <w:t>Ces actions de formation seront inscrites dans le plan de formation de la Caisse aux salariés en faisant la demande.</w:t>
      </w:r>
    </w:p>
    <w:p w:rsidR="006043EC" w:rsidRDefault="006043EC">
      <w:pPr>
        <w:jc w:val="both"/>
        <w:rPr>
          <w:b/>
          <w:bCs/>
          <w:sz w:val="28"/>
          <w:szCs w:val="28"/>
          <w:u w:val="single"/>
        </w:rPr>
      </w:pPr>
    </w:p>
    <w:p w:rsidR="006043EC" w:rsidRDefault="006043EC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Article 4 : Entrée en vigueur et durée de l’accord.</w:t>
      </w:r>
    </w:p>
    <w:p w:rsidR="006043EC" w:rsidRDefault="006043EC">
      <w:pPr>
        <w:pStyle w:val="NormalWeb"/>
        <w:spacing w:before="60" w:beforeAutospacing="0" w:after="0"/>
        <w:jc w:val="both"/>
      </w:pPr>
      <w:r>
        <w:t>Le présent accord est conclu de manière indéterminée.</w:t>
      </w:r>
    </w:p>
    <w:p w:rsidR="006043EC" w:rsidRDefault="006043EC">
      <w:pPr>
        <w:spacing w:before="100" w:beforeAutospacing="1" w:after="100" w:afterAutospacing="1"/>
        <w:jc w:val="both"/>
      </w:pPr>
      <w:r>
        <w:t>Il entrera en vigueur le jour de son agrément par l’autorité de tutelle.</w:t>
      </w:r>
    </w:p>
    <w:p w:rsidR="006043EC" w:rsidRDefault="006043EC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  <w:r>
        <w:rPr>
          <w:b/>
          <w:bCs/>
          <w:sz w:val="28"/>
          <w:szCs w:val="28"/>
          <w:u w:val="single"/>
        </w:rPr>
        <w:lastRenderedPageBreak/>
        <w:t>Article 5 : Révision et dénonciation de l’accord.</w:t>
      </w:r>
    </w:p>
    <w:p w:rsidR="006043EC" w:rsidRDefault="006043EC">
      <w:pPr>
        <w:pStyle w:val="NormalWeb"/>
        <w:spacing w:before="0" w:beforeAutospacing="0" w:after="0"/>
        <w:jc w:val="both"/>
        <w:rPr>
          <w:highlight w:val="yellow"/>
        </w:rPr>
      </w:pPr>
      <w:r>
        <w:t>Le présent accord pourra faire l’objet de révision par l’employeur et les organisations syndicales de salariés qui en sont signataires ou qui y ont adhéré ultérieurement, conformément aux dispositions des articles L.2261-7 et L.2261-8 du Code du Travail, dans le respect d’un préavis de deux mois sur notification effectuée par mail aux différentes parties. Toute demande de révision, sera obligatoirement suivie d’une proposition rédactionnelle nouvelle.</w:t>
      </w:r>
    </w:p>
    <w:p w:rsidR="006043EC" w:rsidRDefault="006043EC">
      <w:pPr>
        <w:pStyle w:val="NormalWeb"/>
        <w:spacing w:before="60" w:beforeAutospacing="0" w:after="0"/>
        <w:jc w:val="both"/>
      </w:pPr>
      <w:r>
        <w:t>La dénonciation de cet accord s’exerce selon les dispositions légales en vigueur.</w:t>
      </w:r>
    </w:p>
    <w:p w:rsidR="006043EC" w:rsidRDefault="006043EC">
      <w:pPr>
        <w:pStyle w:val="NormalWeb"/>
        <w:spacing w:before="0" w:beforeAutospacing="0" w:after="0"/>
        <w:jc w:val="both"/>
        <w:rPr>
          <w:highlight w:val="yellow"/>
        </w:rPr>
      </w:pPr>
    </w:p>
    <w:p w:rsidR="006043EC" w:rsidRDefault="006043EC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Article 6 : Publicité de l’accord.</w:t>
      </w:r>
    </w:p>
    <w:p w:rsidR="006043EC" w:rsidRDefault="006043EC">
      <w:pPr>
        <w:spacing w:before="60"/>
        <w:jc w:val="both"/>
      </w:pPr>
      <w:r>
        <w:t>Un exemplaire du présent accord et des avenants éventuels sont communiqués aux délégués syndicaux.</w:t>
      </w:r>
    </w:p>
    <w:p w:rsidR="006043EC" w:rsidRDefault="006043EC">
      <w:pPr>
        <w:spacing w:before="60"/>
        <w:jc w:val="both"/>
      </w:pPr>
      <w:r>
        <w:t>Les salariés seront informés de la mise en place de ce nouveau dispositif par le biais de l’intranet de l’entreprise.</w:t>
      </w:r>
    </w:p>
    <w:p w:rsidR="006043EC" w:rsidRDefault="006043EC">
      <w:pPr>
        <w:spacing w:before="60"/>
        <w:jc w:val="both"/>
      </w:pPr>
      <w:r>
        <w:t>Il est également communiqué à l’administration compétente.</w:t>
      </w:r>
    </w:p>
    <w:p w:rsidR="006043EC" w:rsidRDefault="006043EC">
      <w:pPr>
        <w:jc w:val="both"/>
        <w:rPr>
          <w:b/>
          <w:bCs/>
          <w:sz w:val="28"/>
          <w:szCs w:val="28"/>
          <w:u w:val="single"/>
        </w:rPr>
      </w:pPr>
    </w:p>
    <w:p w:rsidR="006043EC" w:rsidRDefault="006043EC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Article 7 : Condition suspensive.</w:t>
      </w:r>
    </w:p>
    <w:p w:rsidR="006043EC" w:rsidRDefault="006043EC">
      <w:pPr>
        <w:spacing w:before="60"/>
        <w:jc w:val="both"/>
      </w:pPr>
      <w:r>
        <w:t>Cet accord ne constitue pas un engagement unilatéral de l’employeur mais un accord comportant comme condition suspensive l’agrément ministériel et le respect des règles de validité relatives à la conclusion des accords collectifs prévues par la loi.</w:t>
      </w:r>
    </w:p>
    <w:p w:rsidR="006043EC" w:rsidRDefault="006043EC">
      <w:pPr>
        <w:pStyle w:val="NormalWeb"/>
        <w:spacing w:before="0" w:beforeAutospacing="0" w:after="0"/>
        <w:jc w:val="both"/>
        <w:rPr>
          <w:highlight w:val="yellow"/>
        </w:rPr>
      </w:pPr>
    </w:p>
    <w:p w:rsidR="006043EC" w:rsidRDefault="006043EC">
      <w:pPr>
        <w:pStyle w:val="NormalWeb"/>
        <w:spacing w:before="0" w:beforeAutospacing="0" w:after="0"/>
        <w:jc w:val="both"/>
      </w:pPr>
    </w:p>
    <w:p w:rsidR="006043EC" w:rsidRDefault="006043EC">
      <w:pPr>
        <w:ind w:hanging="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Valence, le </w:t>
      </w:r>
      <w:r w:rsidR="0037344A">
        <w:rPr>
          <w:b/>
          <w:sz w:val="28"/>
          <w:szCs w:val="28"/>
        </w:rPr>
        <w:t>25 septembre 2017</w:t>
      </w:r>
    </w:p>
    <w:p w:rsidR="006043EC" w:rsidRDefault="006043EC">
      <w:pPr>
        <w:pStyle w:val="NormalWeb"/>
        <w:spacing w:before="0" w:beforeAutospacing="0" w:after="0"/>
        <w:jc w:val="both"/>
      </w:pPr>
    </w:p>
    <w:tbl>
      <w:tblPr>
        <w:tblW w:w="0" w:type="auto"/>
        <w:jc w:val="center"/>
        <w:tblInd w:w="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34"/>
        <w:gridCol w:w="3335"/>
        <w:gridCol w:w="3335"/>
      </w:tblGrid>
      <w:tr w:rsidR="006043EC">
        <w:trPr>
          <w:jc w:val="center"/>
        </w:trPr>
        <w:tc>
          <w:tcPr>
            <w:tcW w:w="3334" w:type="dxa"/>
            <w:shd w:val="clear" w:color="auto" w:fill="auto"/>
          </w:tcPr>
          <w:p w:rsidR="006043EC" w:rsidRDefault="006043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Pour la MSA</w:t>
            </w:r>
          </w:p>
          <w:p w:rsidR="006043EC" w:rsidRDefault="006043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Ardèche Drôme Loire</w:t>
            </w:r>
          </w:p>
          <w:p w:rsidR="006043EC" w:rsidRDefault="006043EC">
            <w:pPr>
              <w:jc w:val="center"/>
              <w:rPr>
                <w:b/>
                <w:sz w:val="28"/>
                <w:szCs w:val="28"/>
              </w:rPr>
            </w:pPr>
          </w:p>
          <w:p w:rsidR="006043EC" w:rsidRDefault="006043EC">
            <w:pPr>
              <w:jc w:val="center"/>
              <w:rPr>
                <w:b/>
                <w:sz w:val="28"/>
                <w:szCs w:val="28"/>
              </w:rPr>
            </w:pPr>
          </w:p>
          <w:p w:rsidR="006043EC" w:rsidRDefault="006043EC">
            <w:pPr>
              <w:jc w:val="center"/>
              <w:rPr>
                <w:b/>
                <w:sz w:val="28"/>
                <w:szCs w:val="28"/>
              </w:rPr>
            </w:pPr>
          </w:p>
          <w:p w:rsidR="006043EC" w:rsidRDefault="006043EC">
            <w:pPr>
              <w:jc w:val="center"/>
              <w:rPr>
                <w:b/>
                <w:sz w:val="28"/>
                <w:szCs w:val="28"/>
              </w:rPr>
            </w:pPr>
          </w:p>
          <w:p w:rsidR="006043EC" w:rsidRDefault="006043EC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3335" w:type="dxa"/>
            <w:shd w:val="clear" w:color="auto" w:fill="auto"/>
          </w:tcPr>
          <w:p w:rsidR="006043EC" w:rsidRDefault="006043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Pour le Syndicat CFDT</w:t>
            </w:r>
          </w:p>
          <w:p w:rsidR="006043EC" w:rsidRDefault="006043EC">
            <w:pPr>
              <w:jc w:val="center"/>
              <w:rPr>
                <w:b/>
                <w:sz w:val="28"/>
                <w:szCs w:val="28"/>
              </w:rPr>
            </w:pPr>
          </w:p>
          <w:p w:rsidR="006043EC" w:rsidRDefault="006043EC">
            <w:pPr>
              <w:jc w:val="center"/>
              <w:rPr>
                <w:b/>
                <w:sz w:val="28"/>
                <w:szCs w:val="28"/>
              </w:rPr>
            </w:pPr>
          </w:p>
          <w:p w:rsidR="006043EC" w:rsidRDefault="006043EC">
            <w:pPr>
              <w:jc w:val="center"/>
              <w:rPr>
                <w:b/>
                <w:sz w:val="28"/>
                <w:szCs w:val="28"/>
              </w:rPr>
            </w:pPr>
          </w:p>
          <w:p w:rsidR="006043EC" w:rsidRDefault="006043EC">
            <w:pPr>
              <w:jc w:val="center"/>
              <w:rPr>
                <w:b/>
                <w:sz w:val="28"/>
                <w:szCs w:val="28"/>
              </w:rPr>
            </w:pPr>
          </w:p>
          <w:p w:rsidR="006043EC" w:rsidRDefault="006043EC">
            <w:pPr>
              <w:jc w:val="center"/>
              <w:rPr>
                <w:b/>
                <w:sz w:val="28"/>
                <w:szCs w:val="28"/>
              </w:rPr>
            </w:pPr>
          </w:p>
          <w:p w:rsidR="006043EC" w:rsidRDefault="006043EC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3335" w:type="dxa"/>
            <w:shd w:val="clear" w:color="auto" w:fill="auto"/>
          </w:tcPr>
          <w:p w:rsidR="006043EC" w:rsidRDefault="006043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Pour le Syndicat CGT</w:t>
            </w:r>
          </w:p>
          <w:p w:rsidR="006043EC" w:rsidRDefault="006043EC">
            <w:pPr>
              <w:jc w:val="center"/>
              <w:rPr>
                <w:b/>
                <w:sz w:val="28"/>
                <w:szCs w:val="28"/>
              </w:rPr>
            </w:pPr>
          </w:p>
          <w:p w:rsidR="006043EC" w:rsidRDefault="006043EC">
            <w:pPr>
              <w:jc w:val="center"/>
              <w:rPr>
                <w:b/>
                <w:sz w:val="28"/>
                <w:szCs w:val="28"/>
              </w:rPr>
            </w:pPr>
          </w:p>
          <w:p w:rsidR="006043EC" w:rsidRDefault="006043EC">
            <w:pPr>
              <w:jc w:val="center"/>
              <w:rPr>
                <w:b/>
                <w:sz w:val="28"/>
                <w:szCs w:val="28"/>
              </w:rPr>
            </w:pPr>
          </w:p>
          <w:p w:rsidR="006043EC" w:rsidRDefault="006043EC">
            <w:pPr>
              <w:jc w:val="center"/>
              <w:rPr>
                <w:b/>
                <w:sz w:val="28"/>
                <w:szCs w:val="28"/>
              </w:rPr>
            </w:pPr>
          </w:p>
          <w:p w:rsidR="006043EC" w:rsidRDefault="006043EC">
            <w:pPr>
              <w:jc w:val="center"/>
              <w:rPr>
                <w:b/>
                <w:sz w:val="28"/>
                <w:szCs w:val="28"/>
              </w:rPr>
            </w:pPr>
          </w:p>
          <w:p w:rsidR="006043EC" w:rsidRDefault="006043EC">
            <w:pPr>
              <w:pStyle w:val="NormalWeb"/>
              <w:spacing w:before="0" w:beforeAutospacing="0" w:after="0"/>
              <w:jc w:val="center"/>
            </w:pPr>
          </w:p>
        </w:tc>
      </w:tr>
    </w:tbl>
    <w:p w:rsidR="006043EC" w:rsidRDefault="006043EC">
      <w:pPr>
        <w:pStyle w:val="NormalWeb"/>
        <w:spacing w:before="0" w:beforeAutospacing="0" w:after="0"/>
      </w:pPr>
    </w:p>
    <w:p w:rsidR="006043EC" w:rsidRDefault="006043EC">
      <w:pPr>
        <w:pStyle w:val="NormalWeb"/>
        <w:spacing w:before="0" w:beforeAutospacing="0" w:after="0"/>
      </w:pPr>
    </w:p>
    <w:sectPr w:rsidR="006043E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3EC" w:rsidRDefault="006043EC">
      <w:r>
        <w:separator/>
      </w:r>
    </w:p>
  </w:endnote>
  <w:endnote w:type="continuationSeparator" w:id="0">
    <w:p w:rsidR="006043EC" w:rsidRDefault="0060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3EC" w:rsidRDefault="006043E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043EC" w:rsidRDefault="006043E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3EC" w:rsidRDefault="006043E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174CA">
      <w:rPr>
        <w:rStyle w:val="Numrodepage"/>
        <w:noProof/>
      </w:rPr>
      <w:t>1</w:t>
    </w:r>
    <w:r>
      <w:rPr>
        <w:rStyle w:val="Numrodepage"/>
      </w:rPr>
      <w:fldChar w:fldCharType="end"/>
    </w:r>
  </w:p>
  <w:p w:rsidR="006043EC" w:rsidRDefault="006043EC">
    <w:pPr>
      <w:pStyle w:val="Pieddepage"/>
      <w:pBdr>
        <w:top w:val="single" w:sz="4" w:space="1" w:color="auto"/>
      </w:pBdr>
      <w:ind w:right="360"/>
      <w:jc w:val="both"/>
      <w:rPr>
        <w:sz w:val="20"/>
        <w:szCs w:val="20"/>
      </w:rPr>
    </w:pPr>
    <w:r>
      <w:rPr>
        <w:rStyle w:val="Numrodepage"/>
        <w:sz w:val="20"/>
        <w:szCs w:val="20"/>
      </w:rPr>
      <w:t>MSA ADL – Accord droit à la déconnexion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3EC" w:rsidRDefault="006043E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3EC" w:rsidRDefault="006043EC">
      <w:r>
        <w:separator/>
      </w:r>
    </w:p>
  </w:footnote>
  <w:footnote w:type="continuationSeparator" w:id="0">
    <w:p w:rsidR="006043EC" w:rsidRDefault="00604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3EC" w:rsidRDefault="006043E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3EC" w:rsidRDefault="006043E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3EC" w:rsidRDefault="006043E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485"/>
    <w:multiLevelType w:val="multilevel"/>
    <w:tmpl w:val="38F0C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25A8E"/>
    <w:multiLevelType w:val="multilevel"/>
    <w:tmpl w:val="9AD6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667CD"/>
    <w:multiLevelType w:val="multilevel"/>
    <w:tmpl w:val="FE583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F3C05"/>
    <w:multiLevelType w:val="multilevel"/>
    <w:tmpl w:val="7790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FF3FE4"/>
    <w:multiLevelType w:val="hybridMultilevel"/>
    <w:tmpl w:val="CCAEB084"/>
    <w:lvl w:ilvl="0" w:tplc="673261B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220949"/>
    <w:multiLevelType w:val="multilevel"/>
    <w:tmpl w:val="CD84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7270C2"/>
    <w:multiLevelType w:val="multilevel"/>
    <w:tmpl w:val="0330B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E23CF8"/>
    <w:multiLevelType w:val="multilevel"/>
    <w:tmpl w:val="8B0E2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659C0"/>
    <w:multiLevelType w:val="multilevel"/>
    <w:tmpl w:val="AEE4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F65989"/>
    <w:multiLevelType w:val="hybridMultilevel"/>
    <w:tmpl w:val="30C44452"/>
    <w:lvl w:ilvl="0" w:tplc="673261B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5E43AB"/>
    <w:multiLevelType w:val="multilevel"/>
    <w:tmpl w:val="8AFE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850899"/>
    <w:multiLevelType w:val="multilevel"/>
    <w:tmpl w:val="021C5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4135B5"/>
    <w:multiLevelType w:val="multilevel"/>
    <w:tmpl w:val="586A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711189"/>
    <w:multiLevelType w:val="multilevel"/>
    <w:tmpl w:val="F45CF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B83BD6"/>
    <w:multiLevelType w:val="multilevel"/>
    <w:tmpl w:val="86E8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1E5086"/>
    <w:multiLevelType w:val="multilevel"/>
    <w:tmpl w:val="B50C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4D1BB1"/>
    <w:multiLevelType w:val="multilevel"/>
    <w:tmpl w:val="3D3E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9B360B"/>
    <w:multiLevelType w:val="multilevel"/>
    <w:tmpl w:val="EDD4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625663"/>
    <w:multiLevelType w:val="multilevel"/>
    <w:tmpl w:val="9A0C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041600"/>
    <w:multiLevelType w:val="multilevel"/>
    <w:tmpl w:val="42AAF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E95656"/>
    <w:multiLevelType w:val="hybridMultilevel"/>
    <w:tmpl w:val="B04C0AE2"/>
    <w:lvl w:ilvl="0" w:tplc="A6ACA94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6A77C6"/>
    <w:multiLevelType w:val="multilevel"/>
    <w:tmpl w:val="5F4A1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3D22D1"/>
    <w:multiLevelType w:val="multilevel"/>
    <w:tmpl w:val="C3843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91296A"/>
    <w:multiLevelType w:val="hybridMultilevel"/>
    <w:tmpl w:val="BD423658"/>
    <w:lvl w:ilvl="0" w:tplc="A6ACA94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106526"/>
    <w:multiLevelType w:val="multilevel"/>
    <w:tmpl w:val="6D10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3219A3"/>
    <w:multiLevelType w:val="hybridMultilevel"/>
    <w:tmpl w:val="52F2899E"/>
    <w:lvl w:ilvl="0" w:tplc="673261B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677C18"/>
    <w:multiLevelType w:val="multilevel"/>
    <w:tmpl w:val="0A1E9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C0387E"/>
    <w:multiLevelType w:val="multilevel"/>
    <w:tmpl w:val="009E1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371EAD"/>
    <w:multiLevelType w:val="hybridMultilevel"/>
    <w:tmpl w:val="C23E3F74"/>
    <w:lvl w:ilvl="0" w:tplc="4BBE4CE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BA3365B"/>
    <w:multiLevelType w:val="multilevel"/>
    <w:tmpl w:val="EF0AD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365FFC"/>
    <w:multiLevelType w:val="multilevel"/>
    <w:tmpl w:val="1D0C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CF7973"/>
    <w:multiLevelType w:val="multilevel"/>
    <w:tmpl w:val="0F86F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395E3E"/>
    <w:multiLevelType w:val="hybridMultilevel"/>
    <w:tmpl w:val="57A4930A"/>
    <w:lvl w:ilvl="0" w:tplc="673261B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DF7003"/>
    <w:multiLevelType w:val="multilevel"/>
    <w:tmpl w:val="CC42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440A3D"/>
    <w:multiLevelType w:val="multilevel"/>
    <w:tmpl w:val="EB9A1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9B61E7"/>
    <w:multiLevelType w:val="multilevel"/>
    <w:tmpl w:val="390A9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F41F2D"/>
    <w:multiLevelType w:val="hybridMultilevel"/>
    <w:tmpl w:val="62E6AEF0"/>
    <w:lvl w:ilvl="0" w:tplc="673261B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20"/>
  </w:num>
  <w:num w:numId="4">
    <w:abstractNumId w:val="25"/>
  </w:num>
  <w:num w:numId="5">
    <w:abstractNumId w:val="9"/>
  </w:num>
  <w:num w:numId="6">
    <w:abstractNumId w:val="32"/>
  </w:num>
  <w:num w:numId="7">
    <w:abstractNumId w:val="4"/>
  </w:num>
  <w:num w:numId="8">
    <w:abstractNumId w:val="36"/>
  </w:num>
  <w:num w:numId="9">
    <w:abstractNumId w:val="27"/>
  </w:num>
  <w:num w:numId="10">
    <w:abstractNumId w:val="26"/>
  </w:num>
  <w:num w:numId="11">
    <w:abstractNumId w:val="2"/>
  </w:num>
  <w:num w:numId="12">
    <w:abstractNumId w:val="30"/>
  </w:num>
  <w:num w:numId="13">
    <w:abstractNumId w:val="3"/>
  </w:num>
  <w:num w:numId="14">
    <w:abstractNumId w:val="24"/>
  </w:num>
  <w:num w:numId="15">
    <w:abstractNumId w:val="18"/>
  </w:num>
  <w:num w:numId="16">
    <w:abstractNumId w:val="1"/>
  </w:num>
  <w:num w:numId="17">
    <w:abstractNumId w:val="19"/>
  </w:num>
  <w:num w:numId="18">
    <w:abstractNumId w:val="11"/>
  </w:num>
  <w:num w:numId="19">
    <w:abstractNumId w:val="17"/>
  </w:num>
  <w:num w:numId="20">
    <w:abstractNumId w:val="5"/>
  </w:num>
  <w:num w:numId="21">
    <w:abstractNumId w:val="33"/>
  </w:num>
  <w:num w:numId="22">
    <w:abstractNumId w:val="0"/>
  </w:num>
  <w:num w:numId="23">
    <w:abstractNumId w:val="10"/>
  </w:num>
  <w:num w:numId="24">
    <w:abstractNumId w:val="15"/>
  </w:num>
  <w:num w:numId="25">
    <w:abstractNumId w:val="12"/>
  </w:num>
  <w:num w:numId="26">
    <w:abstractNumId w:val="7"/>
  </w:num>
  <w:num w:numId="27">
    <w:abstractNumId w:val="6"/>
  </w:num>
  <w:num w:numId="28">
    <w:abstractNumId w:val="34"/>
  </w:num>
  <w:num w:numId="29">
    <w:abstractNumId w:val="22"/>
  </w:num>
  <w:num w:numId="30">
    <w:abstractNumId w:val="29"/>
  </w:num>
  <w:num w:numId="31">
    <w:abstractNumId w:val="16"/>
  </w:num>
  <w:num w:numId="32">
    <w:abstractNumId w:val="21"/>
  </w:num>
  <w:num w:numId="33">
    <w:abstractNumId w:val="14"/>
  </w:num>
  <w:num w:numId="34">
    <w:abstractNumId w:val="13"/>
  </w:num>
  <w:num w:numId="35">
    <w:abstractNumId w:val="31"/>
  </w:num>
  <w:num w:numId="36">
    <w:abstractNumId w:val="35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4A"/>
    <w:rsid w:val="0037344A"/>
    <w:rsid w:val="005174CA"/>
    <w:rsid w:val="006043EC"/>
    <w:rsid w:val="00C05FB0"/>
    <w:rsid w:val="00EF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19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Pr>
      <w:b/>
      <w:bCs/>
    </w:rPr>
  </w:style>
  <w:style w:type="character" w:customStyle="1" w:styleId="Titre3Car">
    <w:name w:val="Titre 3 Car"/>
    <w:link w:val="Titre3"/>
    <w:uiPriority w:val="9"/>
    <w:rPr>
      <w:b/>
      <w:bCs/>
      <w:sz w:val="27"/>
      <w:szCs w:val="27"/>
    </w:rPr>
  </w:style>
  <w:style w:type="character" w:styleId="lev">
    <w:name w:val="Strong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19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Pr>
      <w:b/>
      <w:bCs/>
    </w:rPr>
  </w:style>
  <w:style w:type="character" w:customStyle="1" w:styleId="Titre3Car">
    <w:name w:val="Titre 3 Car"/>
    <w:link w:val="Titre3"/>
    <w:uiPriority w:val="9"/>
    <w:rPr>
      <w:b/>
      <w:bCs/>
      <w:sz w:val="27"/>
      <w:szCs w:val="27"/>
    </w:rPr>
  </w:style>
  <w:style w:type="character" w:styleId="lev">
    <w:name w:val="Strong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www.msa-ardeche-drome-loire.fr/lfr/z80-theme/images/MSA/logo.pn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sa-ardeche-drome-loire.fr/lfr/web/msa-ardeche-drome-loir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A5443-4F13-4DA9-B20A-3B7341DD7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669</Words>
  <Characters>3623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ACCORD D’ENTREPRISE RELATIF AU DON DE JOURS DE R</vt:lpstr>
    </vt:vector>
  </TitlesOfParts>
  <LinksUpToDate>false</LinksUpToDate>
  <CharactersWithSpaces>4284</CharactersWithSpaces>
  <SharedDoc>false</SharedDoc>
  <HLinks>
    <vt:vector size="12" baseType="variant">
      <vt:variant>
        <vt:i4>4390976</vt:i4>
      </vt:variant>
      <vt:variant>
        <vt:i4>-1</vt:i4>
      </vt:variant>
      <vt:variant>
        <vt:i4>1026</vt:i4>
      </vt:variant>
      <vt:variant>
        <vt:i4>4</vt:i4>
      </vt:variant>
      <vt:variant>
        <vt:lpwstr>http://www.msa-ardeche-drome-loire.fr/lfr/web/msa-ardeche-drome-loire</vt:lpwstr>
      </vt:variant>
      <vt:variant>
        <vt:lpwstr/>
      </vt:variant>
      <vt:variant>
        <vt:i4>2818145</vt:i4>
      </vt:variant>
      <vt:variant>
        <vt:i4>-1</vt:i4>
      </vt:variant>
      <vt:variant>
        <vt:i4>1026</vt:i4>
      </vt:variant>
      <vt:variant>
        <vt:i4>1</vt:i4>
      </vt:variant>
      <vt:variant>
        <vt:lpwstr>http://www.msa-ardeche-drome-loire.fr/lfr/z80-theme/images/MSA/logo.png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2017-09-01T10:03:00Z</cp:lastPrinted>
  <dcterms:created xsi:type="dcterms:W3CDTF">2017-11-14T15:16:00Z</dcterms:created>
  <dcterms:modified xsi:type="dcterms:W3CDTF">2017-11-14T15:16:00Z</dcterms:modified>
</cp:coreProperties>
</file>