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rPr/>
      </w:pPr>
      <w:r>
        <w:rPr>
          <w:rFonts w:cs="Arial" w:ascii="Arial" w:hAnsi="Arial"/>
          <w:sz w:val="20"/>
          <w:u w:val="single"/>
        </w:rPr>
        <w:t>PROTOCOLE D’ACCORD</w:t>
      </w:r>
      <w:r>
        <w:rPr>
          <w:rFonts w:cs="Arial" w:ascii="Arial" w:hAnsi="Arial"/>
          <w:sz w:val="20"/>
        </w:rPr>
        <w:t xml:space="preserve"> </w:t>
      </w:r>
    </w:p>
    <w:p>
      <w:pPr>
        <w:pStyle w:val="Heading4"/>
        <w:numPr>
          <w:ilvl w:val="3"/>
          <w:numId w:val="1"/>
        </w:numPr>
        <w:rPr>
          <w:rFonts w:ascii="Arial" w:hAnsi="Arial" w:cs="Arial"/>
          <w:sz w:val="20"/>
          <w:u w:val="single"/>
        </w:rPr>
      </w:pPr>
      <w:r>
        <w:rPr>
          <w:rFonts w:cs="Arial" w:ascii="Arial" w:hAnsi="Arial"/>
          <w:sz w:val="20"/>
          <w:u w:val="single"/>
        </w:rPr>
      </w:r>
    </w:p>
    <w:p>
      <w:pPr>
        <w:pStyle w:val="Heading4"/>
        <w:numPr>
          <w:ilvl w:val="3"/>
          <w:numId w:val="1"/>
        </w:numPr>
        <w:rPr/>
      </w:pPr>
      <w:r>
        <w:rPr>
          <w:rFonts w:cs="Arial" w:ascii="Arial" w:hAnsi="Arial"/>
          <w:sz w:val="20"/>
          <w:u w:val="single"/>
        </w:rPr>
        <w:t>NEGOCIATION ANNUELLE OBLIGATOIRE 2018 - ISA</w:t>
      </w:r>
    </w:p>
    <w:p>
      <w:pPr>
        <w:pStyle w:val="Normal"/>
        <w:rPr>
          <w:rFonts w:ascii="Arial" w:hAnsi="Arial" w:cs="Arial"/>
          <w:sz w:val="20"/>
          <w:u w:val="single"/>
        </w:rPr>
      </w:pPr>
      <w:r>
        <w:rPr>
          <w:rFonts w:cs="Arial" w:ascii="Arial" w:hAnsi="Arial"/>
          <w:sz w:val="20"/>
          <w:u w:val="single"/>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Le 14 février 2018, il a été convenu entre :</w:t>
      </w:r>
    </w:p>
    <w:p>
      <w:pPr>
        <w:pStyle w:val="Normal"/>
        <w:rPr>
          <w:rFonts w:ascii="Arial" w:hAnsi="Arial" w:cs="Arial"/>
          <w:b/>
          <w:b/>
        </w:rPr>
      </w:pPr>
      <w:r>
        <w:rPr>
          <w:rFonts w:cs="Arial" w:ascii="Arial" w:hAnsi="Arial"/>
          <w:b/>
        </w:rPr>
      </w:r>
    </w:p>
    <w:p>
      <w:pPr>
        <w:pStyle w:val="Corpsdetexte2"/>
        <w:rPr>
          <w:rFonts w:ascii="Arial" w:hAnsi="Arial" w:cs="Arial"/>
          <w:sz w:val="20"/>
        </w:rPr>
      </w:pPr>
      <w:r>
        <w:rPr>
          <w:rFonts w:cs="Arial" w:ascii="Arial" w:hAnsi="Arial"/>
          <w:sz w:val="20"/>
        </w:rPr>
        <w:t xml:space="preserve">La société ISA représentée par Monsieur XXXXXXXX, Directeur Général, </w:t>
      </w:r>
    </w:p>
    <w:p>
      <w:pPr>
        <w:pStyle w:val="Corpsdetexte2"/>
        <w:rPr>
          <w:rFonts w:ascii="Arial" w:hAnsi="Arial" w:cs="Arial"/>
          <w:sz w:val="20"/>
        </w:rPr>
      </w:pPr>
      <w:r>
        <w:rPr>
          <w:rFonts w:cs="Arial" w:ascii="Arial" w:hAnsi="Arial"/>
          <w:sz w:val="20"/>
        </w:rPr>
      </w:r>
    </w:p>
    <w:p>
      <w:pPr>
        <w:pStyle w:val="Corpsdetexte2"/>
        <w:rPr/>
      </w:pPr>
      <w:r>
        <w:rPr/>
        <w:t>Et,</w:t>
      </w:r>
    </w:p>
    <w:p>
      <w:pPr>
        <w:pStyle w:val="Corpsdetexte2"/>
        <w:rPr>
          <w:rFonts w:ascii="Arial" w:hAnsi="Arial" w:cs="Arial"/>
          <w:sz w:val="20"/>
        </w:rPr>
      </w:pPr>
      <w:r>
        <w:rPr>
          <w:rFonts w:cs="Arial" w:ascii="Arial" w:hAnsi="Arial"/>
          <w:sz w:val="20"/>
        </w:rPr>
      </w:r>
    </w:p>
    <w:p>
      <w:pPr>
        <w:pStyle w:val="Normal"/>
        <w:rPr/>
      </w:pPr>
      <w:r>
        <w:rPr>
          <w:rFonts w:cs="Arial" w:ascii="Arial" w:hAnsi="Arial"/>
        </w:rPr>
        <w:t>Les représentants de la Délégation Unique,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u w:val="single"/>
        </w:rPr>
      </w:pPr>
      <w:r>
        <w:rPr>
          <w:rFonts w:cs="Arial" w:ascii="Arial" w:hAnsi="Arial"/>
          <w:b/>
          <w:u w:val="single"/>
        </w:rPr>
        <w:t>Préambule :</w:t>
      </w:r>
    </w:p>
    <w:p>
      <w:pPr>
        <w:pStyle w:val="Normal"/>
        <w:rPr>
          <w:rFonts w:ascii="Arial" w:hAnsi="Arial" w:cs="Arial"/>
          <w:b/>
          <w:b/>
          <w:u w:val="single"/>
        </w:rPr>
      </w:pPr>
      <w:r>
        <w:rPr>
          <w:rFonts w:cs="Arial" w:ascii="Arial" w:hAnsi="Arial"/>
          <w:b/>
          <w:u w:val="single"/>
        </w:rPr>
      </w:r>
    </w:p>
    <w:p>
      <w:pPr>
        <w:pStyle w:val="Normal"/>
        <w:rPr>
          <w:rFonts w:ascii="Arial" w:hAnsi="Arial" w:cs="Arial"/>
        </w:rPr>
      </w:pPr>
      <w:r>
        <w:rPr>
          <w:rFonts w:cs="Arial" w:ascii="Arial" w:hAnsi="Arial"/>
        </w:rPr>
        <w:t>Au niveau de la Convention Collective, une réunion s’est tenue en janvier 2018. Un accord est intervenu ; la grille conventionnelle a augmenté au 1</w:t>
      </w:r>
      <w:r>
        <w:rPr>
          <w:rFonts w:cs="Arial" w:ascii="Arial" w:hAnsi="Arial"/>
          <w:vertAlign w:val="superscript"/>
        </w:rPr>
        <w:t>er</w:t>
      </w:r>
      <w:r>
        <w:rPr>
          <w:rFonts w:cs="Arial" w:ascii="Arial" w:hAnsi="Arial"/>
        </w:rPr>
        <w:t xml:space="preserve"> janvier 2018. Le point prime d’ancienneté a également été augmenté à cette date.</w:t>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t>De plus conformément à l’accord ISA de juillet 2017, l’entreprise a appliqué au 1</w:t>
      </w:r>
      <w:r>
        <w:rPr>
          <w:rFonts w:cs="Arial" w:ascii="Arial" w:hAnsi="Arial"/>
          <w:sz w:val="20"/>
          <w:vertAlign w:val="superscript"/>
        </w:rPr>
        <w:t>er</w:t>
      </w:r>
      <w:r>
        <w:rPr>
          <w:rFonts w:cs="Arial" w:ascii="Arial" w:hAnsi="Arial"/>
          <w:sz w:val="20"/>
        </w:rPr>
        <w:t xml:space="preserve"> janvier 2018 une augmentation générale équivalente à l’inflation 2017.</w:t>
      </w:r>
    </w:p>
    <w:p>
      <w:pPr>
        <w:pStyle w:val="TextBody"/>
        <w:jc w:val="both"/>
        <w:rPr>
          <w:rFonts w:ascii="Arial" w:hAnsi="Arial" w:cs="Arial"/>
          <w:b/>
          <w:b/>
          <w:sz w:val="20"/>
        </w:rPr>
      </w:pPr>
      <w:r>
        <w:rPr>
          <w:rFonts w:cs="Arial" w:ascii="Arial" w:hAnsi="Arial"/>
          <w:b/>
          <w:sz w:val="20"/>
        </w:rPr>
      </w:r>
    </w:p>
    <w:p>
      <w:pPr>
        <w:pStyle w:val="TextBody"/>
        <w:jc w:val="both"/>
        <w:rPr>
          <w:rFonts w:ascii="Arial" w:hAnsi="Arial" w:cs="Arial"/>
          <w:b/>
          <w:b/>
          <w:sz w:val="20"/>
        </w:rPr>
      </w:pPr>
      <w:r>
        <w:rPr>
          <w:rFonts w:cs="Arial" w:ascii="Arial" w:hAnsi="Arial"/>
          <w:b/>
          <w:sz w:val="20"/>
        </w:rPr>
      </w:r>
    </w:p>
    <w:p>
      <w:pPr>
        <w:pStyle w:val="TextBody"/>
        <w:numPr>
          <w:ilvl w:val="0"/>
          <w:numId w:val="8"/>
        </w:numPr>
        <w:jc w:val="both"/>
        <w:rPr>
          <w:rFonts w:ascii="Arial" w:hAnsi="Arial" w:cs="Arial"/>
          <w:b/>
          <w:b/>
          <w:sz w:val="20"/>
          <w:u w:val="single"/>
        </w:rPr>
      </w:pPr>
      <w:r>
        <w:rPr>
          <w:rFonts w:cs="Arial" w:ascii="Arial" w:hAnsi="Arial"/>
          <w:b/>
          <w:sz w:val="20"/>
          <w:u w:val="single"/>
        </w:rPr>
        <w:t>Les salaires</w:t>
      </w:r>
    </w:p>
    <w:p>
      <w:pPr>
        <w:pStyle w:val="TextBody"/>
        <w:ind w:left="1494" w:hanging="0"/>
        <w:jc w:val="both"/>
        <w:rPr>
          <w:rFonts w:ascii="Arial" w:hAnsi="Arial" w:cs="Arial"/>
          <w:b/>
          <w:b/>
          <w:sz w:val="20"/>
          <w:u w:val="single"/>
        </w:rPr>
      </w:pPr>
      <w:r>
        <w:rPr>
          <w:rFonts w:cs="Arial" w:ascii="Arial" w:hAnsi="Arial"/>
          <w:b/>
          <w:sz w:val="20"/>
          <w:u w:val="single"/>
        </w:rPr>
      </w:r>
    </w:p>
    <w:p>
      <w:pPr>
        <w:pStyle w:val="TextBody"/>
        <w:jc w:val="both"/>
        <w:rPr>
          <w:rFonts w:ascii="Arial" w:hAnsi="Arial" w:cs="Arial"/>
          <w:sz w:val="20"/>
          <w:u w:val="single"/>
        </w:rPr>
      </w:pPr>
      <w:r>
        <w:rPr>
          <w:rFonts w:cs="Arial" w:ascii="Arial" w:hAnsi="Arial"/>
          <w:sz w:val="20"/>
          <w:u w:val="single"/>
        </w:rPr>
        <w:t>Evolution des salaires</w:t>
      </w:r>
    </w:p>
    <w:p>
      <w:pPr>
        <w:pStyle w:val="TextBody"/>
        <w:jc w:val="both"/>
        <w:rPr>
          <w:rFonts w:ascii="Arial" w:hAnsi="Arial" w:cs="Arial"/>
          <w:b/>
          <w:b/>
          <w:sz w:val="20"/>
          <w:u w:val="single"/>
        </w:rPr>
      </w:pPr>
      <w:r>
        <w:rPr>
          <w:rFonts w:cs="Arial" w:ascii="Arial" w:hAnsi="Arial"/>
          <w:b/>
          <w:sz w:val="20"/>
          <w:u w:val="single"/>
        </w:rPr>
      </w:r>
    </w:p>
    <w:p>
      <w:pPr>
        <w:pStyle w:val="TextBody"/>
        <w:jc w:val="both"/>
        <w:rPr>
          <w:rFonts w:ascii="Arial" w:hAnsi="Arial" w:cs="Arial"/>
          <w:sz w:val="20"/>
        </w:rPr>
      </w:pPr>
      <w:r>
        <w:rPr>
          <w:rFonts w:cs="Arial" w:ascii="Arial" w:hAnsi="Arial"/>
          <w:sz w:val="20"/>
        </w:rPr>
        <w:t>Le niveau d’inflation retenu en 2017 (entre Décembre 2016 et Décembre 2017) est de 1,03%.</w:t>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t>Après négociation avec les membres de la DUP les dispositions suivantes ont été adoptées :</w:t>
      </w:r>
    </w:p>
    <w:p>
      <w:pPr>
        <w:pStyle w:val="TextBody"/>
        <w:jc w:val="both"/>
        <w:rPr>
          <w:rFonts w:ascii="Arial" w:hAnsi="Arial" w:cs="Arial"/>
          <w:sz w:val="20"/>
        </w:rPr>
      </w:pPr>
      <w:r>
        <w:rPr>
          <w:rFonts w:cs="Arial" w:ascii="Arial" w:hAnsi="Arial"/>
          <w:sz w:val="20"/>
        </w:rPr>
      </w:r>
    </w:p>
    <w:p>
      <w:pPr>
        <w:pStyle w:val="TextBody"/>
        <w:ind w:left="720" w:hanging="0"/>
        <w:jc w:val="both"/>
        <w:rPr>
          <w:rFonts w:ascii="Arial" w:hAnsi="Arial" w:cs="Arial"/>
          <w:b/>
          <w:b/>
          <w:sz w:val="20"/>
        </w:rPr>
      </w:pPr>
      <w:r>
        <w:rPr>
          <w:rFonts w:cs="Arial" w:ascii="Arial" w:hAnsi="Arial"/>
          <w:b/>
          <w:sz w:val="20"/>
        </w:rPr>
      </w:r>
    </w:p>
    <w:p>
      <w:pPr>
        <w:pStyle w:val="TextBody"/>
        <w:numPr>
          <w:ilvl w:val="0"/>
          <w:numId w:val="9"/>
        </w:numPr>
        <w:jc w:val="both"/>
        <w:rPr>
          <w:rFonts w:ascii="Arial" w:hAnsi="Arial" w:cs="Arial"/>
          <w:b/>
          <w:b/>
          <w:sz w:val="20"/>
        </w:rPr>
      </w:pPr>
      <w:r>
        <w:rPr>
          <w:rFonts w:cs="Arial" w:ascii="Arial" w:hAnsi="Arial"/>
          <w:b/>
          <w:sz w:val="20"/>
        </w:rPr>
        <w:t xml:space="preserve">Personnel statut « employé » du coefficient 1-6 jusqu’au niveau 8-24 inclus </w:t>
      </w:r>
    </w:p>
    <w:p>
      <w:pPr>
        <w:pStyle w:val="TextBody"/>
        <w:jc w:val="both"/>
        <w:rPr>
          <w:rFonts w:ascii="Arial" w:hAnsi="Arial" w:cs="Arial"/>
          <w:b/>
          <w:b/>
          <w:sz w:val="20"/>
        </w:rPr>
      </w:pPr>
      <w:r>
        <w:rPr>
          <w:rFonts w:cs="Arial" w:ascii="Arial" w:hAnsi="Arial"/>
          <w:b/>
          <w:sz w:val="20"/>
        </w:rPr>
      </w:r>
    </w:p>
    <w:p>
      <w:pPr>
        <w:pStyle w:val="TextBody"/>
        <w:jc w:val="both"/>
        <w:rPr>
          <w:rFonts w:ascii="Arial" w:hAnsi="Arial" w:cs="Arial"/>
          <w:sz w:val="20"/>
        </w:rPr>
      </w:pPr>
      <w:r>
        <w:rPr>
          <w:rFonts w:cs="Arial" w:ascii="Arial" w:hAnsi="Arial"/>
          <w:sz w:val="20"/>
        </w:rPr>
        <w:t xml:space="preserve">La Direction s’est engagée, au </w:t>
      </w:r>
      <w:r>
        <w:rPr>
          <w:rFonts w:cs="Arial" w:ascii="Arial" w:hAnsi="Arial"/>
          <w:b/>
          <w:sz w:val="20"/>
        </w:rPr>
        <w:t>1</w:t>
      </w:r>
      <w:r>
        <w:rPr>
          <w:rFonts w:cs="Arial" w:ascii="Arial" w:hAnsi="Arial"/>
          <w:b/>
          <w:sz w:val="20"/>
          <w:vertAlign w:val="superscript"/>
        </w:rPr>
        <w:t>er</w:t>
      </w:r>
      <w:r>
        <w:rPr>
          <w:rFonts w:cs="Arial" w:ascii="Arial" w:hAnsi="Arial"/>
          <w:b/>
          <w:sz w:val="20"/>
        </w:rPr>
        <w:t xml:space="preserve"> avril 2018</w:t>
      </w:r>
      <w:r>
        <w:rPr>
          <w:rFonts w:cs="Arial" w:ascii="Arial" w:hAnsi="Arial"/>
          <w:sz w:val="20"/>
        </w:rPr>
        <w:t xml:space="preserve">, sur une augmentation de 0,21 % applicable aux minima de la grille, ou au salaire de base si ce salaire est supérieur au mini de la grille. </w:t>
      </w:r>
    </w:p>
    <w:p>
      <w:pPr>
        <w:pStyle w:val="TextBody"/>
        <w:jc w:val="both"/>
        <w:rPr>
          <w:rFonts w:ascii="Arial" w:hAnsi="Arial" w:cs="Arial"/>
          <w:sz w:val="20"/>
        </w:rPr>
      </w:pPr>
      <w:r>
        <w:rPr>
          <w:rFonts w:cs="Arial" w:ascii="Arial" w:hAnsi="Arial"/>
          <w:sz w:val="20"/>
        </w:rPr>
      </w:r>
    </w:p>
    <w:p>
      <w:pPr>
        <w:pStyle w:val="TextBody"/>
        <w:jc w:val="both"/>
        <w:rPr/>
      </w:pPr>
      <w:r>
        <w:rPr>
          <w:rFonts w:cs="Arial" w:ascii="Arial" w:hAnsi="Arial"/>
          <w:sz w:val="20"/>
        </w:rPr>
        <w:t>Cette nouvelle augmentation représente 1,24 % par rapport aux salaires de juillet 2017.</w:t>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eastAsia="Arial" w:cs="Arial"/>
          <w:sz w:val="20"/>
        </w:rPr>
      </w:pPr>
      <w:r>
        <w:rPr>
          <w:rFonts w:eastAsia="Arial" w:cs="Arial" w:ascii="Arial" w:hAnsi="Arial"/>
          <w:sz w:val="20"/>
        </w:rPr>
        <w:t xml:space="preserve"> </w:t>
      </w:r>
    </w:p>
    <w:tbl>
      <w:tblPr>
        <w:tblW w:w="10763" w:type="dxa"/>
        <w:jc w:val="left"/>
        <w:tblInd w:w="7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880"/>
        <w:gridCol w:w="763"/>
        <w:gridCol w:w="3340"/>
        <w:gridCol w:w="800"/>
        <w:gridCol w:w="1240"/>
        <w:gridCol w:w="1240"/>
        <w:gridCol w:w="1240"/>
        <w:gridCol w:w="1260"/>
      </w:tblGrid>
      <w:tr>
        <w:trPr>
          <w:trHeight w:val="732" w:hRule="atLeast"/>
        </w:trPr>
        <w:tc>
          <w:tcPr>
            <w:tcW w:w="880" w:type="dxa"/>
            <w:tcBorders>
              <w:top w:val="single" w:sz="8" w:space="0" w:color="000000"/>
              <w:left w:val="single" w:sz="8" w:space="0" w:color="000000"/>
              <w:bottom w:val="single" w:sz="8" w:space="0" w:color="000000"/>
              <w:insideH w:val="single" w:sz="8" w:space="0" w:color="000000"/>
            </w:tcBorders>
            <w:shd w:fill="C0C0C0" w:val="clear"/>
            <w:tcMar>
              <w:left w:w="60" w:type="dxa"/>
            </w:tcMar>
            <w:vAlign w:val="center"/>
          </w:tcPr>
          <w:p>
            <w:pPr>
              <w:pStyle w:val="Normal"/>
              <w:jc w:val="center"/>
              <w:rPr>
                <w:rFonts w:ascii="Book Antiqua" w:hAnsi="Book Antiqua" w:cs="Arial"/>
                <w:sz w:val="16"/>
                <w:szCs w:val="16"/>
              </w:rPr>
            </w:pPr>
            <w:r>
              <w:rPr>
                <w:rFonts w:cs="Arial" w:ascii="Book Antiqua" w:hAnsi="Book Antiqua"/>
                <w:sz w:val="16"/>
                <w:szCs w:val="16"/>
              </w:rPr>
              <w:t>CATEG</w:t>
            </w:r>
          </w:p>
        </w:tc>
        <w:tc>
          <w:tcPr>
            <w:tcW w:w="763" w:type="dxa"/>
            <w:tcBorders>
              <w:top w:val="single" w:sz="8" w:space="0" w:color="000000"/>
              <w:left w:val="single" w:sz="4" w:space="0" w:color="000000"/>
              <w:bottom w:val="single" w:sz="8" w:space="0" w:color="000000"/>
              <w:insideH w:val="single" w:sz="8" w:space="0" w:color="000000"/>
            </w:tcBorders>
            <w:shd w:fill="C0C0C0" w:val="clear"/>
            <w:tcMar>
              <w:left w:w="65" w:type="dxa"/>
            </w:tcMar>
            <w:vAlign w:val="center"/>
          </w:tcPr>
          <w:p>
            <w:pPr>
              <w:pStyle w:val="Normal"/>
              <w:jc w:val="center"/>
              <w:rPr>
                <w:rFonts w:ascii="Book Antiqua" w:hAnsi="Book Antiqua" w:cs="Arial"/>
                <w:sz w:val="16"/>
                <w:szCs w:val="16"/>
              </w:rPr>
            </w:pPr>
            <w:r>
              <w:rPr>
                <w:rFonts w:cs="Arial" w:ascii="Book Antiqua" w:hAnsi="Book Antiqua"/>
                <w:sz w:val="16"/>
                <w:szCs w:val="16"/>
              </w:rPr>
              <w:t>OBS.</w:t>
            </w:r>
          </w:p>
        </w:tc>
        <w:tc>
          <w:tcPr>
            <w:tcW w:w="3340" w:type="dxa"/>
            <w:tcBorders>
              <w:top w:val="single" w:sz="8" w:space="0" w:color="000000"/>
              <w:left w:val="single" w:sz="4" w:space="0" w:color="000000"/>
              <w:bottom w:val="single" w:sz="8" w:space="0" w:color="000000"/>
              <w:insideH w:val="single" w:sz="8" w:space="0" w:color="000000"/>
            </w:tcBorders>
            <w:shd w:fill="auto" w:val="clear"/>
            <w:tcMar>
              <w:left w:w="65" w:type="dxa"/>
            </w:tcMar>
            <w:vAlign w:val="center"/>
          </w:tcPr>
          <w:p>
            <w:pPr>
              <w:pStyle w:val="Normal"/>
              <w:jc w:val="center"/>
              <w:rPr>
                <w:rFonts w:ascii="Book Antiqua" w:hAnsi="Book Antiqua" w:cs="Arial"/>
                <w:sz w:val="16"/>
                <w:szCs w:val="16"/>
              </w:rPr>
            </w:pPr>
            <w:r>
              <w:rPr>
                <w:rFonts w:cs="Arial" w:ascii="Book Antiqua" w:hAnsi="Book Antiqua"/>
                <w:sz w:val="16"/>
                <w:szCs w:val="16"/>
              </w:rPr>
              <w:t>QUALIFICATION</w:t>
            </w:r>
          </w:p>
        </w:tc>
        <w:tc>
          <w:tcPr>
            <w:tcW w:w="800" w:type="dxa"/>
            <w:tcBorders>
              <w:top w:val="single" w:sz="8" w:space="0" w:color="000000"/>
              <w:left w:val="single" w:sz="4" w:space="0" w:color="000000"/>
              <w:bottom w:val="single" w:sz="8" w:space="0" w:color="000000"/>
              <w:insideH w:val="single" w:sz="8" w:space="0" w:color="000000"/>
            </w:tcBorders>
            <w:shd w:fill="auto" w:val="clear"/>
            <w:tcMar>
              <w:left w:w="65" w:type="dxa"/>
            </w:tcMar>
            <w:vAlign w:val="center"/>
          </w:tcPr>
          <w:p>
            <w:pPr>
              <w:pStyle w:val="Normal"/>
              <w:jc w:val="center"/>
              <w:rPr>
                <w:rFonts w:ascii="Book Antiqua" w:hAnsi="Book Antiqua" w:cs="Arial"/>
                <w:sz w:val="16"/>
                <w:szCs w:val="16"/>
              </w:rPr>
            </w:pPr>
            <w:r>
              <w:rPr>
                <w:rFonts w:cs="Arial" w:ascii="Book Antiqua" w:hAnsi="Book Antiqua"/>
                <w:sz w:val="16"/>
                <w:szCs w:val="16"/>
              </w:rPr>
              <w:t>COEFF</w:t>
            </w:r>
          </w:p>
        </w:tc>
        <w:tc>
          <w:tcPr>
            <w:tcW w:w="1240" w:type="dxa"/>
            <w:tcBorders>
              <w:top w:val="single" w:sz="8" w:space="0" w:color="000000"/>
              <w:left w:val="single" w:sz="4" w:space="0" w:color="000000"/>
              <w:bottom w:val="single" w:sz="8" w:space="0" w:color="000000"/>
              <w:insideH w:val="single" w:sz="8" w:space="0" w:color="000000"/>
            </w:tcBorders>
            <w:shd w:fill="FFFFCC" w:val="clear"/>
            <w:tcMar>
              <w:left w:w="65" w:type="dxa"/>
            </w:tcMar>
            <w:vAlign w:val="center"/>
          </w:tcPr>
          <w:p>
            <w:pPr>
              <w:pStyle w:val="Normal"/>
              <w:jc w:val="center"/>
              <w:rPr>
                <w:rFonts w:ascii="Book Antiqua" w:hAnsi="Book Antiqua" w:cs="Arial"/>
                <w:b/>
                <w:b/>
                <w:bCs/>
                <w:i/>
                <w:i/>
                <w:iCs/>
                <w:sz w:val="16"/>
                <w:szCs w:val="16"/>
              </w:rPr>
            </w:pPr>
            <w:r>
              <w:rPr>
                <w:rFonts w:cs="Arial" w:ascii="Book Antiqua" w:hAnsi="Book Antiqua"/>
                <w:b/>
                <w:bCs/>
                <w:i/>
                <w:iCs/>
                <w:sz w:val="16"/>
                <w:szCs w:val="16"/>
              </w:rPr>
              <w:t>Sal.horaire convention collective au 01/01/2018</w:t>
            </w:r>
          </w:p>
        </w:tc>
        <w:tc>
          <w:tcPr>
            <w:tcW w:w="1240" w:type="dxa"/>
            <w:tcBorders>
              <w:top w:val="single" w:sz="8" w:space="0" w:color="000000"/>
              <w:left w:val="single" w:sz="4" w:space="0" w:color="000000"/>
              <w:bottom w:val="single" w:sz="8" w:space="0" w:color="000000"/>
              <w:insideH w:val="single" w:sz="8" w:space="0" w:color="000000"/>
            </w:tcBorders>
            <w:shd w:fill="FFFFFF" w:val="clear"/>
            <w:tcMar>
              <w:left w:w="65" w:type="dxa"/>
            </w:tcMar>
            <w:vAlign w:val="center"/>
          </w:tcPr>
          <w:p>
            <w:pPr>
              <w:pStyle w:val="Normal"/>
              <w:jc w:val="center"/>
              <w:rPr>
                <w:rFonts w:ascii="Book Antiqua" w:hAnsi="Book Antiqua" w:cs="Arial"/>
                <w:b/>
                <w:b/>
                <w:bCs/>
                <w:sz w:val="16"/>
                <w:szCs w:val="16"/>
              </w:rPr>
            </w:pPr>
            <w:r>
              <w:rPr>
                <w:rFonts w:cs="Arial" w:ascii="Book Antiqua" w:hAnsi="Book Antiqua"/>
                <w:b/>
                <w:bCs/>
                <w:sz w:val="16"/>
                <w:szCs w:val="16"/>
              </w:rPr>
              <w:t xml:space="preserve">Augmentation SMIC au </w:t>
            </w:r>
            <w:r>
              <w:rPr>
                <w:rFonts w:cs="Arial" w:ascii="Book Antiqua" w:hAnsi="Book Antiqua"/>
                <w:b/>
                <w:bCs/>
                <w:sz w:val="16"/>
                <w:szCs w:val="16"/>
                <w:u w:val="single"/>
              </w:rPr>
              <w:t>01/01/2018</w:t>
            </w:r>
          </w:p>
        </w:tc>
        <w:tc>
          <w:tcPr>
            <w:tcW w:w="1240" w:type="dxa"/>
            <w:tcBorders>
              <w:top w:val="single" w:sz="8" w:space="0" w:color="000000"/>
              <w:left w:val="single" w:sz="8" w:space="0" w:color="000000"/>
              <w:bottom w:val="single" w:sz="8" w:space="0" w:color="000000"/>
              <w:insideH w:val="single" w:sz="8" w:space="0" w:color="000000"/>
            </w:tcBorders>
            <w:shd w:fill="FFFF99" w:val="clear"/>
            <w:tcMar>
              <w:left w:w="60" w:type="dxa"/>
            </w:tcMar>
            <w:vAlign w:val="center"/>
          </w:tcPr>
          <w:p>
            <w:pPr>
              <w:pStyle w:val="Normal"/>
              <w:jc w:val="center"/>
              <w:rPr>
                <w:rFonts w:ascii="Book Antiqua" w:hAnsi="Book Antiqua" w:cs="Arial"/>
                <w:b/>
                <w:b/>
                <w:bCs/>
                <w:sz w:val="16"/>
                <w:szCs w:val="16"/>
              </w:rPr>
            </w:pPr>
            <w:r>
              <w:rPr>
                <w:rFonts w:cs="Arial" w:ascii="Book Antiqua" w:hAnsi="Book Antiqua"/>
                <w:b/>
                <w:bCs/>
                <w:sz w:val="16"/>
                <w:szCs w:val="16"/>
              </w:rPr>
              <w:t xml:space="preserve">Augmentation ISA au </w:t>
            </w:r>
            <w:r>
              <w:rPr>
                <w:rFonts w:cs="Arial" w:ascii="Book Antiqua" w:hAnsi="Book Antiqua"/>
                <w:b/>
                <w:bCs/>
                <w:sz w:val="16"/>
                <w:szCs w:val="16"/>
                <w:u w:val="single"/>
              </w:rPr>
              <w:t>01/01/2018</w:t>
            </w:r>
          </w:p>
        </w:tc>
        <w:tc>
          <w:tcPr>
            <w:tcW w:w="12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99" w:val="clear"/>
            <w:tcMar>
              <w:left w:w="60" w:type="dxa"/>
            </w:tcMar>
            <w:vAlign w:val="center"/>
          </w:tcPr>
          <w:p>
            <w:pPr>
              <w:pStyle w:val="Normal"/>
              <w:jc w:val="center"/>
              <w:rPr>
                <w:rFonts w:ascii="Book Antiqua" w:hAnsi="Book Antiqua" w:cs="Arial"/>
                <w:b/>
                <w:b/>
                <w:bCs/>
                <w:sz w:val="16"/>
                <w:szCs w:val="16"/>
              </w:rPr>
            </w:pPr>
            <w:r>
              <w:rPr>
                <w:rFonts w:cs="Arial" w:ascii="Book Antiqua" w:hAnsi="Book Antiqua"/>
                <w:b/>
                <w:bCs/>
                <w:sz w:val="16"/>
                <w:szCs w:val="16"/>
              </w:rPr>
              <w:t xml:space="preserve">Augmentation ISA au </w:t>
            </w:r>
            <w:r>
              <w:rPr>
                <w:rFonts w:cs="Arial" w:ascii="Book Antiqua" w:hAnsi="Book Antiqua"/>
                <w:b/>
                <w:bCs/>
                <w:sz w:val="16"/>
                <w:szCs w:val="16"/>
                <w:u w:val="single"/>
              </w:rPr>
              <w:t>01/04/2018</w:t>
            </w:r>
          </w:p>
        </w:tc>
      </w:tr>
      <w:tr>
        <w:trPr>
          <w:trHeight w:val="288"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4"/>
                <w:szCs w:val="14"/>
              </w:rPr>
            </w:pPr>
            <w:r>
              <w:rPr>
                <w:rFonts w:cs="Arial" w:ascii="Book Antiqua" w:hAnsi="Book Antiqua"/>
                <w:sz w:val="14"/>
                <w:szCs w:val="14"/>
              </w:rPr>
              <w:t> </w:t>
            </w:r>
          </w:p>
        </w:tc>
        <w:tc>
          <w:tcPr>
            <w:tcW w:w="763" w:type="dxa"/>
            <w:tcBorders>
              <w:left w:val="single" w:sz="4" w:space="0" w:color="000000"/>
            </w:tcBorders>
            <w:shd w:fill="C0C0C0" w:val="clear"/>
            <w:tcMar>
              <w:left w:w="65" w:type="dxa"/>
            </w:tcMar>
            <w:vAlign w:val="bottom"/>
          </w:tcPr>
          <w:p>
            <w:pPr>
              <w:pStyle w:val="Normal"/>
              <w:rPr>
                <w:rFonts w:ascii="Book Antiqua" w:hAnsi="Book Antiqua" w:cs="Arial"/>
              </w:rPr>
            </w:pPr>
            <w:r>
              <w:rPr>
                <w:rFonts w:cs="Arial" w:ascii="Book Antiqua" w:hAnsi="Book Antiqua"/>
              </w:rPr>
              <w:t> </w:t>
            </w:r>
          </w:p>
        </w:tc>
        <w:tc>
          <w:tcPr>
            <w:tcW w:w="3340" w:type="dxa"/>
            <w:tcBorders>
              <w:top w:val="double" w:sz="6" w:space="0" w:color="000000"/>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SMIC</w:t>
            </w:r>
          </w:p>
        </w:tc>
        <w:tc>
          <w:tcPr>
            <w:tcW w:w="800" w:type="dxa"/>
            <w:tcBorders>
              <w:top w:val="double" w:sz="6" w:space="0" w:color="000000"/>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top w:val="double" w:sz="6" w:space="0" w:color="000000"/>
              <w:left w:val="single" w:sz="4" w:space="0" w:color="000000"/>
            </w:tcBorders>
            <w:shd w:fill="FFFFCC" w:val="clear"/>
            <w:tcMar>
              <w:left w:w="65" w:type="dxa"/>
            </w:tcMar>
            <w:vAlign w:val="bottom"/>
          </w:tcPr>
          <w:p>
            <w:pPr>
              <w:pStyle w:val="Normal"/>
              <w:rPr>
                <w:rFonts w:ascii="Book Antiqua" w:hAnsi="Book Antiqua"/>
                <w:b/>
                <w:b/>
                <w:bCs/>
                <w:i/>
                <w:i/>
                <w:iCs/>
              </w:rPr>
            </w:pPr>
            <w:r>
              <w:rPr>
                <w:rFonts w:eastAsia="Book Antiqua" w:cs="Book Antiqua" w:ascii="Book Antiqua" w:hAnsi="Book Antiqua"/>
                <w:b/>
                <w:bCs/>
                <w:i/>
                <w:iCs/>
              </w:rPr>
              <w:t xml:space="preserve">           </w:t>
            </w:r>
            <w:r>
              <w:rPr>
                <w:rFonts w:cs="Arial" w:ascii="Book Antiqua" w:hAnsi="Book Antiqua"/>
                <w:b/>
                <w:bCs/>
                <w:i/>
                <w:iCs/>
              </w:rPr>
              <w:t xml:space="preserve">9,88 € </w:t>
            </w:r>
          </w:p>
        </w:tc>
        <w:tc>
          <w:tcPr>
            <w:tcW w:w="1240" w:type="dxa"/>
            <w:tcBorders>
              <w:top w:val="double" w:sz="6" w:space="0" w:color="000000"/>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9,88 € </w:t>
            </w:r>
          </w:p>
        </w:tc>
        <w:tc>
          <w:tcPr>
            <w:tcW w:w="1240" w:type="dxa"/>
            <w:tcBorders>
              <w:top w:val="double" w:sz="6" w:space="0" w:color="000000"/>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9,89 € </w:t>
            </w:r>
          </w:p>
        </w:tc>
        <w:tc>
          <w:tcPr>
            <w:tcW w:w="1260" w:type="dxa"/>
            <w:tcBorders>
              <w:top w:val="double" w:sz="6" w:space="0" w:color="000000"/>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9,89 €</w:t>
            </w:r>
          </w:p>
        </w:tc>
      </w:tr>
      <w:tr>
        <w:trPr>
          <w:trHeight w:val="288"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4"/>
                <w:szCs w:val="14"/>
              </w:rPr>
            </w:pPr>
            <w:r>
              <w:rPr>
                <w:rFonts w:cs="Arial" w:ascii="Book Antiqua" w:hAnsi="Book Antiqua"/>
                <w:sz w:val="14"/>
                <w:szCs w:val="14"/>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rPr>
            </w:pPr>
            <w:r>
              <w:rPr>
                <w:rFonts w:cs="Arial" w:ascii="Book Antiqua" w:hAnsi="Book Antiqua"/>
                <w:i/>
                <w:iCs/>
              </w:rPr>
              <w:t> </w:t>
            </w:r>
          </w:p>
        </w:tc>
        <w:tc>
          <w:tcPr>
            <w:tcW w:w="3340" w:type="dxa"/>
            <w:tcBorders>
              <w:left w:val="single" w:sz="4" w:space="0" w:color="000000"/>
              <w:bottom w:val="double" w:sz="6" w:space="0" w:color="000000"/>
              <w:insideH w:val="double" w:sz="6"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 </w:t>
            </w:r>
          </w:p>
        </w:tc>
        <w:tc>
          <w:tcPr>
            <w:tcW w:w="800" w:type="dxa"/>
            <w:tcBorders>
              <w:left w:val="single" w:sz="4" w:space="0" w:color="000000"/>
              <w:bottom w:val="double" w:sz="6" w:space="0" w:color="000000"/>
              <w:insideH w:val="double" w:sz="6"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bottom w:val="double" w:sz="6" w:space="0" w:color="000000"/>
              <w:insideH w:val="double" w:sz="6"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bottom w:val="double" w:sz="6" w:space="0" w:color="000000"/>
              <w:insideH w:val="double" w:sz="6"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bottom w:val="double" w:sz="6" w:space="0" w:color="000000"/>
              <w:insideH w:val="double" w:sz="6"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bottom w:val="double" w:sz="6" w:space="0" w:color="000000"/>
              <w:right w:val="single" w:sz="8" w:space="0" w:color="000000"/>
              <w:insideH w:val="double" w:sz="6"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4"/>
                <w:szCs w:val="14"/>
              </w:rPr>
            </w:pPr>
            <w:r>
              <w:rPr>
                <w:rFonts w:cs="Arial" w:ascii="Book Antiqua" w:hAnsi="Book Antiqua"/>
                <w:sz w:val="14"/>
                <w:szCs w:val="14"/>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100</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u w:val="single"/>
              </w:rPr>
            </w:pPr>
            <w:r>
              <w:rPr>
                <w:rFonts w:cs="Arial" w:ascii="Book Antiqua" w:hAnsi="Book Antiqua"/>
                <w:u w:val="single"/>
              </w:rPr>
              <w:t>Niveau 1</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b/>
                <w:b/>
                <w:bCs/>
                <w:i/>
                <w:i/>
                <w:iCs/>
              </w:rPr>
            </w:pPr>
            <w:r>
              <w:rPr>
                <w:rFonts w:eastAsia="Book Antiqua" w:cs="Book Antiqua" w:ascii="Book Antiqua" w:hAnsi="Book Antiqua"/>
                <w:b/>
                <w:bCs/>
                <w:i/>
                <w:iCs/>
              </w:rPr>
              <w:t xml:space="preserve">           </w:t>
            </w:r>
            <w:r>
              <w:rPr>
                <w:rFonts w:cs="Arial" w:ascii="Book Antiqua" w:hAnsi="Book Antiqua"/>
                <w:b/>
                <w:bCs/>
                <w:i/>
                <w:iCs/>
              </w:rPr>
              <w:t xml:space="preserve">9,89 €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ON1ET2</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Ouvrier/Employé non spécialisé</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1-6</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9,89 €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9,89 €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9.89 €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 </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115</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u w:val="single"/>
              </w:rPr>
            </w:pPr>
            <w:r>
              <w:rPr>
                <w:rFonts w:cs="Arial" w:ascii="Book Antiqua" w:hAnsi="Book Antiqua"/>
                <w:u w:val="single"/>
              </w:rPr>
              <w:t>Niveau 2</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b/>
                <w:b/>
                <w:bCs/>
                <w:i/>
                <w:i/>
                <w:iCs/>
              </w:rPr>
            </w:pPr>
            <w:r>
              <w:rPr>
                <w:rFonts w:eastAsia="Book Antiqua" w:cs="Book Antiqua" w:ascii="Book Antiqua" w:hAnsi="Book Antiqua"/>
                <w:b/>
                <w:bCs/>
                <w:i/>
                <w:iCs/>
              </w:rPr>
              <w:t xml:space="preserve">           </w:t>
            </w:r>
            <w:r>
              <w:rPr>
                <w:rFonts w:cs="Arial" w:ascii="Book Antiqua" w:hAnsi="Book Antiqua"/>
                <w:b/>
                <w:bCs/>
                <w:i/>
                <w:iCs/>
              </w:rPr>
              <w:t xml:space="preserve">9,99 €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ON1ET2</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Ouvrier/Employé spécialisé éch 1</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2-7</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9,99 €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9,99 €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9.99 €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 </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135</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u w:val="single"/>
              </w:rPr>
            </w:pPr>
            <w:r>
              <w:rPr>
                <w:rFonts w:cs="Arial" w:ascii="Book Antiqua" w:hAnsi="Book Antiqua"/>
                <w:u w:val="single"/>
              </w:rPr>
              <w:t>Niveau 3</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b/>
                <w:b/>
                <w:bCs/>
                <w:i/>
                <w:i/>
                <w:iCs/>
              </w:rPr>
            </w:pPr>
            <w:r>
              <w:rPr>
                <w:rFonts w:eastAsia="Book Antiqua" w:cs="Book Antiqua" w:ascii="Book Antiqua" w:hAnsi="Book Antiqua"/>
                <w:b/>
                <w:bCs/>
                <w:i/>
                <w:iCs/>
              </w:rPr>
              <w:t xml:space="preserve">         </w:t>
            </w:r>
            <w:r>
              <w:rPr>
                <w:rFonts w:cs="Arial" w:ascii="Book Antiqua" w:hAnsi="Book Antiqua"/>
                <w:b/>
                <w:bCs/>
                <w:i/>
                <w:iCs/>
              </w:rPr>
              <w:t xml:space="preserve">10,09 €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ON1ET2</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Ouvrier/Employé spécialisé éch 2</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3-8</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10,09 €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10,09 €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10.09 €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ON1ET2</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Ouvrier/Employé spécialisé éch 2</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3-9</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10,12 €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10,22 €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10.25 €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ON1ET2</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Ouvrier/Employé spécialisé éch 2</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3-10</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10,17 €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10,27 €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10.30 €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 </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145</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u w:val="single"/>
              </w:rPr>
            </w:pPr>
            <w:r>
              <w:rPr>
                <w:rFonts w:cs="Arial" w:ascii="Book Antiqua" w:hAnsi="Book Antiqua"/>
                <w:u w:val="single"/>
              </w:rPr>
              <w:t>Niveau 4</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b/>
                <w:b/>
                <w:bCs/>
                <w:i/>
                <w:i/>
                <w:iCs/>
              </w:rPr>
            </w:pPr>
            <w:r>
              <w:rPr>
                <w:rFonts w:eastAsia="Book Antiqua" w:cs="Book Antiqua" w:ascii="Book Antiqua" w:hAnsi="Book Antiqua"/>
                <w:b/>
                <w:bCs/>
                <w:i/>
                <w:iCs/>
              </w:rPr>
              <w:t xml:space="preserve">         </w:t>
            </w:r>
            <w:r>
              <w:rPr>
                <w:rFonts w:cs="Arial" w:ascii="Book Antiqua" w:hAnsi="Book Antiqua"/>
                <w:b/>
                <w:bCs/>
                <w:i/>
                <w:iCs/>
              </w:rPr>
              <w:t xml:space="preserve">10,19 €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1NIV03</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 qualifié/Chef Equipe éch 1</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4-11</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10,27 €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10,38 €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10.40 €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1NIV03</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 qualifié/Chef Equipe éch 1</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4-12</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10,36 €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10,47 €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10.49 €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1NIV03</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 qualifié/Chef Equipe éch 1</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4-13</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10,45 €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10,56 €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10.58 €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 </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160</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u w:val="single"/>
              </w:rPr>
            </w:pPr>
            <w:r>
              <w:rPr>
                <w:rFonts w:cs="Arial" w:ascii="Book Antiqua" w:hAnsi="Book Antiqua"/>
                <w:u w:val="single"/>
              </w:rPr>
              <w:t>Niveau 5</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b/>
                <w:b/>
                <w:bCs/>
                <w:i/>
                <w:i/>
                <w:iCs/>
              </w:rPr>
            </w:pPr>
            <w:r>
              <w:rPr>
                <w:rFonts w:eastAsia="Book Antiqua" w:cs="Book Antiqua" w:ascii="Book Antiqua" w:hAnsi="Book Antiqua"/>
                <w:b/>
                <w:bCs/>
                <w:i/>
                <w:iCs/>
              </w:rPr>
              <w:t xml:space="preserve">         </w:t>
            </w:r>
            <w:r>
              <w:rPr>
                <w:rFonts w:cs="Arial" w:ascii="Book Antiqua" w:hAnsi="Book Antiqua"/>
                <w:b/>
                <w:bCs/>
                <w:i/>
                <w:iCs/>
              </w:rPr>
              <w:t xml:space="preserve">10,29 €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1NIV03</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 qualifié/Chef Equipe éch 2</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5-14</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10,56 €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10,67 €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10.69 €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1NIV03</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 qualifié/Chef Equipe éch 2</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5-15</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10,82 €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10,93 €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10.95 €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1NIV03</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 qualifié/Chef Equipe éch 2</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5-16</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10,96 €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11,07 €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11.10 €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 </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180</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u w:val="single"/>
              </w:rPr>
            </w:pPr>
            <w:r>
              <w:rPr>
                <w:rFonts w:cs="Arial" w:ascii="Book Antiqua" w:hAnsi="Book Antiqua"/>
                <w:u w:val="single"/>
              </w:rPr>
              <w:t>Niveau 6</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b/>
                <w:b/>
                <w:bCs/>
                <w:i/>
                <w:i/>
                <w:iCs/>
              </w:rPr>
            </w:pPr>
            <w:r>
              <w:rPr>
                <w:rFonts w:eastAsia="Book Antiqua" w:cs="Book Antiqua" w:ascii="Book Antiqua" w:hAnsi="Book Antiqua"/>
                <w:b/>
                <w:bCs/>
                <w:i/>
                <w:iCs/>
              </w:rPr>
              <w:t xml:space="preserve">         </w:t>
            </w:r>
            <w:r>
              <w:rPr>
                <w:rFonts w:cs="Arial" w:ascii="Book Antiqua" w:hAnsi="Book Antiqua"/>
                <w:b/>
                <w:bCs/>
                <w:i/>
                <w:iCs/>
              </w:rPr>
              <w:t xml:space="preserve">10,40 €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1NIV03</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 qualifié/Chef Equipe éch 3</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6-17</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11,11 €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11,22 €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11.25 €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1NIV03</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 qualifié/Chef Equipe éch 3</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6-18</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11,26 €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11,38 €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11.40 €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1NIV03</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Ouvrier qualifié/Chef Equipe éch 3</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6-19</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11,41 €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11,53 €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11.55 €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 </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200</w:t>
            </w:r>
          </w:p>
        </w:tc>
        <w:tc>
          <w:tcPr>
            <w:tcW w:w="3340" w:type="dxa"/>
            <w:tcBorders>
              <w:left w:val="single" w:sz="4" w:space="0" w:color="000000"/>
            </w:tcBorders>
            <w:shd w:fill="auto" w:val="clear"/>
            <w:tcMar>
              <w:left w:w="65" w:type="dxa"/>
            </w:tcMar>
            <w:vAlign w:val="bottom"/>
          </w:tcPr>
          <w:p>
            <w:pPr>
              <w:pStyle w:val="Normal"/>
              <w:rPr/>
            </w:pPr>
            <w:r>
              <w:rPr>
                <w:rFonts w:cs="Arial" w:ascii="Book Antiqua" w:hAnsi="Book Antiqua"/>
                <w:u w:val="single"/>
              </w:rPr>
              <w:t>Niveau 7</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b/>
                <w:b/>
                <w:bCs/>
                <w:i/>
                <w:i/>
                <w:iCs/>
              </w:rPr>
            </w:pPr>
            <w:r>
              <w:rPr>
                <w:rFonts w:eastAsia="Book Antiqua" w:cs="Book Antiqua" w:ascii="Book Antiqua" w:hAnsi="Book Antiqua"/>
                <w:b/>
                <w:bCs/>
                <w:i/>
                <w:iCs/>
              </w:rPr>
              <w:t xml:space="preserve">         </w:t>
            </w:r>
            <w:r>
              <w:rPr>
                <w:rFonts w:cs="Arial" w:ascii="Book Antiqua" w:hAnsi="Book Antiqua"/>
                <w:b/>
                <w:bCs/>
                <w:i/>
                <w:iCs/>
              </w:rPr>
              <w:t xml:space="preserve">10,77 €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2TECMA</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Technicien/Chef Equipe éch 1</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7-20</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11,55 €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11,67 €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11.69 €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2TECMA</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Technicien/Chef Equipe éch 1</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7-21</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11,69 €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11,81 €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11.83 €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2TECMA</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Technicien/Chef Equipe éch 1</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7-22</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11,85 €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11,97 €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12.00 €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 </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230</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u w:val="single"/>
              </w:rPr>
            </w:pPr>
            <w:r>
              <w:rPr>
                <w:rFonts w:cs="Arial" w:ascii="Book Antiqua" w:hAnsi="Book Antiqua"/>
                <w:u w:val="single"/>
              </w:rPr>
              <w:t>Niveau 8</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tcBorders>
            <w:shd w:fill="FFFFCC" w:val="clear"/>
            <w:tcMar>
              <w:left w:w="65" w:type="dxa"/>
            </w:tcMar>
            <w:vAlign w:val="bottom"/>
          </w:tcPr>
          <w:p>
            <w:pPr>
              <w:pStyle w:val="Normal"/>
              <w:rPr>
                <w:rFonts w:ascii="Book Antiqua" w:hAnsi="Book Antiqua"/>
                <w:b/>
                <w:b/>
                <w:bCs/>
                <w:i/>
                <w:i/>
                <w:iCs/>
              </w:rPr>
            </w:pPr>
            <w:r>
              <w:rPr>
                <w:rFonts w:eastAsia="Book Antiqua" w:cs="Book Antiqua" w:ascii="Book Antiqua" w:hAnsi="Book Antiqua"/>
                <w:b/>
                <w:bCs/>
                <w:i/>
                <w:iCs/>
              </w:rPr>
              <w:t xml:space="preserve">         </w:t>
            </w:r>
            <w:r>
              <w:rPr>
                <w:rFonts w:cs="Arial" w:ascii="Book Antiqua" w:hAnsi="Book Antiqua"/>
                <w:b/>
                <w:bCs/>
                <w:i/>
                <w:iCs/>
              </w:rPr>
              <w:t xml:space="preserve">11,34 € </w:t>
            </w:r>
          </w:p>
        </w:tc>
        <w:tc>
          <w:tcPr>
            <w:tcW w:w="1240" w:type="dxa"/>
            <w:tcBorders>
              <w:left w:val="single" w:sz="4"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snapToGrid w:val="false"/>
              <w:jc w:val="center"/>
              <w:rPr>
                <w:rFonts w:ascii="Book Antiqua" w:hAnsi="Book Antiqua" w:cs="Arial"/>
                <w:b/>
                <w:b/>
                <w:bCs/>
              </w:rPr>
            </w:pPr>
            <w:r>
              <w:rPr>
                <w:rFonts w:cs="Arial" w:ascii="Book Antiqua" w:hAnsi="Book Antiqua"/>
                <w:b/>
                <w:bCs/>
              </w:rPr>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2TECMA</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Technicien/Chef Equipe éch 2</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8-23</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12,03 €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12,15 €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12.18 €</w:t>
            </w:r>
          </w:p>
        </w:tc>
      </w:tr>
      <w:tr>
        <w:trPr>
          <w:trHeight w:val="276" w:hRule="atLeast"/>
        </w:trPr>
        <w:tc>
          <w:tcPr>
            <w:tcW w:w="880" w:type="dxa"/>
            <w:tcBorders>
              <w:left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2TECMA</w:t>
            </w:r>
          </w:p>
        </w:tc>
        <w:tc>
          <w:tcPr>
            <w:tcW w:w="763" w:type="dxa"/>
            <w:tcBorders>
              <w:left w:val="single" w:sz="4" w:space="0" w:color="000000"/>
            </w:tcBorders>
            <w:shd w:fill="C0C0C0" w:val="clear"/>
            <w:tcMar>
              <w:left w:w="65" w:type="dxa"/>
            </w:tcMar>
            <w:vAlign w:val="bottom"/>
          </w:tcPr>
          <w:p>
            <w:pPr>
              <w:pStyle w:val="Normal"/>
              <w:jc w:val="center"/>
              <w:rPr>
                <w:rFonts w:ascii="Book Antiqua" w:hAnsi="Book Antiqua" w:cs="Arial"/>
                <w:i/>
                <w:i/>
                <w:iCs/>
                <w:sz w:val="16"/>
                <w:szCs w:val="16"/>
              </w:rPr>
            </w:pPr>
            <w:r>
              <w:rPr>
                <w:rFonts w:cs="Arial" w:ascii="Book Antiqua" w:hAnsi="Book Antiqua"/>
                <w:i/>
                <w:iCs/>
                <w:sz w:val="16"/>
                <w:szCs w:val="16"/>
              </w:rPr>
              <w:t> </w:t>
            </w:r>
          </w:p>
        </w:tc>
        <w:tc>
          <w:tcPr>
            <w:tcW w:w="3340" w:type="dxa"/>
            <w:tcBorders>
              <w:left w:val="single" w:sz="4"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Technicien/Chef Equipe éch 2</w:t>
            </w:r>
          </w:p>
        </w:tc>
        <w:tc>
          <w:tcPr>
            <w:tcW w:w="800" w:type="dxa"/>
            <w:tcBorders>
              <w:left w:val="single" w:sz="4"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8-24</w:t>
            </w:r>
          </w:p>
        </w:tc>
        <w:tc>
          <w:tcPr>
            <w:tcW w:w="1240" w:type="dxa"/>
            <w:tcBorders>
              <w:left w:val="single" w:sz="4"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tcBorders>
            <w:shd w:fill="FFFFFF" w:val="clear"/>
            <w:tcMar>
              <w:left w:w="65"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12,52 € </w:t>
            </w:r>
          </w:p>
        </w:tc>
        <w:tc>
          <w:tcPr>
            <w:tcW w:w="1240" w:type="dxa"/>
            <w:tcBorders>
              <w:left w:val="single" w:sz="8" w:space="0" w:color="000000"/>
            </w:tcBorders>
            <w:shd w:fill="FFFF99" w:val="clear"/>
            <w:tcMar>
              <w:left w:w="60" w:type="dxa"/>
            </w:tcMar>
            <w:vAlign w:val="bottom"/>
          </w:tcPr>
          <w:p>
            <w:pPr>
              <w:pStyle w:val="Normal"/>
              <w:rPr>
                <w:rFonts w:ascii="Book Antiqua" w:hAnsi="Book Antiqua"/>
                <w:b/>
                <w:b/>
                <w:bCs/>
              </w:rPr>
            </w:pPr>
            <w:r>
              <w:rPr>
                <w:rFonts w:eastAsia="Book Antiqua" w:cs="Book Antiqua" w:ascii="Book Antiqua" w:hAnsi="Book Antiqua"/>
                <w:b/>
                <w:bCs/>
              </w:rPr>
              <w:t xml:space="preserve">          </w:t>
            </w:r>
            <w:r>
              <w:rPr>
                <w:rFonts w:cs="Arial" w:ascii="Book Antiqua" w:hAnsi="Book Antiqua"/>
                <w:b/>
                <w:bCs/>
              </w:rPr>
              <w:t xml:space="preserve">12,65 € </w:t>
            </w:r>
          </w:p>
        </w:tc>
        <w:tc>
          <w:tcPr>
            <w:tcW w:w="1260" w:type="dxa"/>
            <w:tcBorders>
              <w:left w:val="single" w:sz="8" w:space="0" w:color="000000"/>
              <w:right w:val="single" w:sz="8" w:space="0" w:color="000000"/>
              <w:insideV w:val="single" w:sz="8" w:space="0" w:color="000000"/>
            </w:tcBorders>
            <w:shd w:fill="FFFF99" w:val="clear"/>
            <w:tcMar>
              <w:left w:w="60" w:type="dxa"/>
            </w:tcMar>
          </w:tcPr>
          <w:p>
            <w:pPr>
              <w:pStyle w:val="Normal"/>
              <w:jc w:val="center"/>
              <w:rPr>
                <w:rFonts w:ascii="Book Antiqua" w:hAnsi="Book Antiqua" w:cs="Arial"/>
                <w:b/>
                <w:b/>
                <w:bCs/>
              </w:rPr>
            </w:pPr>
            <w:r>
              <w:rPr>
                <w:rFonts w:cs="Arial" w:ascii="Book Antiqua" w:hAnsi="Book Antiqua"/>
                <w:b/>
                <w:bCs/>
              </w:rPr>
              <w:t>12.68 €</w:t>
            </w:r>
          </w:p>
        </w:tc>
      </w:tr>
      <w:tr>
        <w:trPr>
          <w:trHeight w:val="288" w:hRule="atLeast"/>
        </w:trPr>
        <w:tc>
          <w:tcPr>
            <w:tcW w:w="880" w:type="dxa"/>
            <w:tcBorders>
              <w:left w:val="single" w:sz="8" w:space="0" w:color="000000"/>
              <w:bottom w:val="single" w:sz="8" w:space="0" w:color="000000"/>
              <w:insideH w:val="single" w:sz="8" w:space="0" w:color="000000"/>
            </w:tcBorders>
            <w:shd w:fill="C0C0C0" w:val="clear"/>
            <w:tcMar>
              <w:left w:w="60"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763" w:type="dxa"/>
            <w:tcBorders>
              <w:left w:val="single" w:sz="4" w:space="0" w:color="000000"/>
              <w:bottom w:val="single" w:sz="8" w:space="0" w:color="000000"/>
              <w:insideH w:val="single" w:sz="8" w:space="0" w:color="000000"/>
            </w:tcBorders>
            <w:shd w:fill="C0C0C0" w:val="clear"/>
            <w:tcMar>
              <w:left w:w="65" w:type="dxa"/>
            </w:tcMar>
            <w:vAlign w:val="bottom"/>
          </w:tcPr>
          <w:p>
            <w:pPr>
              <w:pStyle w:val="Normal"/>
              <w:rPr>
                <w:rFonts w:ascii="Book Antiqua" w:hAnsi="Book Antiqua" w:cs="Arial"/>
                <w:sz w:val="16"/>
                <w:szCs w:val="16"/>
              </w:rPr>
            </w:pPr>
            <w:r>
              <w:rPr>
                <w:rFonts w:cs="Arial" w:ascii="Book Antiqua" w:hAnsi="Book Antiqua"/>
                <w:sz w:val="16"/>
                <w:szCs w:val="16"/>
              </w:rPr>
              <w:t> </w:t>
            </w:r>
          </w:p>
        </w:tc>
        <w:tc>
          <w:tcPr>
            <w:tcW w:w="3340" w:type="dxa"/>
            <w:tcBorders>
              <w:left w:val="single" w:sz="4" w:space="0" w:color="000000"/>
              <w:bottom w:val="single" w:sz="8" w:space="0" w:color="000000"/>
              <w:insideH w:val="single" w:sz="8" w:space="0" w:color="000000"/>
            </w:tcBorders>
            <w:shd w:fill="auto" w:val="clear"/>
            <w:tcMar>
              <w:left w:w="65" w:type="dxa"/>
            </w:tcMar>
            <w:vAlign w:val="bottom"/>
          </w:tcPr>
          <w:p>
            <w:pPr>
              <w:pStyle w:val="Normal"/>
              <w:rPr>
                <w:rFonts w:ascii="Book Antiqua" w:hAnsi="Book Antiqua" w:cs="Arial"/>
              </w:rPr>
            </w:pPr>
            <w:r>
              <w:rPr>
                <w:rFonts w:cs="Arial" w:ascii="Book Antiqua" w:hAnsi="Book Antiqua"/>
              </w:rPr>
              <w:t> </w:t>
            </w:r>
          </w:p>
        </w:tc>
        <w:tc>
          <w:tcPr>
            <w:tcW w:w="800" w:type="dxa"/>
            <w:tcBorders>
              <w:left w:val="single" w:sz="4" w:space="0" w:color="000000"/>
              <w:bottom w:val="single" w:sz="8" w:space="0" w:color="000000"/>
              <w:insideH w:val="single" w:sz="8" w:space="0" w:color="000000"/>
            </w:tcBorders>
            <w:shd w:fill="auto" w:val="clear"/>
            <w:tcMar>
              <w:left w:w="65" w:type="dxa"/>
            </w:tcMar>
            <w:vAlign w:val="bottom"/>
          </w:tcPr>
          <w:p>
            <w:pPr>
              <w:pStyle w:val="Normal"/>
              <w:jc w:val="center"/>
              <w:rPr>
                <w:rFonts w:ascii="Book Antiqua" w:hAnsi="Book Antiqua" w:cs="Arial"/>
              </w:rPr>
            </w:pPr>
            <w:r>
              <w:rPr>
                <w:rFonts w:cs="Arial" w:ascii="Book Antiqua" w:hAnsi="Book Antiqua"/>
              </w:rPr>
              <w:t> </w:t>
            </w:r>
          </w:p>
        </w:tc>
        <w:tc>
          <w:tcPr>
            <w:tcW w:w="1240" w:type="dxa"/>
            <w:tcBorders>
              <w:left w:val="single" w:sz="4" w:space="0" w:color="000000"/>
              <w:bottom w:val="single" w:sz="8" w:space="0" w:color="000000"/>
              <w:insideH w:val="single" w:sz="8" w:space="0" w:color="000000"/>
            </w:tcBorders>
            <w:shd w:fill="FFFFCC" w:val="clear"/>
            <w:tcMar>
              <w:left w:w="65" w:type="dxa"/>
            </w:tcMar>
            <w:vAlign w:val="bottom"/>
          </w:tcPr>
          <w:p>
            <w:pPr>
              <w:pStyle w:val="Normal"/>
              <w:rPr>
                <w:rFonts w:ascii="Book Antiqua" w:hAnsi="Book Antiqua" w:cs="Arial"/>
                <w:b/>
                <w:b/>
                <w:bCs/>
                <w:i/>
                <w:i/>
                <w:iCs/>
              </w:rPr>
            </w:pPr>
            <w:r>
              <w:rPr>
                <w:rFonts w:cs="Arial" w:ascii="Book Antiqua" w:hAnsi="Book Antiqua"/>
                <w:b/>
                <w:bCs/>
                <w:i/>
                <w:iCs/>
              </w:rPr>
              <w:t> </w:t>
            </w:r>
          </w:p>
        </w:tc>
        <w:tc>
          <w:tcPr>
            <w:tcW w:w="1240" w:type="dxa"/>
            <w:tcBorders>
              <w:left w:val="single" w:sz="4" w:space="0" w:color="000000"/>
              <w:bottom w:val="single" w:sz="8" w:space="0" w:color="000000"/>
              <w:insideH w:val="single" w:sz="8" w:space="0" w:color="000000"/>
            </w:tcBorders>
            <w:shd w:fill="FFFFFF" w:val="clear"/>
            <w:tcMar>
              <w:left w:w="65" w:type="dxa"/>
            </w:tcMar>
            <w:vAlign w:val="bottom"/>
          </w:tcPr>
          <w:p>
            <w:pPr>
              <w:pStyle w:val="Normal"/>
              <w:rPr>
                <w:rFonts w:ascii="Book Antiqua" w:hAnsi="Book Antiqua" w:cs="Arial"/>
                <w:b/>
                <w:b/>
                <w:bCs/>
              </w:rPr>
            </w:pPr>
            <w:r>
              <w:rPr>
                <w:rFonts w:cs="Arial" w:ascii="Book Antiqua" w:hAnsi="Book Antiqua"/>
                <w:b/>
                <w:bCs/>
              </w:rPr>
              <w:t> </w:t>
            </w:r>
          </w:p>
        </w:tc>
        <w:tc>
          <w:tcPr>
            <w:tcW w:w="1240" w:type="dxa"/>
            <w:tcBorders>
              <w:left w:val="single" w:sz="8" w:space="0" w:color="000000"/>
              <w:bottom w:val="single" w:sz="8" w:space="0" w:color="000000"/>
              <w:insideH w:val="single" w:sz="8" w:space="0" w:color="000000"/>
            </w:tcBorders>
            <w:shd w:fill="FFFF99" w:val="clear"/>
            <w:tcMar>
              <w:left w:w="60" w:type="dxa"/>
            </w:tcMar>
            <w:vAlign w:val="bottom"/>
          </w:tcPr>
          <w:p>
            <w:pPr>
              <w:pStyle w:val="Normal"/>
              <w:rPr>
                <w:rFonts w:ascii="Book Antiqua" w:hAnsi="Book Antiqua" w:cs="Arial"/>
                <w:b/>
                <w:b/>
                <w:bCs/>
              </w:rPr>
            </w:pPr>
            <w:r>
              <w:rPr>
                <w:rFonts w:cs="Arial" w:ascii="Book Antiqua" w:hAnsi="Book Antiqua"/>
                <w:b/>
                <w:bCs/>
              </w:rPr>
              <w:t> </w:t>
            </w:r>
          </w:p>
        </w:tc>
        <w:tc>
          <w:tcPr>
            <w:tcW w:w="1260" w:type="dxa"/>
            <w:tcBorders>
              <w:left w:val="single" w:sz="8" w:space="0" w:color="000000"/>
              <w:bottom w:val="single" w:sz="8" w:space="0" w:color="000000"/>
              <w:right w:val="single" w:sz="8" w:space="0" w:color="000000"/>
              <w:insideH w:val="single" w:sz="8" w:space="0" w:color="000000"/>
              <w:insideV w:val="single" w:sz="8" w:space="0" w:color="000000"/>
            </w:tcBorders>
            <w:shd w:fill="FFFF99" w:val="clear"/>
            <w:tcMar>
              <w:left w:w="60" w:type="dxa"/>
            </w:tcMar>
          </w:tcPr>
          <w:p>
            <w:pPr>
              <w:pStyle w:val="Normal"/>
              <w:snapToGrid w:val="false"/>
              <w:rPr>
                <w:rFonts w:ascii="Book Antiqua" w:hAnsi="Book Antiqua" w:cs="Arial"/>
                <w:b/>
                <w:b/>
                <w:bCs/>
              </w:rPr>
            </w:pPr>
            <w:r>
              <w:rPr>
                <w:rFonts w:cs="Arial" w:ascii="Book Antiqua" w:hAnsi="Book Antiqua"/>
                <w:b/>
                <w:bCs/>
              </w:rPr>
            </w:r>
          </w:p>
        </w:tc>
      </w:tr>
    </w:tbl>
    <w:p>
      <w:pPr>
        <w:pStyle w:val="TextBody"/>
        <w:jc w:val="both"/>
        <w:rPr>
          <w:rFonts w:ascii="Arial" w:hAnsi="Arial" w:cs="Arial"/>
          <w:sz w:val="20"/>
        </w:rPr>
      </w:pPr>
      <w:r>
        <w:rPr>
          <w:rFonts w:cs="Arial" w:ascii="Arial" w:hAnsi="Arial"/>
          <w:sz w:val="20"/>
        </w:rPr>
      </w:r>
    </w:p>
    <w:p>
      <w:pPr>
        <w:pStyle w:val="Normal"/>
        <w:jc w:val="both"/>
        <w:rPr>
          <w:rFonts w:ascii="Arial" w:hAnsi="Arial" w:cs="Arial"/>
          <w:sz w:val="16"/>
          <w:szCs w:val="16"/>
        </w:rPr>
      </w:pPr>
      <w:r>
        <w:rPr>
          <w:rFonts w:cs="Arial" w:ascii="Arial" w:hAnsi="Arial"/>
          <w:sz w:val="16"/>
          <w:szCs w:val="16"/>
        </w:rPr>
        <w:t>NB : attention l’arrondi du système de paie PANDORE peut être légèrement différent.</w:t>
      </w:r>
    </w:p>
    <w:p>
      <w:pPr>
        <w:pStyle w:val="Normal"/>
        <w:jc w:val="both"/>
        <w:rPr>
          <w:rFonts w:ascii="Arial" w:hAnsi="Arial" w:cs="Arial"/>
          <w:sz w:val="16"/>
          <w:szCs w:val="16"/>
        </w:rPr>
      </w:pPr>
      <w:r>
        <w:rPr>
          <w:rFonts w:cs="Arial" w:ascii="Arial" w:hAnsi="Arial"/>
          <w:sz w:val="16"/>
          <w:szCs w:val="16"/>
        </w:rPr>
      </w:r>
    </w:p>
    <w:p>
      <w:pPr>
        <w:pStyle w:val="Normal"/>
        <w:spacing w:lineRule="auto" w:line="276" w:before="0" w:after="200"/>
        <w:rPr>
          <w:rFonts w:ascii="Arial" w:hAnsi="Arial" w:eastAsia="Calibri" w:cs="Arial"/>
          <w:lang w:eastAsia="en-US"/>
        </w:rPr>
      </w:pPr>
      <w:r>
        <w:rPr>
          <w:rFonts w:eastAsia="Calibri" w:cs="Arial" w:ascii="Arial" w:hAnsi="Arial"/>
          <w:lang w:eastAsia="en-US"/>
        </w:rPr>
        <w:t>Ces mesures collectives seront éventuellement complétées par des mesures individuelles applicables au 1</w:t>
      </w:r>
      <w:r>
        <w:rPr>
          <w:rFonts w:eastAsia="Calibri" w:cs="Arial" w:ascii="Arial" w:hAnsi="Arial"/>
          <w:vertAlign w:val="superscript"/>
          <w:lang w:eastAsia="en-US"/>
        </w:rPr>
        <w:t>er</w:t>
      </w:r>
      <w:r>
        <w:rPr>
          <w:rFonts w:eastAsia="Calibri" w:cs="Arial" w:ascii="Arial" w:hAnsi="Arial"/>
          <w:lang w:eastAsia="en-US"/>
        </w:rPr>
        <w:t xml:space="preserve"> avril 2018.</w:t>
      </w:r>
    </w:p>
    <w:p>
      <w:pPr>
        <w:pStyle w:val="TextBody"/>
        <w:numPr>
          <w:ilvl w:val="0"/>
          <w:numId w:val="9"/>
        </w:numPr>
        <w:jc w:val="both"/>
        <w:rPr>
          <w:rFonts w:ascii="Arial" w:hAnsi="Arial" w:cs="Arial"/>
          <w:b/>
          <w:b/>
          <w:sz w:val="20"/>
        </w:rPr>
      </w:pPr>
      <w:r>
        <w:rPr>
          <w:rFonts w:cs="Arial" w:ascii="Arial" w:hAnsi="Arial"/>
          <w:b/>
          <w:sz w:val="20"/>
        </w:rPr>
        <w:t>Personnel statut « cadre » et « assimilé cadre » (niveau supérieur au niveau 8-24) </w:t>
      </w:r>
    </w:p>
    <w:p>
      <w:pPr>
        <w:pStyle w:val="TextBody"/>
        <w:jc w:val="both"/>
        <w:rPr>
          <w:rFonts w:ascii="Arial" w:hAnsi="Arial" w:cs="Arial"/>
          <w:b/>
          <w:b/>
          <w:sz w:val="20"/>
        </w:rPr>
      </w:pPr>
      <w:r>
        <w:rPr>
          <w:rFonts w:cs="Arial" w:ascii="Arial" w:hAnsi="Arial"/>
          <w:b/>
          <w:sz w:val="20"/>
        </w:rPr>
      </w:r>
    </w:p>
    <w:p>
      <w:pPr>
        <w:pStyle w:val="TextBody"/>
        <w:jc w:val="both"/>
        <w:rPr>
          <w:rFonts w:ascii="Arial" w:hAnsi="Arial" w:cs="Arial"/>
          <w:sz w:val="20"/>
        </w:rPr>
      </w:pPr>
      <w:r>
        <w:rPr>
          <w:rFonts w:cs="Arial" w:ascii="Arial" w:hAnsi="Arial"/>
          <w:sz w:val="20"/>
        </w:rPr>
        <w:t xml:space="preserve">Pour les salariés au statut cadre et assimilé cadre, le principe des augmentations individuelles est reconduit ; ces augmentations de salaires seront applicables </w:t>
      </w:r>
      <w:r>
        <w:rPr>
          <w:rFonts w:cs="Arial" w:ascii="Arial" w:hAnsi="Arial"/>
          <w:b/>
          <w:sz w:val="20"/>
        </w:rPr>
        <w:t>au 1</w:t>
      </w:r>
      <w:r>
        <w:rPr>
          <w:rFonts w:cs="Arial" w:ascii="Arial" w:hAnsi="Arial"/>
          <w:b/>
          <w:sz w:val="20"/>
          <w:vertAlign w:val="superscript"/>
        </w:rPr>
        <w:t>er</w:t>
      </w:r>
      <w:r>
        <w:rPr>
          <w:rFonts w:cs="Arial" w:ascii="Arial" w:hAnsi="Arial"/>
          <w:b/>
          <w:sz w:val="20"/>
        </w:rPr>
        <w:t xml:space="preserve"> mai 2018.</w:t>
      </w:r>
      <w:r>
        <w:rPr>
          <w:rFonts w:cs="Arial" w:ascii="Arial" w:hAnsi="Arial"/>
          <w:sz w:val="20"/>
        </w:rPr>
        <w:t xml:space="preserve"> </w:t>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t>Une recommandation est toutefois donnée pour établir une augmentation moyenne basée sur l’augmentation collective accordée.</w:t>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TextBody"/>
        <w:jc w:val="both"/>
        <w:rPr>
          <w:rFonts w:ascii="Arial" w:hAnsi="Arial" w:cs="Arial"/>
          <w:sz w:val="20"/>
        </w:rPr>
      </w:pPr>
      <w:r>
        <w:rPr>
          <w:rFonts w:cs="Arial" w:ascii="Arial" w:hAnsi="Arial"/>
          <w:sz w:val="20"/>
        </w:rPr>
      </w:r>
    </w:p>
    <w:p>
      <w:pPr>
        <w:pStyle w:val="Normal"/>
        <w:numPr>
          <w:ilvl w:val="0"/>
          <w:numId w:val="8"/>
        </w:numPr>
        <w:jc w:val="both"/>
        <w:rPr>
          <w:rFonts w:ascii="Arial" w:hAnsi="Arial" w:cs="Arial"/>
          <w:b/>
          <w:b/>
          <w:u w:val="single"/>
        </w:rPr>
      </w:pPr>
      <w:r>
        <w:rPr>
          <w:rFonts w:cs="Arial" w:ascii="Arial" w:hAnsi="Arial"/>
          <w:b/>
          <w:u w:val="single"/>
        </w:rPr>
        <w:t xml:space="preserve">Les primes </w:t>
      </w:r>
    </w:p>
    <w:p>
      <w:pPr>
        <w:pStyle w:val="Normal"/>
        <w:ind w:left="1494" w:hanging="0"/>
        <w:jc w:val="both"/>
        <w:rPr>
          <w:rFonts w:ascii="Arial" w:hAnsi="Arial" w:cs="Arial"/>
          <w:b/>
          <w:b/>
          <w:u w:val="single"/>
        </w:rPr>
      </w:pPr>
      <w:r>
        <w:rPr>
          <w:rFonts w:cs="Arial" w:ascii="Arial" w:hAnsi="Arial"/>
          <w:b/>
          <w:u w:val="single"/>
        </w:rPr>
      </w:r>
    </w:p>
    <w:p>
      <w:pPr>
        <w:pStyle w:val="Normal"/>
        <w:numPr>
          <w:ilvl w:val="0"/>
          <w:numId w:val="5"/>
        </w:numPr>
        <w:jc w:val="both"/>
        <w:rPr>
          <w:rFonts w:ascii="Arial" w:hAnsi="Arial" w:cs="Arial"/>
          <w:u w:val="single"/>
        </w:rPr>
      </w:pPr>
      <w:r>
        <w:rPr>
          <w:rFonts w:cs="Arial" w:ascii="Arial" w:hAnsi="Arial"/>
          <w:u w:val="single"/>
        </w:rPr>
        <w:t>Prime d’ancienneté</w:t>
      </w:r>
    </w:p>
    <w:p>
      <w:pPr>
        <w:pStyle w:val="Normal"/>
        <w:ind w:left="720" w:hanging="0"/>
        <w:jc w:val="both"/>
        <w:rPr>
          <w:rFonts w:ascii="Arial" w:hAnsi="Arial" w:cs="Arial"/>
          <w:u w:val="single"/>
        </w:rPr>
      </w:pPr>
      <w:r>
        <w:rPr>
          <w:rFonts w:cs="Arial" w:ascii="Arial" w:hAnsi="Arial"/>
          <w:u w:val="single"/>
        </w:rPr>
      </w:r>
    </w:p>
    <w:p>
      <w:pPr>
        <w:pStyle w:val="Normal"/>
        <w:jc w:val="both"/>
        <w:rPr>
          <w:rFonts w:ascii="Arial" w:hAnsi="Arial" w:cs="Arial"/>
        </w:rPr>
      </w:pPr>
      <w:r>
        <w:rPr>
          <w:rFonts w:cs="Arial" w:ascii="Arial" w:hAnsi="Arial"/>
        </w:rPr>
        <w:t>La valeur du point au 1er janvier 2018 est passée de 2.97 € à 3,05 € les 100 points.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numPr>
          <w:ilvl w:val="0"/>
          <w:numId w:val="6"/>
        </w:numPr>
        <w:rPr/>
      </w:pPr>
      <w:r>
        <w:rPr>
          <w:rFonts w:cs="Arial" w:ascii="Arial" w:hAnsi="Arial"/>
          <w:u w:val="single"/>
        </w:rPr>
        <w:t>Les bonus des cadres et assimilés cadre</w:t>
      </w:r>
    </w:p>
    <w:p>
      <w:pPr>
        <w:pStyle w:val="Normal"/>
        <w:ind w:left="775" w:hanging="0"/>
        <w:rPr>
          <w:rFonts w:ascii="Arial" w:hAnsi="Arial" w:cs="Arial"/>
          <w:u w:val="single"/>
        </w:rPr>
      </w:pPr>
      <w:r>
        <w:rPr>
          <w:rFonts w:cs="Arial" w:ascii="Arial" w:hAnsi="Arial"/>
          <w:u w:val="single"/>
        </w:rPr>
      </w:r>
    </w:p>
    <w:p>
      <w:pPr>
        <w:pStyle w:val="Normal"/>
        <w:rPr>
          <w:rFonts w:ascii="Arial" w:hAnsi="Arial" w:cs="Arial"/>
        </w:rPr>
      </w:pPr>
      <w:r>
        <w:rPr>
          <w:rFonts w:cs="Arial" w:ascii="Arial" w:hAnsi="Arial"/>
        </w:rPr>
        <w:t>Ils seront versés en mai 2018 et calculés sur les bases habituelles suivant les paramètres comptables de l’année 2017.</w:t>
      </w:r>
    </w:p>
    <w:p>
      <w:pPr>
        <w:pStyle w:val="Normal"/>
        <w:rPr/>
      </w:pPr>
      <w:r>
        <w:rPr>
          <w:rFonts w:cs="Arial" w:ascii="Arial" w:hAnsi="Arial"/>
        </w:rPr>
        <w:t>Pour les membres du SMF le versement du bonus sera effectué conformément à la politique du groupe HENDRIX.</w:t>
      </w:r>
    </w:p>
    <w:p>
      <w:pPr>
        <w:pStyle w:val="Normal"/>
        <w:ind w:left="720" w:hanging="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numPr>
          <w:ilvl w:val="0"/>
          <w:numId w:val="5"/>
        </w:numPr>
        <w:jc w:val="both"/>
        <w:rPr>
          <w:rFonts w:ascii="Arial" w:hAnsi="Arial" w:cs="Arial"/>
        </w:rPr>
      </w:pPr>
      <w:r>
        <w:rPr>
          <w:rFonts w:cs="Arial" w:ascii="Arial" w:hAnsi="Arial"/>
          <w:u w:val="single"/>
        </w:rPr>
        <w:t>Primes diverses :</w:t>
      </w:r>
      <w:r>
        <w:rPr>
          <w:rFonts w:cs="Arial" w:ascii="Arial" w:hAnsi="Arial"/>
        </w:rPr>
        <w:t xml:space="preserve"> si changement il sera effectué au 1</w:t>
      </w:r>
      <w:r>
        <w:rPr>
          <w:rFonts w:cs="Arial" w:ascii="Arial" w:hAnsi="Arial"/>
          <w:vertAlign w:val="superscript"/>
        </w:rPr>
        <w:t>er</w:t>
      </w:r>
      <w:r>
        <w:rPr>
          <w:rFonts w:cs="Arial" w:ascii="Arial" w:hAnsi="Arial"/>
        </w:rPr>
        <w:t xml:space="preserve"> avril 2018</w:t>
      </w:r>
    </w:p>
    <w:p>
      <w:pPr>
        <w:pStyle w:val="Normal"/>
        <w:ind w:left="720" w:hanging="0"/>
        <w:jc w:val="both"/>
        <w:rPr>
          <w:rFonts w:ascii="Arial" w:hAnsi="Arial" w:cs="Arial"/>
          <w:u w:val="single"/>
        </w:rPr>
      </w:pPr>
      <w:r>
        <w:rPr>
          <w:rFonts w:cs="Arial" w:ascii="Arial" w:hAnsi="Arial"/>
          <w:u w:val="single"/>
        </w:rPr>
      </w:r>
    </w:p>
    <w:p>
      <w:pPr>
        <w:pStyle w:val="Normal"/>
        <w:jc w:val="both"/>
        <w:rPr>
          <w:rFonts w:ascii="Arial" w:hAnsi="Arial" w:cs="Arial"/>
        </w:rPr>
      </w:pPr>
      <w:r>
        <w:rPr>
          <w:rFonts w:cs="Arial" w:ascii="Arial" w:hAnsi="Arial"/>
        </w:rPr>
        <w:t>- La prime de délai prévenance reste inchangée.</w:t>
      </w:r>
    </w:p>
    <w:p>
      <w:pPr>
        <w:pStyle w:val="Normal"/>
        <w:jc w:val="both"/>
        <w:rPr>
          <w:rFonts w:ascii="Arial" w:hAnsi="Arial" w:cs="Arial"/>
        </w:rPr>
      </w:pPr>
      <w:r>
        <w:rPr>
          <w:rFonts w:cs="Arial" w:ascii="Arial" w:hAnsi="Arial"/>
        </w:rPr>
      </w:r>
    </w:p>
    <w:p>
      <w:pPr>
        <w:pStyle w:val="Normal"/>
        <w:jc w:val="both"/>
        <w:rPr/>
      </w:pPr>
      <w:r>
        <w:rPr>
          <w:rFonts w:cs="Arial" w:ascii="Arial" w:hAnsi="Arial"/>
        </w:rPr>
        <w:t>- L’indemnité sanitaire définie dans l’accord de juillet 2017 reste fixée à 7,20 € par jour travaillé.</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Primes sécurité : à compter du 1</w:t>
      </w:r>
      <w:r>
        <w:rPr>
          <w:rFonts w:cs="Arial" w:ascii="Arial" w:hAnsi="Arial"/>
          <w:vertAlign w:val="superscript"/>
        </w:rPr>
        <w:t>er</w:t>
      </w:r>
      <w:r>
        <w:rPr>
          <w:rFonts w:cs="Arial" w:ascii="Arial" w:hAnsi="Arial"/>
        </w:rPr>
        <w:t xml:space="preserve"> janvier 2018 les montants de la prime individuelle et de la prime « animateur sécurité » sont définies comme suit :</w:t>
      </w:r>
    </w:p>
    <w:p>
      <w:pPr>
        <w:pStyle w:val="Normal"/>
        <w:jc w:val="both"/>
        <w:rPr>
          <w:rFonts w:ascii="Arial" w:hAnsi="Arial" w:cs="Arial"/>
          <w:highlight w:val="yellow"/>
        </w:rPr>
      </w:pPr>
      <w:r>
        <w:rPr>
          <w:rFonts w:cs="Arial" w:ascii="Arial" w:hAnsi="Arial"/>
          <w:highlight w:val="yellow"/>
        </w:rPr>
      </w:r>
    </w:p>
    <w:p>
      <w:pPr>
        <w:pStyle w:val="Normal"/>
        <w:numPr>
          <w:ilvl w:val="0"/>
          <w:numId w:val="4"/>
        </w:numPr>
        <w:jc w:val="both"/>
        <w:rPr/>
      </w:pPr>
      <w:r>
        <w:rPr>
          <w:rFonts w:cs="Arial" w:ascii="Arial" w:hAnsi="Arial"/>
          <w:b/>
        </w:rPr>
        <w:t>Prime sécurité</w:t>
      </w:r>
      <w:r>
        <w:rPr>
          <w:rFonts w:cs="Arial" w:ascii="Arial" w:hAnsi="Arial"/>
        </w:rPr>
        <w:t> : sur la base des jours d’arrêt pour accident</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Part individuelle : 50 %</w:t>
        <w:tab/>
        <w:tab/>
        <w:tab/>
        <w:tab/>
        <w:tab/>
        <w:tab/>
        <w:t xml:space="preserve">Part collective : </w:t>
        <w:tab/>
        <w:t>50 %</w:t>
      </w:r>
    </w:p>
    <w:p>
      <w:pPr>
        <w:pStyle w:val="Normal"/>
        <w:jc w:val="both"/>
        <w:rPr>
          <w:rFonts w:ascii="Arial" w:hAnsi="Arial" w:cs="Arial"/>
        </w:rPr>
      </w:pPr>
      <w:r>
        <w:rPr>
          <w:rFonts w:cs="Arial" w:ascii="Arial" w:hAnsi="Arial"/>
        </w:rPr>
        <w:tab/>
        <w:tab/>
        <w:tab/>
      </w:r>
    </w:p>
    <w:p>
      <w:pPr>
        <w:pStyle w:val="Normal"/>
        <w:jc w:val="both"/>
        <w:rPr/>
      </w:pPr>
      <w:r>
        <w:rPr>
          <w:rFonts w:cs="Arial" w:ascii="Arial" w:hAnsi="Arial"/>
        </w:rPr>
        <w:t>Soit 67,5€ (année de travail)</w:t>
        <w:tab/>
        <w:tab/>
        <w:tab/>
        <w:tab/>
        <w:tab/>
        <w:tab/>
        <w:t>Soit 67,5 € (année de travail)</w:t>
      </w:r>
    </w:p>
    <w:p>
      <w:pPr>
        <w:pStyle w:val="Normal"/>
        <w:jc w:val="both"/>
        <w:rPr>
          <w:rFonts w:ascii="Arial" w:hAnsi="Arial" w:cs="Arial"/>
        </w:rPr>
      </w:pPr>
      <w:r>
        <w:rPr>
          <w:rFonts w:cs="Arial" w:ascii="Arial" w:hAnsi="Arial"/>
        </w:rPr>
        <w:t>Calcul en fonction des jours d’arrêt suite à accident du travail</w:t>
        <w:tab/>
        <w:tab/>
        <w:t xml:space="preserve">100 % </w:t>
      </w:r>
      <w:r>
        <w:rPr>
          <w:rFonts w:eastAsia="Wingdings" w:cs="Wingdings" w:ascii="Wingdings" w:hAnsi="Wingdings"/>
        </w:rPr>
        <w:t></w:t>
      </w:r>
      <w:r>
        <w:rPr>
          <w:rFonts w:eastAsia="Wingdings" w:cs="Arial" w:ascii="Arial" w:hAnsi="Arial"/>
        </w:rPr>
        <w:t xml:space="preserve"> =&lt; 14 jours d’AT (1)</w:t>
      </w:r>
    </w:p>
    <w:p>
      <w:pPr>
        <w:pStyle w:val="Normal"/>
        <w:ind w:left="4956" w:firstLine="708"/>
        <w:jc w:val="both"/>
        <w:rPr>
          <w:rFonts w:ascii="Arial" w:hAnsi="Arial" w:cs="Arial"/>
        </w:rPr>
      </w:pPr>
      <w:r>
        <w:rPr>
          <w:rFonts w:eastAsia="Arial" w:cs="Arial" w:ascii="Arial" w:hAnsi="Arial"/>
        </w:rPr>
        <w:t xml:space="preserve">  </w:t>
      </w:r>
      <w:r>
        <w:rPr>
          <w:rFonts w:eastAsia="Wingdings" w:cs="Arial" w:ascii="Arial" w:hAnsi="Arial"/>
        </w:rPr>
        <w:tab/>
        <w:t xml:space="preserve">  50 % </w:t>
      </w:r>
      <w:r>
        <w:rPr>
          <w:rFonts w:eastAsia="Wingdings" w:cs="Wingdings" w:ascii="Wingdings" w:hAnsi="Wingdings"/>
        </w:rPr>
        <w:t></w:t>
      </w:r>
      <w:r>
        <w:rPr>
          <w:rFonts w:eastAsia="Wingdings" w:cs="Arial" w:ascii="Arial" w:hAnsi="Arial"/>
        </w:rPr>
        <w:t xml:space="preserve"> =&lt; 21 jours d’AT (1)</w:t>
      </w:r>
    </w:p>
    <w:p>
      <w:pPr>
        <w:pStyle w:val="Normal"/>
        <w:jc w:val="both"/>
        <w:rPr>
          <w:rFonts w:ascii="Arial" w:hAnsi="Arial" w:cs="Arial"/>
        </w:rPr>
      </w:pPr>
      <w:r>
        <w:rPr>
          <w:rFonts w:eastAsia="Arial" w:cs="Arial" w:ascii="Arial" w:hAnsi="Arial"/>
        </w:rPr>
        <w:t xml:space="preserve">    </w:t>
      </w:r>
      <w:r>
        <w:rPr>
          <w:rFonts w:eastAsia="Wingdings" w:cs="Arial" w:ascii="Arial" w:hAnsi="Arial"/>
        </w:rPr>
        <w:tab/>
        <w:tab/>
        <w:tab/>
        <w:tab/>
        <w:tab/>
        <w:tab/>
        <w:tab/>
        <w:tab/>
        <w:t xml:space="preserve"> </w:t>
        <w:tab/>
        <w:t xml:space="preserve">  0 % </w:t>
      </w:r>
      <w:r>
        <w:rPr>
          <w:rFonts w:eastAsia="Wingdings" w:cs="Wingdings" w:ascii="Wingdings" w:hAnsi="Wingdings"/>
        </w:rPr>
        <w:t></w:t>
      </w:r>
      <w:r>
        <w:rPr>
          <w:rFonts w:eastAsia="Wingdings" w:cs="Arial" w:ascii="Arial" w:hAnsi="Arial"/>
        </w:rPr>
        <w:t xml:space="preserve"> &gt; 21 jours d’AT (1)</w:t>
      </w:r>
    </w:p>
    <w:p>
      <w:pPr>
        <w:pStyle w:val="Normal"/>
        <w:jc w:val="both"/>
        <w:rPr>
          <w:rFonts w:ascii="Arial" w:hAnsi="Arial" w:eastAsia="Wingdings" w:cs="Arial"/>
        </w:rPr>
      </w:pPr>
      <w:r>
        <w:rPr>
          <w:rFonts w:eastAsia="Wingdings" w:cs="Arial" w:ascii="Arial" w:hAnsi="Arial"/>
        </w:rPr>
      </w:r>
    </w:p>
    <w:p>
      <w:pPr>
        <w:pStyle w:val="Normal"/>
        <w:numPr>
          <w:ilvl w:val="0"/>
          <w:numId w:val="2"/>
        </w:numPr>
        <w:jc w:val="both"/>
        <w:rPr>
          <w:rFonts w:eastAsia="Wingdings"/>
        </w:rPr>
      </w:pPr>
      <w:r>
        <w:rPr>
          <w:rFonts w:eastAsia="Wingdings" w:cs="Arial" w:ascii="Arial" w:hAnsi="Arial"/>
          <w:sz w:val="16"/>
          <w:szCs w:val="16"/>
        </w:rPr>
        <w:t>Le nombre de jours AT pris en considération est la moyenne des 3 dernières années, ce nombre de jours affectant le calcul de la part collective pourra faire l’objet d’une négociation lors des NAO.</w:t>
      </w:r>
    </w:p>
    <w:p>
      <w:pPr>
        <w:pStyle w:val="Normal"/>
        <w:jc w:val="both"/>
        <w:rPr>
          <w:rFonts w:ascii="Arial" w:hAnsi="Arial" w:eastAsia="Wingdings" w:cs="Arial"/>
          <w:sz w:val="18"/>
          <w:szCs w:val="18"/>
        </w:rPr>
      </w:pPr>
      <w:r>
        <w:rPr>
          <w:rFonts w:eastAsia="Wingdings" w:cs="Arial" w:ascii="Arial" w:hAnsi="Arial"/>
          <w:sz w:val="18"/>
          <w:szCs w:val="18"/>
        </w:rPr>
      </w:r>
    </w:p>
    <w:p>
      <w:pPr>
        <w:pStyle w:val="Normal"/>
        <w:numPr>
          <w:ilvl w:val="0"/>
          <w:numId w:val="4"/>
        </w:numPr>
        <w:jc w:val="both"/>
        <w:rPr>
          <w:rFonts w:eastAsia="Wingdings"/>
        </w:rPr>
      </w:pPr>
      <w:r>
        <w:rPr>
          <w:rFonts w:eastAsia="Wingdings" w:cs="Arial" w:ascii="Arial" w:hAnsi="Arial"/>
          <w:b/>
        </w:rPr>
        <w:t>Prime animateur sécurité</w:t>
      </w:r>
      <w:r>
        <w:rPr>
          <w:rFonts w:eastAsia="Wingdings" w:cs="Arial" w:ascii="Arial" w:hAnsi="Arial"/>
        </w:rPr>
        <w:t> : sont concernés les membres du CHSCT, les responsables de site -  non cadre</w:t>
      </w:r>
    </w:p>
    <w:p>
      <w:pPr>
        <w:pStyle w:val="Normal"/>
        <w:ind w:firstLine="708"/>
        <w:jc w:val="both"/>
        <w:rPr>
          <w:rFonts w:eastAsia="Wingdings"/>
        </w:rPr>
      </w:pPr>
      <w:r>
        <w:rPr>
          <w:rFonts w:eastAsia="Wingdings" w:cs="Arial" w:ascii="Arial" w:hAnsi="Arial"/>
        </w:rPr>
        <w:t>Le montant est déterminé selon 3 critères :</w:t>
      </w:r>
    </w:p>
    <w:p>
      <w:pPr>
        <w:pStyle w:val="Normal"/>
        <w:jc w:val="both"/>
        <w:rPr>
          <w:rFonts w:ascii="Arial" w:hAnsi="Arial" w:eastAsia="Wingdings" w:cs="Arial"/>
        </w:rPr>
      </w:pPr>
      <w:r>
        <w:rPr>
          <w:rFonts w:eastAsia="Wingdings" w:cs="Arial" w:ascii="Arial" w:hAnsi="Arial"/>
        </w:rPr>
      </w:r>
    </w:p>
    <w:p>
      <w:pPr>
        <w:pStyle w:val="Normal"/>
        <w:numPr>
          <w:ilvl w:val="0"/>
          <w:numId w:val="7"/>
        </w:numPr>
        <w:jc w:val="both"/>
        <w:rPr>
          <w:rFonts w:ascii="Arial" w:hAnsi="Arial" w:cs="Arial"/>
        </w:rPr>
      </w:pPr>
      <w:r>
        <w:rPr>
          <w:rFonts w:eastAsia="Wingdings" w:cs="Arial" w:ascii="Arial" w:hAnsi="Arial"/>
        </w:rPr>
        <w:t xml:space="preserve">Partie </w:t>
      </w:r>
      <w:r>
        <w:rPr>
          <w:rFonts w:eastAsia="Wingdings" w:cs="Arial" w:ascii="Arial" w:hAnsi="Arial"/>
          <w:b/>
        </w:rPr>
        <w:t>Animation</w:t>
      </w:r>
      <w:r>
        <w:rPr>
          <w:rFonts w:eastAsia="Wingdings" w:cs="Arial" w:ascii="Arial" w:hAnsi="Arial"/>
        </w:rPr>
        <w:t> soit 150 € dont le paiement sera conditionné par l’organisation de 4 réunions sécurité selon 4 thèmes proposés par le responsable sécurité. Les conditions de réalisation de cette animation sont les suivantes :</w:t>
      </w:r>
    </w:p>
    <w:p>
      <w:pPr>
        <w:pStyle w:val="Normal"/>
        <w:ind w:left="708" w:firstLine="708"/>
        <w:jc w:val="both"/>
        <w:rPr>
          <w:rFonts w:ascii="Arial" w:hAnsi="Arial" w:eastAsia="Wingdings" w:cs="Arial"/>
        </w:rPr>
      </w:pPr>
      <w:r>
        <w:rPr>
          <w:rFonts w:eastAsia="Wingdings" w:cs="Arial" w:ascii="Arial" w:hAnsi="Arial"/>
        </w:rPr>
        <w:t xml:space="preserve">- Matériel de l’intervention fourni par le responsable sécurité </w:t>
      </w:r>
    </w:p>
    <w:p>
      <w:pPr>
        <w:pStyle w:val="Normal"/>
        <w:ind w:left="708" w:firstLine="708"/>
        <w:jc w:val="both"/>
        <w:rPr>
          <w:rFonts w:ascii="Arial" w:hAnsi="Arial" w:eastAsia="Wingdings" w:cs="Arial"/>
        </w:rPr>
      </w:pPr>
      <w:r>
        <w:rPr>
          <w:rFonts w:eastAsia="Wingdings" w:cs="Arial" w:ascii="Arial" w:hAnsi="Arial"/>
        </w:rPr>
        <w:t>- Accompagnement du responsable minimum 1/an</w:t>
      </w:r>
    </w:p>
    <w:p>
      <w:pPr>
        <w:pStyle w:val="Normal"/>
        <w:ind w:left="708" w:firstLine="708"/>
        <w:jc w:val="both"/>
        <w:rPr>
          <w:rFonts w:ascii="Arial" w:hAnsi="Arial" w:cs="Arial"/>
        </w:rPr>
      </w:pPr>
      <w:r>
        <w:rPr>
          <w:rFonts w:eastAsia="Wingdings" w:cs="Arial" w:ascii="Arial" w:hAnsi="Arial"/>
        </w:rPr>
        <w:t>- Validation par un compte rendu.</w:t>
      </w:r>
    </w:p>
    <w:p>
      <w:pPr>
        <w:pStyle w:val="Normal"/>
        <w:spacing w:before="0" w:after="0"/>
        <w:contextualSpacing/>
        <w:rPr>
          <w:rFonts w:ascii="Calibri Light" w:hAnsi="Calibri Light" w:eastAsia="Wingdings" w:cs="Calibri Light"/>
          <w:color w:val="000000"/>
        </w:rPr>
      </w:pPr>
      <w:r>
        <w:rPr>
          <w:rFonts w:eastAsia="Wingdings" w:cs="Calibri Light" w:ascii="Calibri Light" w:hAnsi="Calibri Light"/>
          <w:color w:val="000000"/>
        </w:rPr>
      </w:r>
    </w:p>
    <w:p>
      <w:pPr>
        <w:pStyle w:val="Normal"/>
        <w:jc w:val="both"/>
        <w:rPr>
          <w:rFonts w:eastAsia="Wingdings"/>
        </w:rPr>
      </w:pPr>
      <w:r>
        <w:rPr>
          <w:rFonts w:eastAsia="Wingdings" w:cs="Arial" w:ascii="Arial" w:hAnsi="Arial"/>
        </w:rPr>
        <w:t>Le manager de l’animateur sécurité devra évaluer la partie animation à partir de la feuille des personnes présentes/ date et des questions / propositions pour le CHSCT suivant.</w:t>
      </w:r>
    </w:p>
    <w:p>
      <w:pPr>
        <w:pStyle w:val="Normal"/>
        <w:jc w:val="both"/>
        <w:rPr>
          <w:rFonts w:ascii="Arial" w:hAnsi="Arial" w:eastAsia="Wingdings" w:cs="Arial"/>
        </w:rPr>
      </w:pPr>
      <w:r>
        <w:rPr>
          <w:rFonts w:eastAsia="Wingdings" w:cs="Arial" w:ascii="Arial" w:hAnsi="Arial"/>
        </w:rPr>
      </w:r>
    </w:p>
    <w:p>
      <w:pPr>
        <w:pStyle w:val="Normal"/>
        <w:numPr>
          <w:ilvl w:val="0"/>
          <w:numId w:val="7"/>
        </w:numPr>
        <w:jc w:val="both"/>
        <w:rPr>
          <w:rFonts w:eastAsia="Wingdings"/>
        </w:rPr>
      </w:pPr>
      <w:r>
        <w:rPr>
          <w:rFonts w:eastAsia="Wingdings" w:cs="Arial" w:ascii="Arial" w:hAnsi="Arial"/>
        </w:rPr>
        <w:t xml:space="preserve">Partie </w:t>
      </w:r>
      <w:r>
        <w:rPr>
          <w:rFonts w:eastAsia="Wingdings" w:cs="Arial" w:ascii="Arial" w:hAnsi="Arial"/>
          <w:b/>
        </w:rPr>
        <w:t>Contrôle</w:t>
      </w:r>
      <w:r>
        <w:rPr>
          <w:rFonts w:eastAsia="Wingdings" w:cs="Arial" w:ascii="Arial" w:hAnsi="Arial"/>
        </w:rPr>
        <w:t xml:space="preserve"> soit 50 € dont le paiement sera conditionné par la réalisation sur site de 2 auto contrôles par an. Chaque fiche de contrôle devra être envoyée complétée et signée au responsable sécurité.</w:t>
      </w:r>
    </w:p>
    <w:p>
      <w:pPr>
        <w:pStyle w:val="Normal"/>
        <w:jc w:val="both"/>
        <w:rPr>
          <w:rFonts w:ascii="Arial" w:hAnsi="Arial" w:eastAsia="Wingdings" w:cs="Arial"/>
        </w:rPr>
      </w:pPr>
      <w:r>
        <w:rPr>
          <w:rFonts w:eastAsia="Wingdings" w:cs="Arial" w:ascii="Arial" w:hAnsi="Arial"/>
        </w:rPr>
      </w:r>
    </w:p>
    <w:p>
      <w:pPr>
        <w:pStyle w:val="Normal"/>
        <w:numPr>
          <w:ilvl w:val="0"/>
          <w:numId w:val="7"/>
        </w:numPr>
        <w:jc w:val="both"/>
        <w:rPr>
          <w:rFonts w:eastAsia="Wingdings"/>
        </w:rPr>
      </w:pPr>
      <w:r>
        <w:rPr>
          <w:rFonts w:eastAsia="Wingdings" w:cs="Arial" w:ascii="Arial" w:hAnsi="Arial"/>
        </w:rPr>
        <w:t xml:space="preserve">Partie </w:t>
      </w:r>
      <w:r>
        <w:rPr>
          <w:rFonts w:eastAsia="Wingdings" w:cs="Arial" w:ascii="Arial" w:hAnsi="Arial"/>
          <w:b/>
        </w:rPr>
        <w:t>Accueil au Poste</w:t>
      </w:r>
      <w:r>
        <w:rPr>
          <w:rFonts w:eastAsia="Wingdings" w:cs="Arial" w:ascii="Arial" w:hAnsi="Arial"/>
        </w:rPr>
        <w:t> soit 50 €. Ceci concerne tous les nouveaux arrivants (CDD, intérimaire, stage) qui devront avoir eu une présentation.</w:t>
      </w:r>
    </w:p>
    <w:p>
      <w:pPr>
        <w:pStyle w:val="Normal"/>
        <w:jc w:val="both"/>
        <w:rPr>
          <w:rFonts w:ascii="Arial" w:hAnsi="Arial" w:eastAsia="Wingdings" w:cs="Arial"/>
          <w:highlight w:val="yellow"/>
        </w:rPr>
      </w:pPr>
      <w:r>
        <w:rPr>
          <w:rFonts w:eastAsia="Wingdings" w:cs="Arial" w:ascii="Arial" w:hAnsi="Arial"/>
          <w:highlight w:val="yellow"/>
        </w:rPr>
      </w:r>
    </w:p>
    <w:p>
      <w:pPr>
        <w:pStyle w:val="Normal"/>
        <w:jc w:val="both"/>
        <w:rPr>
          <w:rFonts w:ascii="Arial" w:hAnsi="Arial" w:cs="Arial"/>
        </w:rPr>
      </w:pPr>
      <w:r>
        <w:rPr>
          <w:rFonts w:eastAsia="Wingdings" w:cs="Arial" w:ascii="Arial" w:hAnsi="Arial"/>
        </w:rPr>
        <w:t xml:space="preserve">- </w:t>
      </w:r>
      <w:r>
        <w:rPr>
          <w:rFonts w:eastAsia="Wingdings" w:cs="Arial" w:ascii="Arial" w:hAnsi="Arial"/>
          <w:b/>
        </w:rPr>
        <w:t>La prime panier</w:t>
      </w:r>
      <w:r>
        <w:rPr>
          <w:rFonts w:eastAsia="Wingdings" w:cs="Arial" w:ascii="Arial" w:hAnsi="Arial"/>
        </w:rPr>
        <w:t xml:space="preserve"> passe à compter de 3,10 € à 3, 15 €/jour travaillé, Par ailleurs, la participation de l’entreprise au repas du RIA de Ploufragan passe de 5,08 à 5,15 €/jour.</w:t>
      </w:r>
    </w:p>
    <w:p>
      <w:pPr>
        <w:pStyle w:val="Normal"/>
        <w:jc w:val="both"/>
        <w:rPr>
          <w:rFonts w:ascii="Arial" w:hAnsi="Arial" w:eastAsia="Wingdings" w:cs="Arial"/>
        </w:rPr>
      </w:pPr>
      <w:r>
        <w:rPr>
          <w:rFonts w:eastAsia="Wingdings" w:cs="Arial" w:ascii="Arial" w:hAnsi="Arial"/>
        </w:rPr>
      </w:r>
    </w:p>
    <w:p>
      <w:pPr>
        <w:pStyle w:val="Normal"/>
        <w:jc w:val="both"/>
        <w:rPr>
          <w:rFonts w:ascii="Arial" w:hAnsi="Arial" w:cs="Arial"/>
        </w:rPr>
      </w:pPr>
      <w:r>
        <w:rPr>
          <w:rFonts w:eastAsia="Wingdings" w:cs="Arial" w:ascii="Arial" w:hAnsi="Arial"/>
          <w:b/>
        </w:rPr>
        <w:t>- Les primes de d’astreinte</w:t>
      </w:r>
      <w:r>
        <w:rPr>
          <w:rFonts w:eastAsia="Wingdings" w:cs="Arial" w:ascii="Arial" w:hAnsi="Arial"/>
        </w:rPr>
        <w:t xml:space="preserve"> seront augmentées comme suit :</w:t>
      </w:r>
    </w:p>
    <w:p>
      <w:pPr>
        <w:pStyle w:val="Normal"/>
        <w:jc w:val="both"/>
        <w:rPr>
          <w:rFonts w:ascii="Arial" w:hAnsi="Arial" w:eastAsia="Wingdings" w:cs="Arial"/>
        </w:rPr>
      </w:pPr>
      <w:r>
        <w:rPr>
          <w:rFonts w:eastAsia="Wingdings" w:cs="Arial" w:ascii="Arial" w:hAnsi="Arial"/>
        </w:rPr>
      </w:r>
    </w:p>
    <w:p>
      <w:pPr>
        <w:pStyle w:val="Normal"/>
        <w:numPr>
          <w:ilvl w:val="1"/>
          <w:numId w:val="3"/>
        </w:numPr>
        <w:jc w:val="both"/>
        <w:rPr>
          <w:rFonts w:ascii="Arial" w:hAnsi="Arial" w:cs="Arial"/>
        </w:rPr>
      </w:pPr>
      <w:r>
        <w:rPr>
          <w:rFonts w:eastAsia="Wingdings" w:cs="Arial" w:ascii="Arial" w:hAnsi="Arial"/>
        </w:rPr>
        <w:t xml:space="preserve">Par nuit de garde : 10,30 € (soit +1,5 %) </w:t>
      </w:r>
    </w:p>
    <w:p>
      <w:pPr>
        <w:pStyle w:val="Normal"/>
        <w:numPr>
          <w:ilvl w:val="1"/>
          <w:numId w:val="3"/>
        </w:numPr>
        <w:jc w:val="both"/>
        <w:rPr>
          <w:rFonts w:ascii="Arial" w:hAnsi="Arial" w:cs="Arial"/>
        </w:rPr>
      </w:pPr>
      <w:r>
        <w:rPr>
          <w:rFonts w:eastAsia="Wingdings" w:cs="Arial" w:ascii="Arial" w:hAnsi="Arial"/>
        </w:rPr>
        <w:t>Par samedi : 60 € (soit +1,7 %)</w:t>
      </w:r>
    </w:p>
    <w:p>
      <w:pPr>
        <w:pStyle w:val="Normal"/>
        <w:numPr>
          <w:ilvl w:val="1"/>
          <w:numId w:val="3"/>
        </w:numPr>
        <w:jc w:val="both"/>
        <w:rPr>
          <w:rFonts w:ascii="Arial" w:hAnsi="Arial" w:cs="Arial"/>
        </w:rPr>
      </w:pPr>
      <w:r>
        <w:rPr>
          <w:rFonts w:eastAsia="Wingdings" w:cs="Arial" w:ascii="Arial" w:hAnsi="Arial"/>
        </w:rPr>
        <w:t>Par dimanche : 103 € (soit + 1,9 %) pour la sélection et 136 € pour la distribution (soit + 1,5 %)</w:t>
      </w:r>
    </w:p>
    <w:p>
      <w:pPr>
        <w:pStyle w:val="Normal"/>
        <w:numPr>
          <w:ilvl w:val="1"/>
          <w:numId w:val="3"/>
        </w:numPr>
        <w:jc w:val="both"/>
        <w:rPr>
          <w:rFonts w:eastAsia="Wingdings"/>
        </w:rPr>
      </w:pPr>
      <w:r>
        <w:rPr>
          <w:rFonts w:eastAsia="Wingdings" w:cs="Arial" w:ascii="Arial" w:hAnsi="Arial"/>
        </w:rPr>
        <w:t>Par intervention : 19,50 € (soit +1,5 %)</w:t>
      </w:r>
    </w:p>
    <w:p>
      <w:pPr>
        <w:pStyle w:val="Normal"/>
        <w:numPr>
          <w:ilvl w:val="1"/>
          <w:numId w:val="3"/>
        </w:numPr>
        <w:jc w:val="both"/>
        <w:rPr>
          <w:rFonts w:eastAsia="Wingdings"/>
        </w:rPr>
      </w:pPr>
      <w:r>
        <w:rPr>
          <w:rFonts w:eastAsia="Wingdings" w:cs="Arial" w:ascii="Arial" w:hAnsi="Arial"/>
        </w:rPr>
        <w:t xml:space="preserve">L’astreinte maintenance Elevage passe à 392 € (soit 1,3 %). </w:t>
      </w:r>
    </w:p>
    <w:p>
      <w:pPr>
        <w:pStyle w:val="Normal"/>
        <w:jc w:val="both"/>
        <w:rPr>
          <w:rFonts w:ascii="Arial" w:hAnsi="Arial" w:eastAsia="Wingdings" w:cs="Arial"/>
        </w:rPr>
      </w:pPr>
      <w:r>
        <w:rPr>
          <w:rFonts w:eastAsia="Wingdings" w:cs="Arial" w:ascii="Arial" w:hAnsi="Arial"/>
        </w:rPr>
      </w:r>
    </w:p>
    <w:p>
      <w:pPr>
        <w:pStyle w:val="Normal"/>
        <w:jc w:val="both"/>
        <w:rPr>
          <w:rFonts w:ascii="Arial" w:hAnsi="Arial" w:eastAsia="Wingdings" w:cs="Arial"/>
        </w:rPr>
      </w:pPr>
      <w:r>
        <w:rPr>
          <w:rFonts w:eastAsia="Wingdings" w:cs="Arial" w:ascii="Arial" w:hAnsi="Arial"/>
        </w:rPr>
      </w:r>
    </w:p>
    <w:p>
      <w:pPr>
        <w:pStyle w:val="Normal"/>
        <w:jc w:val="both"/>
        <w:rPr>
          <w:rFonts w:ascii="Arial" w:hAnsi="Arial" w:eastAsia="Wingdings" w:cs="Arial"/>
        </w:rPr>
      </w:pPr>
      <w:r>
        <w:rPr>
          <w:rFonts w:eastAsia="Wingdings" w:cs="Arial" w:ascii="Arial" w:hAnsi="Arial"/>
        </w:rPr>
      </w:r>
    </w:p>
    <w:p>
      <w:pPr>
        <w:pStyle w:val="Normal"/>
        <w:jc w:val="both"/>
        <w:rPr>
          <w:rFonts w:ascii="Arial" w:hAnsi="Arial" w:cs="Arial"/>
        </w:rPr>
      </w:pPr>
      <w:r>
        <w:rPr>
          <w:rFonts w:eastAsia="Wingdings" w:cs="Arial" w:ascii="Arial" w:hAnsi="Arial"/>
          <w:b/>
        </w:rPr>
        <w:t>- Primes familiales</w:t>
      </w:r>
      <w:r>
        <w:rPr>
          <w:rFonts w:eastAsia="Wingdings" w:cs="Arial" w:ascii="Arial" w:hAnsi="Arial"/>
        </w:rPr>
        <w:t> : ce montant s’ajoute à celui versé par le Comité d’Entreprise.</w:t>
      </w:r>
    </w:p>
    <w:p>
      <w:pPr>
        <w:pStyle w:val="Normal"/>
        <w:jc w:val="both"/>
        <w:rPr>
          <w:rFonts w:ascii="Arial" w:hAnsi="Arial" w:eastAsia="Wingdings" w:cs="Arial"/>
        </w:rPr>
      </w:pPr>
      <w:r>
        <w:rPr>
          <w:rFonts w:eastAsia="Wingdings" w:cs="Arial" w:ascii="Arial" w:hAnsi="Arial"/>
        </w:rPr>
      </w:r>
    </w:p>
    <w:p>
      <w:pPr>
        <w:pStyle w:val="Normal"/>
        <w:jc w:val="both"/>
        <w:rPr>
          <w:rFonts w:eastAsia="Wingdings"/>
        </w:rPr>
      </w:pPr>
      <w:r>
        <w:rPr>
          <w:rFonts w:eastAsia="Wingdings" w:cs="Arial" w:ascii="Arial" w:hAnsi="Arial"/>
        </w:rPr>
        <w:tab/>
        <w:t>- mariage ou PACS : de 210 € à 215 €</w:t>
      </w:r>
    </w:p>
    <w:p>
      <w:pPr>
        <w:pStyle w:val="Normal"/>
        <w:ind w:firstLine="708"/>
        <w:jc w:val="both"/>
        <w:rPr>
          <w:rFonts w:ascii="Arial" w:hAnsi="Arial" w:cs="Arial"/>
        </w:rPr>
      </w:pPr>
      <w:r>
        <w:rPr>
          <w:rFonts w:eastAsia="Wingdings" w:cs="Arial" w:ascii="Arial" w:hAnsi="Arial"/>
        </w:rPr>
        <w:t>- naissance ou adoption : de 120 € à 125 €.</w:t>
      </w:r>
    </w:p>
    <w:p>
      <w:pPr>
        <w:pStyle w:val="Normal"/>
        <w:jc w:val="both"/>
        <w:rPr>
          <w:rFonts w:ascii="Arial" w:hAnsi="Arial" w:eastAsia="Wingdings" w:cs="Arial"/>
        </w:rPr>
      </w:pPr>
      <w:r>
        <w:rPr>
          <w:rFonts w:eastAsia="Wingdings" w:cs="Arial" w:ascii="Arial" w:hAnsi="Arial"/>
        </w:rPr>
      </w:r>
    </w:p>
    <w:p>
      <w:pPr>
        <w:pStyle w:val="Normal"/>
        <w:jc w:val="both"/>
        <w:rPr>
          <w:rFonts w:ascii="Arial" w:hAnsi="Arial" w:eastAsia="Wingdings" w:cs="Arial"/>
        </w:rPr>
      </w:pPr>
      <w:r>
        <w:rPr>
          <w:rFonts w:eastAsia="Wingdings" w:cs="Arial" w:ascii="Arial" w:hAnsi="Arial"/>
        </w:rPr>
      </w:r>
    </w:p>
    <w:p>
      <w:pPr>
        <w:pStyle w:val="Normal"/>
        <w:numPr>
          <w:ilvl w:val="0"/>
          <w:numId w:val="8"/>
        </w:numPr>
        <w:jc w:val="both"/>
        <w:rPr>
          <w:rFonts w:ascii="Arial" w:hAnsi="Arial" w:cs="Arial"/>
          <w:b/>
          <w:b/>
          <w:u w:val="single"/>
        </w:rPr>
      </w:pPr>
      <w:r>
        <w:rPr>
          <w:rFonts w:eastAsia="Wingdings" w:cs="Arial" w:ascii="Arial" w:hAnsi="Arial"/>
          <w:b/>
          <w:u w:val="single"/>
        </w:rPr>
        <w:t>Prise en charge des kilomètres entre les sites</w:t>
      </w:r>
    </w:p>
    <w:p>
      <w:pPr>
        <w:pStyle w:val="Normal"/>
        <w:jc w:val="both"/>
        <w:rPr>
          <w:rFonts w:ascii="Arial" w:hAnsi="Arial" w:eastAsia="Wingdings" w:cs="Arial"/>
          <w:b/>
          <w:b/>
          <w:u w:val="single"/>
        </w:rPr>
      </w:pPr>
      <w:r>
        <w:rPr>
          <w:rFonts w:eastAsia="Wingdings" w:cs="Arial" w:ascii="Arial" w:hAnsi="Arial"/>
          <w:b/>
          <w:u w:val="single"/>
        </w:rPr>
      </w:r>
    </w:p>
    <w:p>
      <w:pPr>
        <w:pStyle w:val="Normal"/>
        <w:jc w:val="both"/>
        <w:rPr>
          <w:rFonts w:ascii="Arial" w:hAnsi="Arial" w:cs="Arial"/>
        </w:rPr>
      </w:pPr>
      <w:r>
        <w:rPr>
          <w:rFonts w:eastAsia="Wingdings" w:cs="Arial" w:ascii="Arial" w:hAnsi="Arial"/>
        </w:rPr>
        <w:t>L’entreprise s’engage à faire l’analyse des coûts de déplacement entre les sites afin de s’assurer que le taux kilométrique appliqué à ce jour compense correctement les frais engagés par les salariés. Une étude pour la mise à disposition d’une voiture de service sera également réalisée.</w:t>
      </w:r>
    </w:p>
    <w:p>
      <w:pPr>
        <w:pStyle w:val="Normal"/>
        <w:jc w:val="both"/>
        <w:rPr>
          <w:rFonts w:ascii="Arial" w:hAnsi="Arial" w:eastAsia="Wingdings" w:cs="Arial"/>
        </w:rPr>
      </w:pPr>
      <w:r>
        <w:rPr>
          <w:rFonts w:eastAsia="Wingdings" w:cs="Arial" w:ascii="Arial" w:hAnsi="Arial"/>
        </w:rPr>
      </w:r>
    </w:p>
    <w:p>
      <w:pPr>
        <w:pStyle w:val="Normal"/>
        <w:jc w:val="both"/>
        <w:rPr>
          <w:rFonts w:ascii="Arial" w:hAnsi="Arial" w:eastAsia="Wingdings" w:cs="Arial"/>
        </w:rPr>
      </w:pPr>
      <w:r>
        <w:rPr>
          <w:rFonts w:eastAsia="Wingdings" w:cs="Arial" w:ascii="Arial" w:hAnsi="Arial"/>
        </w:rPr>
      </w:r>
    </w:p>
    <w:p>
      <w:pPr>
        <w:pStyle w:val="Normal"/>
        <w:numPr>
          <w:ilvl w:val="0"/>
          <w:numId w:val="8"/>
        </w:numPr>
        <w:jc w:val="both"/>
        <w:rPr>
          <w:rFonts w:eastAsia="Wingdings"/>
        </w:rPr>
      </w:pPr>
      <w:r>
        <w:rPr>
          <w:rFonts w:eastAsia="Wingdings" w:cs="Arial" w:ascii="Arial" w:hAnsi="Arial"/>
          <w:b/>
          <w:u w:val="single"/>
        </w:rPr>
        <w:t>Intéressement - Participation</w:t>
      </w:r>
    </w:p>
    <w:p>
      <w:pPr>
        <w:pStyle w:val="Normal"/>
        <w:ind w:left="1494" w:hanging="0"/>
        <w:jc w:val="both"/>
        <w:rPr>
          <w:rFonts w:ascii="Arial" w:hAnsi="Arial" w:eastAsia="Wingdings" w:cs="Arial"/>
          <w:b/>
          <w:b/>
          <w:u w:val="single"/>
        </w:rPr>
      </w:pPr>
      <w:r>
        <w:rPr>
          <w:rFonts w:eastAsia="Wingdings" w:cs="Arial" w:ascii="Arial" w:hAnsi="Arial"/>
          <w:b/>
          <w:u w:val="single"/>
        </w:rPr>
      </w:r>
    </w:p>
    <w:p>
      <w:pPr>
        <w:pStyle w:val="Normal"/>
        <w:jc w:val="both"/>
        <w:rPr>
          <w:rFonts w:ascii="Arial" w:hAnsi="Arial" w:cs="Arial"/>
        </w:rPr>
      </w:pPr>
      <w:r>
        <w:rPr>
          <w:rFonts w:eastAsia="Wingdings" w:cs="Arial" w:ascii="Arial" w:hAnsi="Arial"/>
        </w:rPr>
        <w:t xml:space="preserve">Les résultats du Groupe ISA et de la société ISA sas ne sont pas encore validés. A ce jour nous ne pouvons pas donner d’indications précises, mais la Participation correspondant à l’activité 2017 devrait être déclenchée à hauteur de plus de 3 semaines de salaire. </w:t>
      </w:r>
    </w:p>
    <w:p>
      <w:pPr>
        <w:pStyle w:val="Normal"/>
        <w:jc w:val="both"/>
        <w:rPr>
          <w:rFonts w:ascii="Arial" w:hAnsi="Arial" w:cs="Arial"/>
        </w:rPr>
      </w:pPr>
      <w:r>
        <w:rPr>
          <w:rFonts w:eastAsia="Wingdings" w:cs="Arial" w:ascii="Arial" w:hAnsi="Arial"/>
        </w:rPr>
        <w:t>Compte tenu du plafonnement à 4 %, la prime d’Intéressement ne sera pas versée en cas de déclenchement.</w:t>
      </w:r>
    </w:p>
    <w:p>
      <w:pPr>
        <w:pStyle w:val="Normal"/>
        <w:jc w:val="both"/>
        <w:rPr>
          <w:rFonts w:ascii="Arial" w:hAnsi="Arial" w:eastAsia="Wingdings" w:cs="Arial"/>
        </w:rPr>
      </w:pPr>
      <w:r>
        <w:rPr>
          <w:rFonts w:eastAsia="Wingdings" w:cs="Arial" w:ascii="Arial" w:hAnsi="Arial"/>
        </w:rPr>
      </w:r>
    </w:p>
    <w:p>
      <w:pPr>
        <w:pStyle w:val="Normal"/>
        <w:numPr>
          <w:ilvl w:val="0"/>
          <w:numId w:val="8"/>
        </w:numPr>
        <w:jc w:val="both"/>
        <w:rPr>
          <w:rFonts w:ascii="Arial" w:hAnsi="Arial" w:cs="Arial"/>
          <w:b/>
          <w:b/>
          <w:u w:val="single"/>
        </w:rPr>
      </w:pPr>
      <w:r>
        <w:rPr>
          <w:rFonts w:eastAsia="Wingdings" w:cs="Arial" w:ascii="Arial" w:hAnsi="Arial"/>
          <w:b/>
          <w:u w:val="single"/>
        </w:rPr>
        <w:t>RTT</w:t>
      </w:r>
    </w:p>
    <w:p>
      <w:pPr>
        <w:pStyle w:val="Normal"/>
        <w:ind w:left="1494" w:hanging="0"/>
        <w:jc w:val="both"/>
        <w:rPr>
          <w:rFonts w:ascii="Arial" w:hAnsi="Arial" w:eastAsia="Wingdings" w:cs="Arial"/>
          <w:b/>
          <w:b/>
          <w:u w:val="single"/>
        </w:rPr>
      </w:pPr>
      <w:r>
        <w:rPr>
          <w:rFonts w:eastAsia="Wingdings" w:cs="Arial" w:ascii="Arial" w:hAnsi="Arial"/>
          <w:b/>
          <w:u w:val="single"/>
        </w:rPr>
      </w:r>
    </w:p>
    <w:p>
      <w:pPr>
        <w:pStyle w:val="Normal"/>
        <w:jc w:val="both"/>
        <w:rPr>
          <w:rFonts w:ascii="Arial" w:hAnsi="Arial" w:cs="Arial"/>
        </w:rPr>
      </w:pPr>
      <w:r>
        <w:rPr>
          <w:rFonts w:eastAsia="Wingdings" w:cs="Arial" w:ascii="Arial" w:hAnsi="Arial"/>
        </w:rPr>
        <w:t xml:space="preserve">Les salariés sous le régime RTT bénéficieront de 11 jours au titre de l’année 2018, suivant le calcul de l’accord national agricole. Aucun report sur l’année suivante n’est autorisé compte tenu de la mise en place en 2013 du Compte Epargne Temps. </w:t>
      </w:r>
    </w:p>
    <w:p>
      <w:pPr>
        <w:pStyle w:val="Normal"/>
        <w:jc w:val="both"/>
        <w:rPr>
          <w:rFonts w:ascii="Arial" w:hAnsi="Arial" w:eastAsia="Wingdings" w:cs="Arial"/>
        </w:rPr>
      </w:pPr>
      <w:r>
        <w:rPr>
          <w:rFonts w:eastAsia="Wingdings" w:cs="Arial" w:ascii="Arial" w:hAnsi="Arial"/>
        </w:rPr>
      </w:r>
    </w:p>
    <w:p>
      <w:pPr>
        <w:pStyle w:val="Normal"/>
        <w:numPr>
          <w:ilvl w:val="0"/>
          <w:numId w:val="8"/>
        </w:numPr>
        <w:jc w:val="both"/>
        <w:rPr>
          <w:rFonts w:ascii="Arial" w:hAnsi="Arial" w:cs="Arial"/>
          <w:b/>
          <w:b/>
          <w:u w:val="single"/>
        </w:rPr>
      </w:pPr>
      <w:r>
        <w:rPr>
          <w:rFonts w:eastAsia="Wingdings" w:cs="Arial" w:ascii="Arial" w:hAnsi="Arial"/>
          <w:b/>
          <w:u w:val="single"/>
        </w:rPr>
        <w:t xml:space="preserve">Rappels </w:t>
      </w:r>
    </w:p>
    <w:p>
      <w:pPr>
        <w:pStyle w:val="Normal"/>
        <w:jc w:val="both"/>
        <w:rPr>
          <w:rFonts w:ascii="Arial" w:hAnsi="Arial" w:eastAsia="Wingdings" w:cs="Arial"/>
          <w:b/>
          <w:b/>
          <w:u w:val="single"/>
        </w:rPr>
      </w:pPr>
      <w:r>
        <w:rPr>
          <w:rFonts w:eastAsia="Wingdings" w:cs="Arial" w:ascii="Arial" w:hAnsi="Arial"/>
          <w:b/>
          <w:u w:val="single"/>
        </w:rPr>
      </w:r>
    </w:p>
    <w:p>
      <w:pPr>
        <w:pStyle w:val="Normal"/>
        <w:jc w:val="both"/>
        <w:rPr>
          <w:rFonts w:ascii="Arial" w:hAnsi="Arial" w:eastAsia="Wingdings" w:cs="Arial"/>
        </w:rPr>
      </w:pPr>
      <w:r>
        <w:rPr>
          <w:rFonts w:eastAsia="Wingdings" w:cs="Arial" w:ascii="Arial" w:hAnsi="Arial"/>
        </w:rPr>
        <w:t>Suite à l’accord collectif de juillet 2017, les deux points suivants ont été rappelés :</w:t>
      </w:r>
    </w:p>
    <w:p>
      <w:pPr>
        <w:pStyle w:val="Normal"/>
        <w:jc w:val="both"/>
        <w:rPr>
          <w:rFonts w:ascii="Arial" w:hAnsi="Arial" w:eastAsia="Wingdings" w:cs="Arial"/>
        </w:rPr>
      </w:pPr>
      <w:r>
        <w:rPr>
          <w:rFonts w:eastAsia="Wingdings" w:cs="Arial" w:ascii="Arial" w:hAnsi="Arial"/>
        </w:rPr>
      </w:r>
    </w:p>
    <w:p>
      <w:pPr>
        <w:pStyle w:val="Normal"/>
        <w:jc w:val="both"/>
        <w:rPr>
          <w:rFonts w:ascii="Arial" w:hAnsi="Arial" w:cs="Arial"/>
        </w:rPr>
      </w:pPr>
      <w:r>
        <w:rPr>
          <w:rFonts w:eastAsia="Wingdings" w:cs="Arial" w:ascii="Arial" w:hAnsi="Arial"/>
        </w:rPr>
        <w:t>-Le nombre est de 10 jours d’Absence Autorisée (AA) par année pour les fermes de sélection - à prendre selon les modalités définies par l’accord de juillet 2017 ; aucun report sur l’année suivante n’est autorisé.</w:t>
      </w:r>
    </w:p>
    <w:p>
      <w:pPr>
        <w:pStyle w:val="Normal"/>
        <w:jc w:val="both"/>
        <w:rPr>
          <w:rFonts w:ascii="Arial" w:hAnsi="Arial" w:eastAsia="Wingdings" w:cs="Arial"/>
        </w:rPr>
      </w:pPr>
      <w:r>
        <w:rPr>
          <w:rFonts w:eastAsia="Wingdings" w:cs="Arial" w:ascii="Arial" w:hAnsi="Arial"/>
        </w:rPr>
      </w:r>
    </w:p>
    <w:p>
      <w:pPr>
        <w:pStyle w:val="Normal"/>
        <w:jc w:val="both"/>
        <w:rPr>
          <w:rFonts w:eastAsia="Wingdings"/>
        </w:rPr>
      </w:pPr>
      <w:r>
        <w:rPr>
          <w:rFonts w:eastAsia="Wingdings" w:cs="Arial" w:ascii="Arial" w:hAnsi="Arial"/>
        </w:rPr>
        <w:t>- Les salariés sont éligibles au 13</w:t>
      </w:r>
      <w:r>
        <w:rPr>
          <w:rFonts w:eastAsia="Wingdings" w:cs="Arial" w:ascii="Arial" w:hAnsi="Arial"/>
          <w:vertAlign w:val="superscript"/>
        </w:rPr>
        <w:t>e</w:t>
      </w:r>
      <w:r>
        <w:rPr>
          <w:rFonts w:eastAsia="Wingdings" w:cs="Arial" w:ascii="Arial" w:hAnsi="Arial"/>
        </w:rPr>
        <w:t xml:space="preserve"> mois à compter de 6 mois d’ancienneté. </w:t>
      </w:r>
    </w:p>
    <w:p>
      <w:pPr>
        <w:pStyle w:val="Normal"/>
        <w:tabs>
          <w:tab w:val="left" w:pos="8042" w:leader="none"/>
        </w:tabs>
        <w:jc w:val="both"/>
        <w:rPr>
          <w:rFonts w:ascii="Arial" w:hAnsi="Arial" w:cs="Arial"/>
        </w:rPr>
      </w:pPr>
      <w:r>
        <w:rPr>
          <w:rFonts w:eastAsia="Wingdings" w:cs="Arial" w:ascii="Arial" w:hAnsi="Arial"/>
        </w:rPr>
        <w:tab/>
      </w:r>
    </w:p>
    <w:p>
      <w:pPr>
        <w:pStyle w:val="TextBody"/>
        <w:ind w:firstLine="708"/>
        <w:jc w:val="both"/>
        <w:rPr>
          <w:rFonts w:ascii="Arial" w:hAnsi="Arial" w:eastAsia="Wingdings" w:cs="Arial"/>
          <w:b/>
          <w:b/>
          <w:sz w:val="20"/>
          <w:u w:val="single"/>
        </w:rPr>
      </w:pPr>
      <w:r>
        <w:rPr>
          <w:rFonts w:eastAsia="Wingdings" w:cs="Arial" w:ascii="Arial" w:hAnsi="Arial"/>
          <w:b/>
          <w:sz w:val="20"/>
          <w:u w:val="single"/>
        </w:rPr>
      </w:r>
    </w:p>
    <w:p>
      <w:pPr>
        <w:pStyle w:val="TextBody"/>
        <w:ind w:firstLine="708"/>
        <w:jc w:val="both"/>
        <w:rPr>
          <w:rFonts w:ascii="Arial" w:hAnsi="Arial" w:cs="Arial"/>
          <w:b/>
          <w:b/>
          <w:sz w:val="20"/>
        </w:rPr>
      </w:pPr>
      <w:r>
        <w:rPr>
          <w:rFonts w:eastAsia="Wingdings" w:cs="Arial" w:ascii="Arial" w:hAnsi="Arial"/>
          <w:b/>
          <w:sz w:val="20"/>
          <w:u w:val="single"/>
        </w:rPr>
        <w:t>Direction ISA</w:t>
      </w:r>
      <w:r>
        <w:rPr>
          <w:rFonts w:eastAsia="Wingdings" w:cs="Arial" w:ascii="Arial" w:hAnsi="Arial"/>
          <w:b/>
          <w:sz w:val="20"/>
        </w:rPr>
        <w:tab/>
        <w:tab/>
        <w:tab/>
        <w:tab/>
        <w:tab/>
        <w:tab/>
      </w:r>
      <w:r>
        <w:rPr>
          <w:rFonts w:eastAsia="Wingdings" w:cs="Arial" w:ascii="Arial" w:hAnsi="Arial"/>
          <w:b/>
          <w:sz w:val="20"/>
          <w:u w:val="single"/>
        </w:rPr>
        <w:t>La secrétaire de la DUP</w:t>
      </w:r>
      <w:r>
        <w:rPr>
          <w:rFonts w:eastAsia="Wingdings" w:cs="Arial" w:ascii="Arial" w:hAnsi="Arial"/>
          <w:b/>
          <w:sz w:val="20"/>
        </w:rPr>
        <w:tab/>
        <w:tab/>
        <w:tab/>
        <w:t xml:space="preserve">     </w:t>
      </w:r>
    </w:p>
    <w:p>
      <w:pPr>
        <w:pStyle w:val="TextBody"/>
        <w:jc w:val="both"/>
        <w:rPr>
          <w:rFonts w:eastAsia="Wingdings"/>
        </w:rPr>
      </w:pPr>
      <w:r>
        <w:rPr>
          <w:rFonts w:eastAsia="Wingdings" w:cs="Arial" w:ascii="Arial" w:hAnsi="Arial"/>
          <w:b/>
          <w:sz w:val="20"/>
        </w:rPr>
        <w:tab/>
        <w:t>XXXXXXXX</w:t>
        <w:tab/>
        <w:tab/>
        <w:tab/>
        <w:tab/>
        <w:tab/>
        <w:tab/>
        <w:t>XXXXXXXXX</w:t>
        <w:tab/>
      </w:r>
    </w:p>
    <w:sectPr>
      <w:footerReference w:type="default" r:id="rId2"/>
      <w:type w:val="nextPage"/>
      <w:pgSz w:w="11906" w:h="16838"/>
      <w:pgMar w:left="567" w:right="567" w:header="0" w:top="567" w:footer="550" w:bottom="606"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 w:name="Book Antiqua">
    <w:charset w:val="00"/>
    <w:family w:val="roman"/>
    <w:pitch w:val="variable"/>
  </w:font>
  <w:font w:name="Calibri Light">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PAGE </w:instrText>
    </w:r>
    <w:r>
      <w:fldChar w:fldCharType="separate"/>
    </w:r>
    <w:r>
      <w:t>4</w:t>
    </w:r>
    <w:r>
      <w:fldChar w:fldCharType="end"/>
    </w:r>
  </w:p>
  <w:p>
    <w:pPr>
      <w:pStyle w:val="Heading4"/>
      <w:numPr>
        <w:ilvl w:val="3"/>
        <w:numId w:val="1"/>
      </w:numPr>
      <w:ind w:left="-993" w:hanging="0"/>
      <w:jc w:val="left"/>
      <w:rPr>
        <w:b w:val="false"/>
        <w:b w:val="false"/>
      </w:rPr>
    </w:pPr>
    <w:r>
      <w:rPr>
        <w:b w:val="fals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16"/>
        <w:szCs w:val="16"/>
        <w:rFonts w:ascii="Arial" w:hAnsi="Arial" w:cs="Arial"/>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rFonts w:cs="Symbol"/>
        <w:color w:val="000000"/>
      </w:rPr>
    </w:lvl>
  </w:abstractNum>
  <w:abstractNum w:abstractNumId="6">
    <w:lvl w:ilvl="0">
      <w:start w:val="1"/>
      <w:numFmt w:val="bullet"/>
      <w:lvlText w:val=""/>
      <w:lvlJc w:val="left"/>
      <w:pPr>
        <w:ind w:left="644" w:hanging="360"/>
      </w:pPr>
      <w:rPr>
        <w:rFonts w:ascii="Symbol" w:hAnsi="Symbol" w:cs="Symbol" w:hint="default"/>
        <w:rFonts w:cs="Symbol"/>
      </w:rPr>
    </w:lvl>
  </w:abstractNum>
  <w:abstractNum w:abstractNumId="7">
    <w:lvl w:ilvl="0">
      <w:start w:val="1"/>
      <w:numFmt w:val="bullet"/>
      <w:lvlText w:val="o"/>
      <w:lvlJc w:val="left"/>
      <w:pPr>
        <w:ind w:left="720" w:hanging="360"/>
      </w:pPr>
      <w:rPr>
        <w:rFonts w:ascii="Courier New" w:hAnsi="Courier New" w:cs="Courier New" w:hint="default"/>
        <w:rFonts w:cs="Courier New"/>
      </w:rPr>
    </w:lvl>
  </w:abstractNum>
  <w:abstractNum w:abstractNumId="8">
    <w:lvl w:ilvl="0">
      <w:start w:val="1"/>
      <w:numFmt w:val="decimal"/>
      <w:lvlText w:val="%1."/>
      <w:lvlJc w:val="left"/>
      <w:pPr>
        <w:ind w:left="1494" w:hanging="360"/>
      </w:pPr>
      <w:rPr>
        <w:b/>
        <w:rFonts w:ascii="Arial" w:hAnsi="Arial" w:cs="Arial"/>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outlineLvl w:val="0"/>
      <w:outlineLvl w:val="0"/>
    </w:pPr>
    <w:rPr>
      <w:b/>
      <w:sz w:val="28"/>
    </w:rPr>
  </w:style>
  <w:style w:type="paragraph" w:styleId="Heading2">
    <w:name w:val="Heading 2"/>
    <w:basedOn w:val="Normal"/>
    <w:next w:val="Normal"/>
    <w:qFormat/>
    <w:pPr>
      <w:keepNext/>
      <w:numPr>
        <w:ilvl w:val="1"/>
        <w:numId w:val="1"/>
      </w:numPr>
      <w:ind w:left="708" w:hanging="0"/>
      <w:outlineLvl w:val="1"/>
      <w:outlineLvl w:val="1"/>
    </w:pPr>
    <w:rPr>
      <w:sz w:val="24"/>
    </w:rPr>
  </w:style>
  <w:style w:type="paragraph" w:styleId="Heading3">
    <w:name w:val="Heading 3"/>
    <w:basedOn w:val="Normal"/>
    <w:next w:val="Normal"/>
    <w:qFormat/>
    <w:pPr>
      <w:keepNext/>
      <w:numPr>
        <w:ilvl w:val="2"/>
        <w:numId w:val="1"/>
      </w:numPr>
      <w:ind w:left="708" w:hanging="0"/>
      <w:outlineLvl w:val="2"/>
      <w:outlineLvl w:val="2"/>
    </w:pPr>
    <w:rPr>
      <w:b/>
      <w:sz w:val="24"/>
    </w:rPr>
  </w:style>
  <w:style w:type="paragraph" w:styleId="Heading4">
    <w:name w:val="Heading 4"/>
    <w:basedOn w:val="Normal"/>
    <w:next w:val="Normal"/>
    <w:qFormat/>
    <w:pPr>
      <w:keepNext/>
      <w:numPr>
        <w:ilvl w:val="3"/>
        <w:numId w:val="1"/>
      </w:numPr>
      <w:jc w:val="center"/>
      <w:outlineLvl w:val="3"/>
      <w:outlineLvl w:val="3"/>
    </w:pPr>
    <w:rPr>
      <w:b/>
      <w:sz w:val="24"/>
    </w:rPr>
  </w:style>
  <w:style w:type="paragraph" w:styleId="Heading5">
    <w:name w:val="Heading 5"/>
    <w:basedOn w:val="Normal"/>
    <w:next w:val="Normal"/>
    <w:qFormat/>
    <w:pPr>
      <w:keepNext/>
      <w:numPr>
        <w:ilvl w:val="4"/>
        <w:numId w:val="1"/>
      </w:numPr>
      <w:outlineLvl w:val="4"/>
      <w:outlineLvl w:val="4"/>
    </w:pPr>
    <w:rPr>
      <w:i/>
      <w:sz w:val="24"/>
    </w:rPr>
  </w:style>
  <w:style w:type="paragraph" w:styleId="Heading6">
    <w:name w:val="Heading 6"/>
    <w:basedOn w:val="Normal"/>
    <w:next w:val="Normal"/>
    <w:qFormat/>
    <w:pPr>
      <w:keepNext/>
      <w:numPr>
        <w:ilvl w:val="5"/>
        <w:numId w:val="1"/>
      </w:numPr>
      <w:ind w:left="708" w:firstLine="708"/>
      <w:outlineLvl w:val="5"/>
      <w:outlineLvl w:val="5"/>
    </w:pPr>
    <w:rPr>
      <w:sz w:val="24"/>
    </w:rPr>
  </w:style>
  <w:style w:type="paragraph" w:styleId="Heading7">
    <w:name w:val="Heading 7"/>
    <w:basedOn w:val="Normal"/>
    <w:next w:val="Normal"/>
    <w:qFormat/>
    <w:pPr>
      <w:keepNext/>
      <w:numPr>
        <w:ilvl w:val="6"/>
        <w:numId w:val="1"/>
      </w:numPr>
      <w:ind w:left="708" w:hanging="0"/>
      <w:outlineLvl w:val="6"/>
      <w:outlineLvl w:val="6"/>
    </w:pPr>
    <w:rPr>
      <w:b/>
      <w:sz w:val="24"/>
      <w:u w:val="single"/>
    </w:rPr>
  </w:style>
  <w:style w:type="paragraph" w:styleId="Heading8">
    <w:name w:val="Heading 8"/>
    <w:basedOn w:val="Normal"/>
    <w:next w:val="Normal"/>
    <w:qFormat/>
    <w:pPr>
      <w:keepNext/>
      <w:numPr>
        <w:ilvl w:val="7"/>
        <w:numId w:val="1"/>
      </w:numPr>
      <w:outlineLvl w:val="7"/>
      <w:outlineLvl w:val="7"/>
    </w:pPr>
    <w:rPr>
      <w:b/>
      <w:sz w:val="24"/>
    </w:rPr>
  </w:style>
  <w:style w:type="paragraph" w:styleId="Heading9">
    <w:name w:val="Heading 9"/>
    <w:basedOn w:val="Normal"/>
    <w:next w:val="Normal"/>
    <w:qFormat/>
    <w:pPr>
      <w:keepNext/>
      <w:numPr>
        <w:ilvl w:val="8"/>
        <w:numId w:val="1"/>
      </w:numPr>
      <w:jc w:val="both"/>
      <w:outlineLvl w:val="8"/>
      <w:outlineLvl w:val="8"/>
    </w:pPr>
    <w:rPr>
      <w:sz w:val="24"/>
    </w:rPr>
  </w:style>
  <w:style w:type="character" w:styleId="WW8Num1z0">
    <w:name w:val="WW8Num1z0"/>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Arial" w:hAnsi="Arial" w:cs="Arial"/>
      <w:sz w:val="16"/>
      <w:szCs w:val="16"/>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3z0">
    <w:name w:val="WW8Num13z0"/>
    <w:qFormat/>
    <w:rPr>
      <w:rFonts w:ascii="Symbol" w:hAnsi="Symbol" w:cs="Symbol"/>
    </w:rPr>
  </w:style>
  <w:style w:type="character" w:styleId="WW8Num14z0">
    <w:name w:val="WW8Num14z0"/>
    <w:qFormat/>
    <w:rPr/>
  </w:style>
  <w:style w:type="character" w:styleId="WW8Num15z0">
    <w:name w:val="WW8Num15z0"/>
    <w:qFormat/>
    <w:rPr/>
  </w:style>
  <w:style w:type="character" w:styleId="WW8Num15z1">
    <w:name w:val="WW8Num15z1"/>
    <w:qFormat/>
    <w:rPr/>
  </w:style>
  <w:style w:type="character" w:styleId="WW8Num16z0">
    <w:name w:val="WW8Num16z0"/>
    <w:qFormat/>
    <w:rPr>
      <w:rFonts w:ascii="Symbol" w:hAnsi="Symbol" w:cs="Symbol"/>
      <w:color w:val="000000"/>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b/>
      <w:i w:val="false"/>
    </w:rPr>
  </w:style>
  <w:style w:type="character" w:styleId="WW8Num18z0">
    <w:name w:val="WW8Num18z0"/>
    <w:qFormat/>
    <w:rPr>
      <w:rFonts w:ascii="Symbol" w:hAnsi="Symbol" w:cs="Symbol"/>
    </w:rPr>
  </w:style>
  <w:style w:type="character" w:styleId="WW8Num19z0">
    <w:name w:val="WW8Num19z0"/>
    <w:qFormat/>
    <w:rPr>
      <w:rFonts w:ascii="Symbol" w:hAnsi="Symbol" w:cs="Symbol"/>
    </w:rPr>
  </w:style>
  <w:style w:type="character" w:styleId="WW8Num20z0">
    <w:name w:val="WW8Num20z0"/>
    <w:qFormat/>
    <w:rPr>
      <w:rFonts w:ascii="Symbol" w:hAnsi="Symbol" w:cs="Symbol"/>
      <w:color w:val="00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style>
  <w:style w:type="character" w:styleId="WW8Num25z0">
    <w:name w:val="WW8Num25z0"/>
    <w:qFormat/>
    <w:rPr>
      <w:rFonts w:ascii="Symbol" w:hAnsi="Symbol" w:cs="Symbol"/>
      <w:color w:val="000000"/>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color w:val="000000"/>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9z0">
    <w:name w:val="WW8Num29z0"/>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1z0">
    <w:name w:val="WW8Num31z0"/>
    <w:qFormat/>
    <w:rPr>
      <w:rFonts w:ascii="Arial" w:hAnsi="Arial" w:cs="Arial"/>
      <w:b/>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color w:val="000000"/>
      <w:sz w:val="20"/>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6z0">
    <w:name w:val="WW8Num36z0"/>
    <w:qFormat/>
    <w:rPr>
      <w:rFonts w:ascii="Symbol" w:hAnsi="Symbol" w:cs="Symbol"/>
    </w:rPr>
  </w:style>
  <w:style w:type="character" w:styleId="WW8Num37z0">
    <w:name w:val="WW8Num37z0"/>
    <w:qFormat/>
    <w:rPr>
      <w:rFonts w:ascii="Symbol" w:hAnsi="Symbol" w:cs="Symbol"/>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40z0">
    <w:name w:val="WW8Num40z0"/>
    <w:qFormat/>
    <w:rPr>
      <w:rFonts w:ascii="Symbol" w:hAnsi="Symbol" w:cs="Symbol"/>
    </w:rPr>
  </w:style>
  <w:style w:type="character" w:styleId="WW8Num41z0">
    <w:name w:val="WW8Num41z0"/>
    <w:qFormat/>
    <w:rPr>
      <w:rFonts w:ascii="Wingdings" w:hAnsi="Wingdings" w:cs="Wingdings"/>
    </w:rPr>
  </w:style>
  <w:style w:type="character" w:styleId="WW8Num41z1">
    <w:name w:val="WW8Num41z1"/>
    <w:qFormat/>
    <w:rPr>
      <w:rFonts w:ascii="Courier New" w:hAnsi="Courier New" w:cs="Courier New"/>
    </w:rPr>
  </w:style>
  <w:style w:type="character" w:styleId="WW8Num41z3">
    <w:name w:val="WW8Num41z3"/>
    <w:qFormat/>
    <w:rPr>
      <w:rFonts w:ascii="Symbol" w:hAnsi="Symbol" w:cs="Symbol"/>
    </w:rPr>
  </w:style>
  <w:style w:type="character" w:styleId="WW8Num42z0">
    <w:name w:val="WW8Num42z0"/>
    <w:qFormat/>
    <w:rPr>
      <w:rFonts w:ascii="Symbol" w:hAnsi="Symbol" w:cs="Symbol"/>
    </w:rPr>
  </w:style>
  <w:style w:type="character" w:styleId="WW8Num43z0">
    <w:name w:val="WW8Num43z0"/>
    <w:qFormat/>
    <w:rPr>
      <w:rFonts w:ascii="Symbol" w:hAnsi="Symbol" w:cs="Symbol"/>
    </w:rPr>
  </w:style>
  <w:style w:type="character" w:styleId="WW8Num44z0">
    <w:name w:val="WW8Num44z0"/>
    <w:qFormat/>
    <w:rPr/>
  </w:style>
  <w:style w:type="character" w:styleId="WW8Num45z0">
    <w:name w:val="WW8Num45z0"/>
    <w:qFormat/>
    <w:rPr>
      <w:rFonts w:ascii="Symbol" w:hAnsi="Symbol" w:cs="Symbol"/>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PieddepageCar">
    <w:name w:val="Pied de page Car"/>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708" w:hanging="0"/>
    </w:pPr>
    <w:rPr>
      <w:b/>
      <w:sz w:val="24"/>
    </w:rPr>
  </w:style>
  <w:style w:type="paragraph" w:styleId="Corpsdetexte2">
    <w:name w:val="Corps de texte 2"/>
    <w:basedOn w:val="Normal"/>
    <w:qFormat/>
    <w:pPr>
      <w:ind w:right="-142" w:hanging="0"/>
    </w:pPr>
    <w:rPr>
      <w:sz w:val="24"/>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3">
    <w:name w:val="Corps de texte 3"/>
    <w:basedOn w:val="Normal"/>
    <w:qFormat/>
    <w:pPr>
      <w:jc w:val="both"/>
    </w:pPr>
    <w:rPr>
      <w:b/>
      <w:sz w:val="24"/>
    </w:rPr>
  </w:style>
  <w:style w:type="paragraph" w:styleId="Textedebulles">
    <w:name w:val="Texte de bulles"/>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2018-02-23T12:20:00Z</dcterms:created>
  <dc:language>en-GB</dc:language>
  <cp:lastPrinted>2018-02-14T14:12:00Z</cp:lastPrinted>
  <dcterms:modified xsi:type="dcterms:W3CDTF">2018-02-23T12:23:00Z</dcterms:modified>
  <cp:revision>3</cp:revision>
  <dc:title>NEGOCIATION ANNUELLE OBLIGATOIRE 2000</dc:title>
</cp:coreProperties>
</file>