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edeliste"/>
        <w:pBdr>
          <w:top w:val="single" w:sz="4" w:space="1" w:color="000000"/>
          <w:left w:val="single" w:sz="4" w:space="4" w:color="000000"/>
          <w:bottom w:val="single" w:sz="4" w:space="7" w:color="000000"/>
          <w:right w:val="single" w:sz="4" w:space="4" w:color="000000"/>
        </w:pBdr>
        <w:spacing w:lineRule="auto" w:line="240" w:before="0" w:after="0"/>
        <w:ind w:left="0" w:hanging="0"/>
        <w:contextualSpacing/>
        <w:jc w:val="center"/>
        <w:rPr>
          <w:rFonts w:ascii="Arial" w:hAnsi="Arial" w:cs="Arial"/>
          <w:b/>
          <w:b/>
          <w:i/>
          <w:i/>
          <w:sz w:val="28"/>
          <w:szCs w:val="28"/>
        </w:rPr>
      </w:pPr>
      <w:r>
        <w:rPr>
          <w:rFonts w:cs="Arial" w:ascii="Arial" w:hAnsi="Arial"/>
          <w:b/>
          <w:sz w:val="28"/>
          <w:szCs w:val="28"/>
        </w:rPr>
        <w:t>Accord sur l’échéance des mandats du CE,  DP et  CHSCT  en raison de la mise en place à venir du  comité social et économique (CSE)</w:t>
      </w:r>
    </w:p>
    <w:p>
      <w:pPr>
        <w:pStyle w:val="Normal"/>
        <w:spacing w:before="0" w:after="240"/>
        <w:rPr>
          <w:rFonts w:ascii="Arial" w:hAnsi="Arial" w:cs="Arial"/>
          <w:b/>
          <w:b/>
          <w:bCs/>
          <w:i/>
          <w:i/>
          <w:sz w:val="22"/>
          <w:szCs w:val="22"/>
        </w:rPr>
      </w:pPr>
      <w:r>
        <w:rPr>
          <w:rFonts w:cs="Arial" w:ascii="Arial" w:hAnsi="Arial"/>
          <w:b/>
          <w:bCs/>
          <w:i/>
          <w:sz w:val="22"/>
          <w:szCs w:val="22"/>
        </w:rPr>
      </w:r>
    </w:p>
    <w:p>
      <w:pPr>
        <w:pStyle w:val="Normal"/>
        <w:spacing w:before="0" w:after="120"/>
        <w:rPr>
          <w:rFonts w:ascii="Arial" w:hAnsi="Arial" w:cs="Arial"/>
          <w:sz w:val="22"/>
          <w:szCs w:val="22"/>
        </w:rPr>
      </w:pPr>
      <w:r>
        <w:rPr>
          <w:rFonts w:cs="Arial" w:ascii="Arial" w:hAnsi="Arial"/>
          <w:b/>
          <w:bCs/>
          <w:sz w:val="22"/>
          <w:szCs w:val="22"/>
        </w:rPr>
        <w:t>ENTRE LES SOUSSIGNES :</w:t>
      </w:r>
    </w:p>
    <w:p>
      <w:pPr>
        <w:pStyle w:val="Normal"/>
        <w:spacing w:before="0" w:after="120"/>
        <w:rPr>
          <w:rFonts w:ascii="Arial" w:hAnsi="Arial" w:cs="Arial"/>
          <w:b/>
          <w:b/>
          <w:sz w:val="22"/>
          <w:szCs w:val="22"/>
        </w:rPr>
      </w:pPr>
      <w:r>
        <w:rPr>
          <w:rFonts w:cs="Arial" w:ascii="Arial" w:hAnsi="Arial"/>
          <w:sz w:val="22"/>
          <w:szCs w:val="22"/>
        </w:rPr>
        <w:t xml:space="preserve">Société </w:t>
      </w:r>
    </w:p>
    <w:p>
      <w:pPr>
        <w:pStyle w:val="Normal"/>
        <w:spacing w:before="0" w:after="120"/>
        <w:rPr>
          <w:rFonts w:ascii="Arial" w:hAnsi="Arial" w:cs="Arial"/>
          <w:sz w:val="22"/>
          <w:szCs w:val="22"/>
        </w:rPr>
      </w:pPr>
      <w:r>
        <w:rPr>
          <w:rFonts w:cs="Arial" w:ascii="Arial" w:hAnsi="Arial"/>
          <w:sz w:val="22"/>
          <w:szCs w:val="22"/>
        </w:rPr>
        <w:t xml:space="preserve">dont le siège social est situé </w:t>
      </w:r>
    </w:p>
    <w:p>
      <w:pPr>
        <w:pStyle w:val="Normal"/>
        <w:spacing w:before="0" w:after="120"/>
        <w:rPr>
          <w:rFonts w:ascii="Arial" w:hAnsi="Arial" w:cs="Arial"/>
          <w:sz w:val="22"/>
          <w:szCs w:val="22"/>
        </w:rPr>
      </w:pPr>
      <w:r>
        <w:rPr>
          <w:rFonts w:cs="Arial" w:ascii="Arial" w:hAnsi="Arial"/>
          <w:sz w:val="22"/>
          <w:szCs w:val="22"/>
        </w:rPr>
        <w:t>Représentée par  , ayant tous pouvoirs à l’effet des présentes</w:t>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jc w:val="right"/>
        <w:rPr>
          <w:rFonts w:ascii="Arial" w:hAnsi="Arial" w:cs="Arial"/>
          <w:sz w:val="22"/>
          <w:szCs w:val="22"/>
        </w:rPr>
      </w:pPr>
      <w:r>
        <w:rPr>
          <w:rFonts w:cs="Arial" w:ascii="Arial" w:hAnsi="Arial"/>
          <w:sz w:val="22"/>
          <w:szCs w:val="22"/>
        </w:rPr>
        <w:t>D’une part,</w:t>
      </w:r>
    </w:p>
    <w:p>
      <w:pPr>
        <w:pStyle w:val="Normal"/>
        <w:spacing w:before="0" w:after="120"/>
        <w:ind w:right="7938" w:hanging="0"/>
        <w:rPr>
          <w:rFonts w:ascii="Arial" w:hAnsi="Arial" w:cs="Arial"/>
          <w:b/>
          <w:b/>
          <w:sz w:val="22"/>
          <w:szCs w:val="22"/>
        </w:rPr>
      </w:pPr>
      <w:r>
        <w:rPr>
          <w:rFonts w:cs="Arial" w:ascii="Arial" w:hAnsi="Arial"/>
          <w:b/>
          <w:sz w:val="22"/>
          <w:szCs w:val="22"/>
        </w:rPr>
        <w:t>ET :</w:t>
      </w:r>
    </w:p>
    <w:p>
      <w:pPr>
        <w:pStyle w:val="Normal"/>
        <w:spacing w:before="0" w:after="120"/>
        <w:rPr>
          <w:rFonts w:ascii="Arial" w:hAnsi="Arial" w:cs="Arial"/>
          <w:sz w:val="22"/>
          <w:szCs w:val="22"/>
        </w:rPr>
      </w:pPr>
      <w:r>
        <w:rPr>
          <w:rFonts w:cs="Arial" w:ascii="Arial" w:hAnsi="Arial"/>
          <w:sz w:val="22"/>
          <w:szCs w:val="22"/>
        </w:rPr>
        <w:t xml:space="preserve">Le secrétaire du CE, </w:t>
      </w:r>
    </w:p>
    <w:p>
      <w:pPr>
        <w:pStyle w:val="Normal"/>
        <w:spacing w:before="0" w:after="120"/>
        <w:rPr>
          <w:rFonts w:ascii="Arial" w:hAnsi="Arial" w:cs="Arial"/>
          <w:sz w:val="22"/>
          <w:szCs w:val="22"/>
        </w:rPr>
      </w:pPr>
      <w:r>
        <w:rPr>
          <w:rFonts w:cs="Arial" w:ascii="Arial" w:hAnsi="Arial"/>
          <w:sz w:val="22"/>
          <w:szCs w:val="22"/>
        </w:rPr>
      </w:r>
    </w:p>
    <w:p>
      <w:pPr>
        <w:pStyle w:val="Normal"/>
        <w:spacing w:before="0" w:after="240"/>
        <w:jc w:val="right"/>
        <w:rPr>
          <w:rFonts w:ascii="Arial" w:hAnsi="Arial" w:eastAsia="Calibri" w:cs="Arial"/>
          <w:sz w:val="22"/>
          <w:szCs w:val="22"/>
          <w:lang w:eastAsia="en-US"/>
        </w:rPr>
      </w:pPr>
      <w:r>
        <w:rPr>
          <w:rFonts w:eastAsia="Calibri" w:cs="Arial" w:ascii="Arial" w:hAnsi="Arial"/>
          <w:sz w:val="22"/>
          <w:szCs w:val="22"/>
          <w:lang w:eastAsia="en-US"/>
        </w:rPr>
      </w:r>
    </w:p>
    <w:p>
      <w:pPr>
        <w:pStyle w:val="Normal"/>
        <w:spacing w:before="0" w:after="240"/>
        <w:jc w:val="both"/>
        <w:rPr>
          <w:rFonts w:ascii="Arial" w:hAnsi="Arial" w:eastAsia="Calibri" w:cs="Arial"/>
          <w:b/>
          <w:b/>
          <w:sz w:val="22"/>
          <w:szCs w:val="22"/>
          <w:lang w:eastAsia="en-US"/>
        </w:rPr>
      </w:pPr>
      <w:r>
        <w:rPr>
          <w:rFonts w:eastAsia="Calibri" w:cs="Arial" w:ascii="Arial" w:hAnsi="Arial"/>
          <w:b/>
          <w:smallCaps/>
          <w:sz w:val="22"/>
          <w:szCs w:val="22"/>
          <w:lang w:eastAsia="en-US"/>
        </w:rPr>
        <w:t>PREAMBULE </w:t>
      </w:r>
      <w:r>
        <w:rPr>
          <w:rFonts w:eastAsia="Calibri" w:cs="Arial" w:ascii="Arial" w:hAnsi="Arial"/>
          <w:b/>
          <w:sz w:val="22"/>
          <w:szCs w:val="22"/>
          <w:lang w:eastAsia="en-US"/>
        </w:rPr>
        <w:t xml:space="preserve"> </w:t>
      </w:r>
    </w:p>
    <w:p>
      <w:pPr>
        <w:pStyle w:val="Normal"/>
        <w:jc w:val="both"/>
        <w:rPr>
          <w:rFonts w:ascii="Arial" w:hAnsi="Arial" w:cs="Arial"/>
          <w:i/>
          <w:i/>
          <w:sz w:val="22"/>
          <w:szCs w:val="22"/>
        </w:rPr>
      </w:pPr>
      <w:r>
        <w:rPr>
          <w:rFonts w:cs="Arial" w:ascii="Arial" w:hAnsi="Arial"/>
          <w:sz w:val="22"/>
          <w:szCs w:val="22"/>
        </w:rPr>
        <w:t xml:space="preserve">Les mandats des membres des CE et DP sont arrivés à échéance le 26 décembre 2017 </w:t>
      </w:r>
    </w:p>
    <w:p>
      <w:pPr>
        <w:pStyle w:val="Normal"/>
        <w:jc w:val="both"/>
        <w:rPr>
          <w:rFonts w:ascii="Arial" w:hAnsi="Arial" w:cs="Arial"/>
          <w:i/>
          <w:i/>
          <w:sz w:val="22"/>
          <w:szCs w:val="22"/>
        </w:rPr>
      </w:pPr>
      <w:r>
        <w:rPr>
          <w:rFonts w:cs="Arial" w:ascii="Arial" w:hAnsi="Arial"/>
          <w:sz w:val="22"/>
          <w:szCs w:val="22"/>
        </w:rPr>
        <w:t>Les mandats des membres du CHSCT arrivent à échéance le 5 février 2018</w:t>
      </w:r>
    </w:p>
    <w:p>
      <w:pPr>
        <w:pStyle w:val="Normal"/>
        <w:jc w:val="both"/>
        <w:rPr>
          <w:rFonts w:ascii="Arial" w:hAnsi="Arial" w:cs="Arial"/>
          <w:i/>
          <w:i/>
          <w:sz w:val="22"/>
          <w:szCs w:val="22"/>
        </w:rPr>
      </w:pPr>
      <w:r>
        <w:rPr>
          <w:rFonts w:cs="Arial" w:ascii="Arial" w:hAnsi="Arial"/>
          <w:i/>
          <w:sz w:val="22"/>
          <w:szCs w:val="22"/>
        </w:rPr>
      </w:r>
    </w:p>
    <w:p>
      <w:pPr>
        <w:pStyle w:val="Normal"/>
        <w:spacing w:before="0" w:after="240"/>
        <w:jc w:val="both"/>
        <w:rPr>
          <w:rFonts w:ascii="Arial" w:hAnsi="Arial" w:eastAsia="Calibri" w:cs="Arial"/>
          <w:sz w:val="22"/>
          <w:szCs w:val="22"/>
          <w:lang w:eastAsia="en-US"/>
        </w:rPr>
      </w:pPr>
      <w:r>
        <w:rPr>
          <w:rFonts w:eastAsia="Calibri" w:cs="Arial" w:ascii="Arial" w:hAnsi="Arial"/>
          <w:sz w:val="22"/>
          <w:szCs w:val="22"/>
          <w:lang w:eastAsia="en-US"/>
        </w:rPr>
        <w:t>L’ordonnance nº 2017-1386 du 22 septembre 2017 relative à la nouvelle organisation du dialogue social et économique dans l'entreprise et favorisant l'exercice et la valorisation des responsabilités syndicales est applicable depuis le 24 septembre 2017 et pose le principe de la mise en place du comité social et économique regroupant les trois instances (CE , DP et CHSCT) lors du renouvellement de l’une de ces institutions et au plus tard le 31 décembre 2019.</w:t>
      </w:r>
    </w:p>
    <w:p>
      <w:pPr>
        <w:pStyle w:val="Normal"/>
        <w:spacing w:before="0" w:after="240"/>
        <w:jc w:val="both"/>
        <w:rPr>
          <w:rFonts w:ascii="Arial" w:hAnsi="Arial" w:eastAsia="Calibri" w:cs="Arial"/>
          <w:sz w:val="22"/>
          <w:szCs w:val="22"/>
          <w:lang w:eastAsia="en-US"/>
        </w:rPr>
      </w:pPr>
      <w:r>
        <w:rPr>
          <w:rFonts w:eastAsia="Calibri" w:cs="Arial" w:ascii="Arial" w:hAnsi="Arial"/>
          <w:sz w:val="22"/>
          <w:szCs w:val="22"/>
          <w:lang w:eastAsia="en-US"/>
        </w:rPr>
        <w:t>Cette ordonnance prévoit toutefois des dispositifs de mise en œuvre dans le temps, différents selon la date d’échéance des mandats actuellement en cours parmi lesquels :</w:t>
      </w:r>
    </w:p>
    <w:p>
      <w:pPr>
        <w:pStyle w:val="Normal"/>
        <w:numPr>
          <w:ilvl w:val="0"/>
          <w:numId w:val="2"/>
        </w:numPr>
        <w:jc w:val="both"/>
        <w:rPr>
          <w:rFonts w:ascii="Arial" w:hAnsi="Arial" w:eastAsia="Calibri" w:cs="Arial"/>
          <w:sz w:val="22"/>
          <w:szCs w:val="22"/>
          <w:lang w:eastAsia="en-US"/>
        </w:rPr>
      </w:pPr>
      <w:r>
        <w:rPr>
          <w:rFonts w:eastAsia="Calibri" w:cs="Arial" w:ascii="Arial" w:hAnsi="Arial"/>
          <w:sz w:val="22"/>
          <w:szCs w:val="22"/>
          <w:lang w:eastAsia="en-US"/>
        </w:rPr>
        <w:t>Pour les mandats qui expirent avant le 31 décembre 2017, une prorogation automatique à cette date et la possibilité de proroger à compter du 1</w:t>
      </w:r>
      <w:r>
        <w:rPr>
          <w:rFonts w:eastAsia="Calibri" w:cs="Arial" w:ascii="Arial" w:hAnsi="Arial"/>
          <w:sz w:val="22"/>
          <w:szCs w:val="22"/>
          <w:vertAlign w:val="superscript"/>
          <w:lang w:eastAsia="en-US"/>
        </w:rPr>
        <w:t>er</w:t>
      </w:r>
      <w:r>
        <w:rPr>
          <w:rFonts w:eastAsia="Calibri" w:cs="Arial" w:ascii="Arial" w:hAnsi="Arial"/>
          <w:sz w:val="22"/>
          <w:szCs w:val="22"/>
          <w:lang w:eastAsia="en-US"/>
        </w:rPr>
        <w:t xml:space="preserve"> janvier 2018 pour une durée maximum d’un an (article 9 II 2° de l’ordonnance précitée),</w:t>
      </w:r>
    </w:p>
    <w:p>
      <w:pPr>
        <w:pStyle w:val="Normal"/>
        <w:numPr>
          <w:ilvl w:val="0"/>
          <w:numId w:val="2"/>
        </w:numPr>
        <w:jc w:val="both"/>
        <w:rPr/>
      </w:pPr>
      <w:r>
        <w:rPr>
          <w:rFonts w:eastAsia="Calibri" w:cs="Arial" w:ascii="Arial" w:hAnsi="Arial"/>
          <w:sz w:val="22"/>
          <w:szCs w:val="22"/>
          <w:lang w:eastAsia="en-US"/>
        </w:rPr>
        <w:t>Pour les mandats qui expirent entre le 1</w:t>
      </w:r>
      <w:r>
        <w:rPr>
          <w:rFonts w:eastAsia="Calibri" w:cs="Arial" w:ascii="Arial" w:hAnsi="Arial"/>
          <w:sz w:val="22"/>
          <w:szCs w:val="22"/>
          <w:vertAlign w:val="superscript"/>
          <w:lang w:eastAsia="en-US"/>
        </w:rPr>
        <w:t>er</w:t>
      </w:r>
      <w:r>
        <w:rPr>
          <w:rFonts w:eastAsia="Calibri" w:cs="Arial" w:ascii="Arial" w:hAnsi="Arial"/>
          <w:sz w:val="22"/>
          <w:szCs w:val="22"/>
          <w:lang w:eastAsia="en-US"/>
        </w:rPr>
        <w:t xml:space="preserve"> janvier et le 31 décembre 2018 :</w:t>
      </w:r>
    </w:p>
    <w:p>
      <w:pPr>
        <w:pStyle w:val="Normal"/>
        <w:ind w:left="1080" w:hanging="0"/>
        <w:jc w:val="both"/>
        <w:rPr/>
      </w:pPr>
      <w:r>
        <w:rPr>
          <w:rFonts w:eastAsia="Calibri" w:cs="Arial" w:ascii="Arial" w:hAnsi="Arial"/>
          <w:sz w:val="22"/>
          <w:szCs w:val="22"/>
          <w:lang w:eastAsia="en-US"/>
        </w:rPr>
        <w:t>la possibilité de proroger ou de réduire les mandats dans la limite d’une année (article 9, II, 3° de l’ordonnance précitée),</w:t>
      </w:r>
    </w:p>
    <w:p>
      <w:pPr>
        <w:pStyle w:val="Normal"/>
        <w:numPr>
          <w:ilvl w:val="0"/>
          <w:numId w:val="2"/>
        </w:numPr>
        <w:spacing w:before="0" w:after="120"/>
        <w:jc w:val="both"/>
        <w:rPr>
          <w:rFonts w:ascii="Arial" w:hAnsi="Arial" w:eastAsia="Calibri" w:cs="Arial"/>
          <w:sz w:val="22"/>
          <w:szCs w:val="22"/>
          <w:lang w:eastAsia="en-US"/>
        </w:rPr>
      </w:pPr>
      <w:r>
        <w:rPr>
          <w:rFonts w:eastAsia="Calibri" w:cs="Arial" w:ascii="Arial" w:hAnsi="Arial"/>
          <w:sz w:val="22"/>
          <w:szCs w:val="22"/>
          <w:lang w:eastAsia="en-US"/>
        </w:rPr>
        <w:t xml:space="preserve">pour les entreprises à établissements multiples : la possibilité de proroger ou réduire les mandats de chaque établissement pour que les échéances coïncident avec celle de la mise en place des comités sociaux et économiques d’établissement et un comité social et économique central (article 9, III de l’ordonnance précitée). </w:t>
      </w:r>
    </w:p>
    <w:p>
      <w:pPr>
        <w:pStyle w:val="Normal"/>
        <w:spacing w:before="0" w:after="120"/>
        <w:jc w:val="both"/>
        <w:rPr>
          <w:rFonts w:ascii="Arial" w:hAnsi="Arial" w:cs="Arial"/>
          <w:sz w:val="22"/>
          <w:szCs w:val="22"/>
        </w:rPr>
      </w:pPr>
      <w:r>
        <w:rPr>
          <w:rFonts w:cs="Arial" w:ascii="Arial" w:hAnsi="Arial"/>
          <w:sz w:val="22"/>
          <w:szCs w:val="22"/>
        </w:rPr>
        <w:t>La société       se situe dans la première situation</w:t>
      </w:r>
    </w:p>
    <w:p>
      <w:pPr>
        <w:pStyle w:val="Normal"/>
        <w:spacing w:before="0" w:after="120"/>
        <w:jc w:val="both"/>
        <w:rPr>
          <w:rFonts w:ascii="Arial" w:hAnsi="Arial" w:cs="Arial"/>
          <w:sz w:val="22"/>
          <w:szCs w:val="22"/>
        </w:rPr>
      </w:pPr>
      <w:r>
        <w:rPr>
          <w:rFonts w:cs="Arial" w:ascii="Arial" w:hAnsi="Arial"/>
          <w:sz w:val="22"/>
          <w:szCs w:val="22"/>
        </w:rPr>
      </w:r>
    </w:p>
    <w:p>
      <w:pPr>
        <w:pStyle w:val="Normal"/>
        <w:spacing w:before="0" w:after="1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C’est ainsi qu’une première négociation a été ouverte et s’est tenue lors des réunions du 16 novembre et 28 décembre 2017.sur l’aménagement de l’échéance des mandats en cours dans l’entreprise, et qu’il avait été décidé le 29 décembre 2017 de proroger les mandats en cours jusqu’au 30 juin 2018 au plus tard.</w:t>
      </w:r>
    </w:p>
    <w:p>
      <w:pPr>
        <w:pStyle w:val="Normal"/>
        <w:jc w:val="both"/>
        <w:rPr/>
      </w:pPr>
      <w:r>
        <w:rPr>
          <w:rFonts w:cs="Arial" w:ascii="Arial" w:hAnsi="Arial"/>
          <w:sz w:val="22"/>
          <w:szCs w:val="22"/>
        </w:rPr>
        <w:t>Aujourd’hui nous avons fait le constat que nous ne serons pas prêts pour cette échéance du 30 juin 2018, en conséquence après information et consultation de la DUP</w:t>
      </w:r>
      <w:r>
        <w:rPr>
          <w:rFonts w:cs="Arial" w:ascii="Arial" w:hAnsi="Arial"/>
          <w:i/>
          <w:sz w:val="22"/>
          <w:szCs w:val="22"/>
        </w:rPr>
        <w:t xml:space="preserve"> </w:t>
      </w:r>
      <w:r>
        <w:rPr>
          <w:rFonts w:cs="Arial" w:ascii="Arial" w:hAnsi="Arial"/>
          <w:sz w:val="22"/>
          <w:szCs w:val="22"/>
        </w:rPr>
        <w:t>il a été convenu ce qui suit :</w:t>
      </w:r>
    </w:p>
    <w:p>
      <w:pPr>
        <w:pStyle w:val="Normal"/>
        <w:jc w:val="both"/>
        <w:rPr>
          <w:rFonts w:ascii="Arial" w:hAnsi="Arial" w:cs="Arial"/>
          <w:sz w:val="22"/>
          <w:szCs w:val="22"/>
        </w:rPr>
      </w:pPr>
      <w:r>
        <w:rPr>
          <w:rFonts w:cs="Arial" w:ascii="Arial" w:hAnsi="Arial"/>
          <w:sz w:val="22"/>
          <w:szCs w:val="22"/>
        </w:rPr>
      </w:r>
    </w:p>
    <w:p>
      <w:pPr>
        <w:pStyle w:val="Normal"/>
        <w:spacing w:before="0" w:after="240"/>
        <w:jc w:val="both"/>
        <w:rPr>
          <w:rFonts w:ascii="Arial" w:hAnsi="Arial" w:eastAsia="Calibri" w:cs="Arial"/>
          <w:b/>
          <w:b/>
          <w:smallCaps/>
          <w:sz w:val="22"/>
          <w:szCs w:val="22"/>
          <w:u w:val="single"/>
          <w:lang w:eastAsia="en-US"/>
        </w:rPr>
      </w:pPr>
      <w:r>
        <w:rPr>
          <w:rFonts w:eastAsia="Calibri" w:cs="Arial" w:ascii="Arial" w:hAnsi="Arial"/>
          <w:b/>
          <w:smallCaps/>
          <w:sz w:val="22"/>
          <w:szCs w:val="22"/>
          <w:u w:val="single"/>
          <w:lang w:eastAsia="en-US"/>
        </w:rPr>
        <w:t>OBJET DE L’ACCORD</w:t>
      </w:r>
    </w:p>
    <w:p>
      <w:pPr>
        <w:pStyle w:val="Normal"/>
        <w:spacing w:before="0" w:after="240"/>
        <w:jc w:val="both"/>
        <w:rPr>
          <w:rFonts w:ascii="Arial" w:hAnsi="Arial" w:cs="Arial"/>
          <w:sz w:val="22"/>
          <w:szCs w:val="22"/>
        </w:rPr>
      </w:pPr>
      <w:r>
        <w:rPr>
          <w:rFonts w:cs="Arial" w:ascii="Arial" w:hAnsi="Arial"/>
          <w:sz w:val="22"/>
          <w:szCs w:val="22"/>
        </w:rPr>
        <w:t>Les parties conviennent de proroger les mandats des membres des CE, DP et CHSCT afin de :</w:t>
      </w:r>
    </w:p>
    <w:p>
      <w:pPr>
        <w:pStyle w:val="Normal"/>
        <w:numPr>
          <w:ilvl w:val="0"/>
          <w:numId w:val="2"/>
        </w:numPr>
        <w:spacing w:before="0" w:after="240"/>
        <w:jc w:val="both"/>
        <w:rPr>
          <w:rFonts w:ascii="Arial" w:hAnsi="Arial" w:cs="Arial"/>
          <w:sz w:val="22"/>
          <w:szCs w:val="22"/>
        </w:rPr>
      </w:pPr>
      <w:r>
        <w:rPr>
          <w:rFonts w:cs="Arial" w:ascii="Arial" w:hAnsi="Arial"/>
          <w:sz w:val="22"/>
          <w:szCs w:val="22"/>
        </w:rPr>
        <w:t xml:space="preserve">permettre la mise en place du CSE dans les meilleures conditions et attendre notamment la parution des décrets d’application nécessaires à l’élection de cette nouvelle instance </w:t>
      </w:r>
    </w:p>
    <w:p>
      <w:pPr>
        <w:pStyle w:val="Normal"/>
        <w:spacing w:before="0" w:after="240"/>
        <w:ind w:left="1080" w:hanging="0"/>
        <w:jc w:val="both"/>
        <w:rPr>
          <w:rFonts w:ascii="Arial" w:hAnsi="Arial" w:cs="Arial"/>
          <w:sz w:val="16"/>
          <w:szCs w:val="16"/>
        </w:rPr>
      </w:pPr>
      <w:r>
        <w:rPr>
          <w:rFonts w:cs="Arial" w:ascii="Arial" w:hAnsi="Arial"/>
          <w:sz w:val="16"/>
          <w:szCs w:val="16"/>
        </w:rPr>
      </w:r>
    </w:p>
    <w:p>
      <w:pPr>
        <w:pStyle w:val="Normal"/>
        <w:spacing w:before="0" w:after="240"/>
        <w:jc w:val="both"/>
        <w:rPr>
          <w:rFonts w:ascii="Arial" w:hAnsi="Arial" w:eastAsia="Calibri" w:cs="Arial"/>
          <w:b/>
          <w:b/>
          <w:smallCaps/>
          <w:sz w:val="22"/>
          <w:szCs w:val="22"/>
          <w:u w:val="single"/>
          <w:lang w:eastAsia="en-US"/>
        </w:rPr>
      </w:pPr>
      <w:r>
        <w:rPr>
          <w:rFonts w:eastAsia="Calibri" w:cs="Arial" w:ascii="Arial" w:hAnsi="Arial"/>
          <w:b/>
          <w:smallCaps/>
          <w:sz w:val="22"/>
          <w:szCs w:val="22"/>
          <w:u w:val="single"/>
          <w:lang w:eastAsia="en-US"/>
        </w:rPr>
        <w:t xml:space="preserve">DUREE DES MANDATS  </w:t>
      </w:r>
    </w:p>
    <w:p>
      <w:pPr>
        <w:pStyle w:val="Normal"/>
        <w:jc w:val="both"/>
        <w:rPr>
          <w:rFonts w:ascii="Arial" w:hAnsi="Arial" w:cs="Arial"/>
          <w:i/>
          <w:i/>
          <w:sz w:val="22"/>
          <w:szCs w:val="22"/>
        </w:rPr>
      </w:pPr>
      <w:r>
        <w:rPr>
          <w:rFonts w:cs="Arial" w:ascii="Arial" w:hAnsi="Arial"/>
          <w:sz w:val="22"/>
          <w:szCs w:val="22"/>
        </w:rPr>
        <w:t>Les mandats électifs du CE des DP et du CHSCT sont donc prorogés jusqu’à la date du  30 novembre 2018, au plus tard.</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bCs/>
        </w:rPr>
      </w:pPr>
      <w:r>
        <w:rPr>
          <w:rFonts w:cs="Arial" w:ascii="Arial" w:hAnsi="Arial"/>
          <w:sz w:val="22"/>
          <w:szCs w:val="22"/>
        </w:rPr>
        <w:t xml:space="preserve">Cet accord est donc conclu pour une durée déterminée permettant la mise en place future du CSE fin </w:t>
      </w:r>
      <w:r>
        <w:rPr>
          <w:rFonts w:cs="Arial" w:ascii="Arial" w:hAnsi="Arial"/>
          <w:iCs/>
        </w:rPr>
        <w:t>et prendra fin        à la date de mise en place du futur CSE, date à laquelle il cessera  de produire ses effets.</w:t>
      </w:r>
    </w:p>
    <w:p>
      <w:pPr>
        <w:pStyle w:val="Normal"/>
        <w:spacing w:before="0" w:after="240"/>
        <w:jc w:val="both"/>
        <w:rPr>
          <w:rFonts w:ascii="Arial" w:hAnsi="Arial" w:eastAsia="Calibri" w:cs="Arial"/>
          <w:b/>
          <w:b/>
          <w:bCs/>
          <w:smallCaps/>
          <w:sz w:val="22"/>
          <w:szCs w:val="22"/>
          <w:lang w:eastAsia="en-US"/>
        </w:rPr>
      </w:pPr>
      <w:r>
        <w:rPr>
          <w:rFonts w:eastAsia="Calibri" w:cs="Arial" w:ascii="Arial" w:hAnsi="Arial"/>
          <w:b/>
          <w:bCs/>
          <w:smallCaps/>
          <w:sz w:val="22"/>
          <w:szCs w:val="22"/>
          <w:lang w:eastAsia="en-US"/>
        </w:rPr>
      </w:r>
    </w:p>
    <w:p>
      <w:pPr>
        <w:pStyle w:val="Normal"/>
        <w:spacing w:before="0" w:after="240"/>
        <w:jc w:val="both"/>
        <w:rPr>
          <w:rFonts w:ascii="Arial" w:hAnsi="Arial" w:eastAsia="Calibri" w:cs="Arial"/>
          <w:b/>
          <w:b/>
          <w:smallCaps/>
          <w:sz w:val="22"/>
          <w:szCs w:val="22"/>
          <w:u w:val="single"/>
          <w:lang w:eastAsia="en-US"/>
        </w:rPr>
      </w:pPr>
      <w:r>
        <w:rPr>
          <w:rFonts w:eastAsia="Calibri" w:cs="Arial" w:ascii="Arial" w:hAnsi="Arial"/>
          <w:b/>
          <w:smallCaps/>
          <w:sz w:val="22"/>
          <w:szCs w:val="22"/>
          <w:u w:val="single"/>
          <w:lang w:eastAsia="en-US"/>
        </w:rPr>
        <w:t>PUBLICITE ET DEPOT LEGAL</w:t>
      </w:r>
    </w:p>
    <w:p>
      <w:pPr>
        <w:pStyle w:val="Normal"/>
        <w:spacing w:before="0" w:after="240"/>
        <w:jc w:val="both"/>
        <w:rPr>
          <w:rFonts w:ascii="Arial" w:hAnsi="Arial" w:cs="Arial"/>
          <w:sz w:val="22"/>
          <w:szCs w:val="22"/>
        </w:rPr>
      </w:pPr>
      <w:r>
        <w:rPr>
          <w:rFonts w:cs="Arial" w:ascii="Arial" w:hAnsi="Arial"/>
          <w:sz w:val="22"/>
          <w:szCs w:val="22"/>
        </w:rPr>
        <w:t>Conformément à la Loi, le présent accord est déposé par la Direction en deux exemplaires en version électronique à la Direccte unité COTE D’OR</w:t>
      </w:r>
      <w:r>
        <w:rPr>
          <w:rFonts w:eastAsia="Calibri" w:cs="Arial" w:ascii="Arial" w:hAnsi="Arial"/>
          <w:sz w:val="22"/>
          <w:szCs w:val="22"/>
          <w:lang w:eastAsia="en-US"/>
        </w:rPr>
        <w:t xml:space="preserve"> (dont un en format anonymisé pour rejoindre la base de données nationale),</w:t>
      </w:r>
      <w:r>
        <w:rPr>
          <w:rFonts w:cs="Arial" w:ascii="Arial" w:hAnsi="Arial"/>
          <w:sz w:val="22"/>
          <w:szCs w:val="22"/>
        </w:rPr>
        <w:t xml:space="preserve"> et en un exemplaire au secrétariat du Greffe du Conseil de Prud’hommes de </w:t>
      </w:r>
      <w:r>
        <w:rPr>
          <w:rFonts w:eastAsia="Calibri" w:cs="Arial" w:ascii="Arial" w:hAnsi="Arial"/>
          <w:sz w:val="22"/>
          <w:szCs w:val="22"/>
          <w:lang w:eastAsia="en-US"/>
        </w:rPr>
        <w:t>DIJON</w:t>
      </w:r>
    </w:p>
    <w:p>
      <w:pPr>
        <w:pStyle w:val="Normal"/>
        <w:spacing w:before="0" w:after="240"/>
        <w:jc w:val="both"/>
        <w:rPr>
          <w:rFonts w:ascii="Arial" w:hAnsi="Arial" w:cs="Arial"/>
          <w:sz w:val="22"/>
          <w:szCs w:val="22"/>
        </w:rPr>
      </w:pPr>
      <w:r>
        <w:rPr>
          <w:rFonts w:cs="Arial" w:ascii="Arial" w:hAnsi="Arial"/>
          <w:sz w:val="22"/>
          <w:szCs w:val="22"/>
        </w:rPr>
      </w:r>
    </w:p>
    <w:p>
      <w:pPr>
        <w:pStyle w:val="Paragraphedeliste"/>
        <w:spacing w:lineRule="auto" w:line="240"/>
        <w:ind w:left="0" w:hanging="0"/>
        <w:rPr>
          <w:rFonts w:ascii="Arial" w:hAnsi="Arial" w:cs="Arial"/>
        </w:rPr>
      </w:pPr>
      <w:r>
        <w:rPr>
          <w:rFonts w:cs="Arial" w:ascii="Arial" w:hAnsi="Arial"/>
        </w:rPr>
        <w:t>Fait à DIJON le 6 avril 2018</w:t>
      </w:r>
    </w:p>
    <w:p>
      <w:pPr>
        <w:pStyle w:val="Paragraphedeliste"/>
        <w:spacing w:lineRule="auto" w:line="240"/>
        <w:ind w:left="0" w:hanging="0"/>
        <w:rPr>
          <w:rFonts w:ascii="Arial" w:hAnsi="Arial" w:cs="Arial"/>
        </w:rPr>
      </w:pPr>
      <w:r>
        <w:rPr>
          <w:rFonts w:cs="Arial" w:ascii="Arial" w:hAnsi="Arial"/>
        </w:rPr>
      </w:r>
    </w:p>
    <w:p>
      <w:pPr>
        <w:pStyle w:val="Paragraphedeliste"/>
        <w:spacing w:lineRule="auto" w:line="240"/>
        <w:ind w:left="0" w:hanging="0"/>
        <w:rPr>
          <w:rFonts w:ascii="Arial" w:hAnsi="Arial" w:cs="Arial"/>
        </w:rPr>
      </w:pPr>
      <w:r>
        <w:rPr>
          <w:rFonts w:cs="Arial" w:ascii="Arial" w:hAnsi="Arial"/>
        </w:rPr>
      </w:r>
    </w:p>
    <w:p>
      <w:pPr>
        <w:pStyle w:val="Normal"/>
        <w:spacing w:before="0" w:after="240"/>
        <w:rPr>
          <w:rFonts w:ascii="Arial" w:hAnsi="Arial" w:cs="Arial"/>
          <w:b/>
          <w:b/>
          <w:sz w:val="22"/>
          <w:szCs w:val="22"/>
        </w:rPr>
      </w:pPr>
      <w:r>
        <w:rPr>
          <w:rFonts w:cs="Arial" w:ascii="Arial" w:hAnsi="Arial"/>
          <w:b/>
          <w:sz w:val="22"/>
          <w:szCs w:val="22"/>
        </w:rPr>
        <w:t xml:space="preserve">La société </w:t>
      </w:r>
    </w:p>
    <w:p>
      <w:pPr>
        <w:pStyle w:val="Normal"/>
        <w:spacing w:before="0" w:after="240"/>
        <w:rPr>
          <w:rFonts w:ascii="Arial" w:hAnsi="Arial" w:cs="Arial"/>
          <w:sz w:val="22"/>
          <w:szCs w:val="22"/>
        </w:rPr>
      </w:pPr>
      <w:r>
        <w:rPr>
          <w:rFonts w:cs="Arial" w:ascii="Arial" w:hAnsi="Arial"/>
          <w:sz w:val="22"/>
          <w:szCs w:val="22"/>
        </w:rPr>
        <w:t xml:space="preserve">dont le siège social est situé </w:t>
      </w:r>
    </w:p>
    <w:p>
      <w:pPr>
        <w:pStyle w:val="Normal"/>
        <w:spacing w:before="0" w:after="240"/>
        <w:rPr>
          <w:rFonts w:ascii="Arial" w:hAnsi="Arial" w:cs="Arial"/>
          <w:sz w:val="22"/>
          <w:szCs w:val="22"/>
        </w:rPr>
      </w:pPr>
      <w:r>
        <w:rPr>
          <w:rFonts w:cs="Arial" w:ascii="Arial" w:hAnsi="Arial"/>
          <w:sz w:val="22"/>
          <w:szCs w:val="22"/>
        </w:rPr>
        <w:t xml:space="preserve">Représentée par </w:t>
      </w:r>
    </w:p>
    <w:p>
      <w:pPr>
        <w:pStyle w:val="Normal"/>
        <w:spacing w:before="0" w:after="240"/>
        <w:jc w:val="right"/>
        <w:rPr>
          <w:rFonts w:ascii="Arial" w:hAnsi="Arial" w:cs="Arial"/>
          <w:sz w:val="22"/>
          <w:szCs w:val="22"/>
        </w:rPr>
      </w:pPr>
      <w:r>
        <w:rPr>
          <w:rFonts w:cs="Arial" w:ascii="Arial" w:hAnsi="Arial"/>
          <w:sz w:val="22"/>
          <w:szCs w:val="22"/>
        </w:rPr>
        <w:t>D’une part,</w:t>
      </w:r>
    </w:p>
    <w:p>
      <w:pPr>
        <w:pStyle w:val="Normal"/>
        <w:spacing w:before="0" w:after="240"/>
        <w:ind w:right="7938" w:hanging="0"/>
        <w:rPr>
          <w:rFonts w:ascii="Arial" w:hAnsi="Arial" w:cs="Arial"/>
          <w:b/>
          <w:b/>
          <w:sz w:val="22"/>
          <w:szCs w:val="22"/>
        </w:rPr>
      </w:pPr>
      <w:r>
        <w:rPr>
          <w:rFonts w:cs="Arial" w:ascii="Arial" w:hAnsi="Arial"/>
          <w:b/>
          <w:sz w:val="22"/>
          <w:szCs w:val="22"/>
        </w:rPr>
        <w:t>ET :</w:t>
      </w:r>
    </w:p>
    <w:p>
      <w:pPr>
        <w:pStyle w:val="Normal"/>
        <w:rPr>
          <w:lang w:eastAsia="en-US"/>
        </w:rPr>
      </w:pPr>
      <w:r>
        <w:rPr>
          <w:rFonts w:cs="Arial" w:ascii="Arial" w:hAnsi="Arial"/>
          <w:sz w:val="22"/>
          <w:szCs w:val="22"/>
        </w:rPr>
        <w:t xml:space="preserve">Le secrétaire du CE, </w:t>
        <w:tab/>
        <w:tab/>
        <w:tab/>
        <w:tab/>
        <w:tab/>
        <w:tab/>
        <w:tab/>
        <w:tab/>
        <w:tab/>
        <w:tab/>
        <w:tab/>
        <w:tab/>
        <w:tab/>
        <w:tab/>
        <w:tab/>
        <w:tab/>
        <w:tab/>
        <w:tab/>
        <w:t xml:space="preserve">      </w:t>
        <w:tab/>
        <w:tab/>
        <w:tab/>
        <w:tab/>
        <w:t xml:space="preserve">     D’autre part,</w:t>
      </w:r>
    </w:p>
    <w:sectPr>
      <w:headerReference w:type="default" r:id="rId2"/>
      <w:footerReference w:type="default" r:id="rId3"/>
      <w:type w:val="nextPage"/>
      <w:pgSz w:w="11906" w:h="16838"/>
      <w:pgMar w:left="1418" w:right="1134" w:header="454" w:top="1440" w:footer="567"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Printania Sans">
    <w:altName w:val="Times New Roman"/>
    <w:charset w:val="00"/>
    <w:family w:val="modern"/>
    <w:pitch w:val="variable"/>
  </w:font>
  <w:font w:name="Wingdings 3">
    <w:charset w:val="02"/>
    <w:family w:val="roman"/>
    <w:pitch w:val="variable"/>
  </w:font>
  <w:font w:name="Arial Unicode MS">
    <w:charset w:val="8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57" w:hanging="0"/>
      <w:jc w:val="center"/>
      <w:rPr/>
    </w:pPr>
    <w:r>
      <w:rPr>
        <w:rStyle w:val="PageNumber"/>
        <w:rFonts w:cs="Calibri" w:ascii="Calibri" w:hAnsi="Calibri"/>
        <w:b/>
        <w:sz w:val="20"/>
        <w:szCs w:val="20"/>
      </w:rPr>
      <w:t xml:space="preserve">Page </w:t>
    </w:r>
    <w:r>
      <w:rPr>
        <w:rStyle w:val="PageNumber"/>
        <w:rFonts w:cs="Calibri" w:ascii="Calibri" w:hAnsi="Calibri"/>
        <w:b/>
        <w:sz w:val="20"/>
        <w:szCs w:val="20"/>
      </w:rPr>
      <w:fldChar w:fldCharType="begin"/>
    </w:r>
    <w:r>
      <w:instrText> PAGE \* ARABIC </w:instrText>
    </w:r>
    <w:r>
      <w:fldChar w:fldCharType="separate"/>
    </w:r>
    <w:r>
      <w:t>2</w:t>
    </w:r>
    <w:r>
      <w:fldChar w:fldCharType="end"/>
    </w:r>
    <w:r>
      <w:rPr>
        <w:rStyle w:val="PageNumber"/>
        <w:rFonts w:cs="Calibri" w:ascii="Calibri" w:hAnsi="Calibri"/>
        <w:b/>
        <w:sz w:val="20"/>
        <w:szCs w:val="20"/>
      </w:rPr>
      <w:t>/</w:t>
    </w:r>
    <w:r>
      <w:rPr>
        <w:rStyle w:val="PageNumber"/>
        <w:rFonts w:cs="Calibri" w:ascii="Calibri" w:hAnsi="Calibri"/>
        <w:b/>
        <w:sz w:val="20"/>
        <w:szCs w:val="20"/>
      </w:rPr>
      <w:fldChar w:fldCharType="begin"/>
    </w:r>
    <w:r>
      <w:instrText> NUMPAGES \* ARABIC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tab/>
    </w:r>
    <w:r>
      <w:rPr>
        <w:lang w:val="en-GB" w:eastAsia="en-GB"/>
      </w:rPr>
      <w:tab/>
    </w:r>
    <w:r>
      <mc:AlternateContent>
        <mc:Choice Requires="wps">
          <w:drawing>
            <wp:anchor behindDoc="1" distT="0" distB="0" distL="114935" distR="114935" simplePos="0" locked="0" layoutInCell="1" allowOverlap="1" relativeHeight="3">
              <wp:simplePos x="0" y="0"/>
              <wp:positionH relativeFrom="page">
                <wp:posOffset>0</wp:posOffset>
              </wp:positionH>
              <wp:positionV relativeFrom="page">
                <wp:posOffset>190500</wp:posOffset>
              </wp:positionV>
              <wp:extent cx="7560310" cy="273685"/>
              <wp:effectExtent l="0" t="0" r="0" b="0"/>
              <wp:wrapNone/>
              <wp:docPr id="1" name="Frame1"/>
              <a:graphic xmlns:a="http://schemas.openxmlformats.org/drawingml/2006/main">
                <a:graphicData uri="http://schemas.microsoft.com/office/word/2010/wordprocessingShape">
                  <wps:wsp>
                    <wps:cNvSpPr txBox="1"/>
                    <wps:spPr>
                      <a:xfrm>
                        <a:off x="0" y="0"/>
                        <a:ext cx="7560310" cy="273685"/>
                      </a:xfrm>
                      <a:prstGeom prst="rect"/>
                      <a:solidFill>
                        <a:srgbClr val="FFFFFF">
                          <a:alpha val="0"/>
                        </a:srgbClr>
                      </a:solidFill>
                    </wps:spPr>
                    <wps:txbx>
                      <w:txbxContent>
                        <w:p>
                          <w:pPr>
                            <w:pStyle w:val="Normal"/>
                            <w:jc w:val="right"/>
                            <w:rPr>
                              <w:rFonts w:ascii="Calibri" w:hAnsi="Calibri" w:cs="Calibri"/>
                              <w:color w:val="0078D7"/>
                            </w:rPr>
                          </w:pPr>
                          <w:r>
                            <w:rPr>
                              <w:rFonts w:cs="Calibri" w:ascii="Calibri" w:hAnsi="Calibri"/>
                              <w:color w:val="0078D7"/>
                            </w:rPr>
                            <w:t>C2</w:t>
                          </w:r>
                        </w:p>
                      </w:txbxContent>
                    </wps:txbx>
                    <wps:bodyPr anchor="t" lIns="92075" tIns="635" rIns="254635" bIns="635">
                      <a:noAutofit/>
                    </wps:bodyPr>
                  </wps:wsp>
                </a:graphicData>
              </a:graphic>
            </wp:anchor>
          </w:drawing>
        </mc:Choice>
        <mc:Fallback>
          <w:pict>
            <v:rect fillcolor="#FFFFFF" style="position:absolute;rotation:0;width:595.3pt;height:21.55pt;mso-wrap-distance-left:9.05pt;mso-wrap-distance-right:9.05pt;margin-top:15pt;mso-position-vertical-relative:page;margin-left:0pt;mso-position-horizontal-relative:page">
              <v:fill opacity="0f"/>
              <v:textbox inset="0.100694444444444in,0.000694444444444444in,0.278472222222222in,0.000694444444444444in">
                <w:txbxContent>
                  <w:p>
                    <w:pPr>
                      <w:pStyle w:val="Normal"/>
                      <w:jc w:val="right"/>
                      <w:rPr>
                        <w:rFonts w:ascii="Calibri" w:hAnsi="Calibri" w:cs="Calibri"/>
                        <w:color w:val="0078D7"/>
                      </w:rPr>
                    </w:pPr>
                    <w:r>
                      <w:rPr>
                        <w:rFonts w:cs="Calibri" w:ascii="Calibri" w:hAnsi="Calibri"/>
                        <w:color w:val="0078D7"/>
                      </w:rPr>
                      <w:t>C2</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1080" w:hanging="360"/>
      </w:pPr>
      <w:rPr>
        <w:rFonts w:ascii="Arial" w:hAnsi="Arial" w:cs="Arial" w:hint="default"/>
        <w:sz w:val="22"/>
        <w:szCs w:val="22"/>
        <w:rFonts w:cs="Arial"/>
        <w:lang w:eastAsia="en-U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jc w:val="both"/>
      <w:outlineLvl w:val="0"/>
      <w:outlineLvl w:val="0"/>
    </w:pPr>
    <w:rPr>
      <w:rFonts w:ascii="Calibri" w:hAnsi="Calibri" w:eastAsia="Calibri" w:cs="Arial"/>
      <w:b/>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Calibri" w:hAnsi="Calibri" w:eastAsia="Calibri"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Printania Sans;Times New Roman" w:hAnsi="Printania Sans;Times New Roman" w:cs="Printania Sans;Times New Roman"/>
    </w:rPr>
  </w:style>
  <w:style w:type="character" w:styleId="WW8Num4z0">
    <w:name w:val="WW8Num4z0"/>
    <w:qFormat/>
    <w:rPr>
      <w:rFonts w:ascii="Printania Sans;Times New Roman" w:hAnsi="Printania Sans;Times New Roman" w:cs="Printania Sans;Times New Roman"/>
    </w:rPr>
  </w:style>
  <w:style w:type="character" w:styleId="WW8Num5z0">
    <w:name w:val="WW8Num5z0"/>
    <w:qFormat/>
    <w:rPr>
      <w:rFonts w:ascii="Symbol" w:hAnsi="Symbol" w:cs="Symbo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rFonts w:ascii="Wingdings 3" w:hAnsi="Wingdings 3" w:eastAsia="CG Omega" w:cs="CG Omega"/>
    </w:rPr>
  </w:style>
  <w:style w:type="character" w:styleId="WW8Num6z1">
    <w:name w:val="WW8Num6z1"/>
    <w:qFormat/>
    <w:rPr>
      <w:rFonts w:ascii="Symbol" w:hAnsi="Symbol" w:cs="Symbol"/>
    </w:rPr>
  </w:style>
  <w:style w:type="character" w:styleId="WW8Num6z2">
    <w:name w:val="WW8Num6z2"/>
    <w:qFormat/>
    <w:rPr>
      <w:rFonts w:ascii="Wingdings" w:hAnsi="Wingdings" w:cs="Wingdings"/>
    </w:rPr>
  </w:style>
  <w:style w:type="character" w:styleId="WW8Num6z4">
    <w:name w:val="WW8Num6z4"/>
    <w:qFormat/>
    <w:rPr>
      <w:rFonts w:ascii="Courier New" w:hAnsi="Courier New" w:cs="Courier New"/>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eastAsia="Calibri" w:cs="Times New Roman"/>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Arial" w:hAnsi="Arial" w:eastAsia="Calibri" w:cs="Arial"/>
      <w:sz w:val="22"/>
      <w:szCs w:val="22"/>
      <w:lang w:eastAsia="en-U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Calibri"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eastAsia="Calibri" w:cs="Times New Roman"/>
    </w:rPr>
  </w:style>
  <w:style w:type="character" w:styleId="WW8Num12z1">
    <w:name w:val="WW8Num12z1"/>
    <w:qFormat/>
    <w:rPr>
      <w:rFonts w:ascii="Calibri" w:hAnsi="Calibri" w:cs="Calibri"/>
      <w:b/>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rFonts w:ascii="Wingdings 3" w:hAnsi="Wingdings 3" w:eastAsia="CG Omega" w:cs="CG Omega"/>
    </w:rPr>
  </w:style>
  <w:style w:type="character" w:styleId="WW8Num13z2">
    <w:name w:val="WW8Num13z2"/>
    <w:qFormat/>
    <w:rPr>
      <w:rFonts w:ascii="Wingdings" w:hAnsi="Wingdings" w:cs="Wingdings"/>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3" w:hAnsi="Wingdings 3" w:eastAsia="CG Omega" w:cs="CG Omega"/>
    </w:rPr>
  </w:style>
  <w:style w:type="character" w:styleId="WW8Num14z1">
    <w:name w:val="WW8Num14z1"/>
    <w:qFormat/>
    <w:rPr>
      <w:rFonts w:ascii="Symbol" w:hAnsi="Symbol" w:cs="Symbol"/>
    </w:rPr>
  </w:style>
  <w:style w:type="character" w:styleId="WW8Num14z2">
    <w:name w:val="WW8Num14z2"/>
    <w:qFormat/>
    <w:rPr>
      <w:rFonts w:ascii="Wingdings" w:hAnsi="Wingdings" w:cs="Wingdings"/>
    </w:rPr>
  </w:style>
  <w:style w:type="character" w:styleId="WW8Num14z4">
    <w:name w:val="WW8Num14z4"/>
    <w:qFormat/>
    <w:rPr>
      <w:rFonts w:ascii="Courier New" w:hAnsi="Courier New" w:cs="Courier New"/>
    </w:rPr>
  </w:style>
  <w:style w:type="character" w:styleId="WW8Num15z0">
    <w:name w:val="WW8Num15z0"/>
    <w:qFormat/>
    <w:rPr>
      <w:rFonts w:ascii="Calibri" w:hAnsi="Calibri"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3" w:hAnsi="Wingdings 3" w:eastAsia="CG Omega" w:cs="CG Omega"/>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Wingdings 3" w:hAnsi="Wingdings 3" w:eastAsia="CG Omega" w:cs="CG Omega"/>
    </w:rPr>
  </w:style>
  <w:style w:type="character" w:styleId="WW8Num21z1">
    <w:name w:val="WW8Num21z1"/>
    <w:qFormat/>
    <w:rPr>
      <w:rFonts w:ascii="Symbol" w:hAnsi="Symbol" w:cs="Symbol"/>
    </w:rPr>
  </w:style>
  <w:style w:type="character" w:styleId="WW8Num21z2">
    <w:name w:val="WW8Num21z2"/>
    <w:qFormat/>
    <w:rPr>
      <w:rFonts w:ascii="Wingdings" w:hAnsi="Wingdings" w:cs="Wingdings"/>
    </w:rPr>
  </w:style>
  <w:style w:type="character" w:styleId="WW8Num21z4">
    <w:name w:val="WW8Num21z4"/>
    <w:qFormat/>
    <w:rPr>
      <w:rFonts w:ascii="Courier New" w:hAnsi="Courier New" w:cs="Courier New"/>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alibri" w:hAnsi="Calibri" w:eastAsia="Calibri" w:cs="Times New Roman"/>
    </w:rPr>
  </w:style>
  <w:style w:type="character" w:styleId="WW8Num25z1">
    <w:name w:val="WW8Num25z1"/>
    <w:qFormat/>
    <w:rPr>
      <w:rFonts w:ascii="Calibri" w:hAnsi="Calibri" w:cs="Calibri"/>
      <w:b/>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3" w:hAnsi="Wingdings 3" w:eastAsia="CG Omega" w:cs="CG Omega"/>
    </w:rPr>
  </w:style>
  <w:style w:type="character" w:styleId="WW8Num26z1">
    <w:name w:val="WW8Num26z1"/>
    <w:qFormat/>
    <w:rPr>
      <w:rFonts w:ascii="Symbol" w:hAnsi="Symbol" w:cs="Symbol"/>
    </w:rPr>
  </w:style>
  <w:style w:type="character" w:styleId="WW8Num26z2">
    <w:name w:val="WW8Num26z2"/>
    <w:qFormat/>
    <w:rPr>
      <w:rFonts w:ascii="Wingdings" w:hAnsi="Wingdings" w:cs="Wingdings"/>
    </w:rPr>
  </w:style>
  <w:style w:type="character" w:styleId="WW8Num26z4">
    <w:name w:val="WW8Num26z4"/>
    <w:qFormat/>
    <w:rPr>
      <w:rFonts w:ascii="Courier New" w:hAnsi="Courier New" w:cs="Courier New"/>
    </w:rPr>
  </w:style>
  <w:style w:type="character" w:styleId="WW8Num27z0">
    <w:name w:val="WW8Num27z0"/>
    <w:qFormat/>
    <w:rPr>
      <w:rFonts w:ascii="Printania Sans;Times New Roman" w:hAnsi="Printania Sans;Times New Roman" w:cs="Printania Sans;Times New Roman"/>
    </w:rPr>
  </w:style>
  <w:style w:type="character" w:styleId="WW8Num28z0">
    <w:name w:val="WW8Num28z0"/>
    <w:qFormat/>
    <w:rPr>
      <w:rFonts w:ascii="Calibri" w:hAnsi="Calibri" w:eastAsia="Calibri" w:cs="Times New Roman"/>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Printania Sans;Times New Roman" w:hAnsi="Printania Sans;Times New Roman" w:cs="Printania Sans;Times New Roman"/>
    </w:rPr>
  </w:style>
  <w:style w:type="character" w:styleId="WW8Num30z0">
    <w:name w:val="WW8Num30z0"/>
    <w:qFormat/>
    <w:rPr>
      <w:rFonts w:ascii="Calibri" w:hAnsi="Calibri" w:eastAsia="Calibri"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StrongEmphasis">
    <w:name w:val="Strong Emphasis"/>
    <w:rPr>
      <w:b/>
      <w:bCs/>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pBdr>
        <w:top w:val="single" w:sz="4" w:space="1" w:color="000000"/>
        <w:left w:val="single" w:sz="4" w:space="4" w:color="000000"/>
        <w:bottom w:val="single" w:sz="4" w:space="1" w:color="000000"/>
        <w:right w:val="single" w:sz="4" w:space="4" w:color="000000"/>
      </w:pBdr>
      <w:jc w:val="center"/>
    </w:pPr>
    <w:rPr>
      <w:rFonts w:ascii="Arial" w:hAnsi="Arial" w:cs="Arial"/>
      <w:sz w:val="28"/>
      <w:szCs w:val="28"/>
    </w:rPr>
  </w:style>
  <w:style w:type="paragraph" w:styleId="TextBody">
    <w:name w:val="Text Body"/>
    <w:basedOn w:val="Normal"/>
    <w:pPr>
      <w:pBdr>
        <w:top w:val="single" w:sz="4" w:space="1" w:color="000000"/>
        <w:left w:val="single" w:sz="4" w:space="4" w:color="000000"/>
        <w:bottom w:val="single" w:sz="4" w:space="1" w:color="000000"/>
        <w:right w:val="single" w:sz="4" w:space="4" w:color="000000"/>
      </w:pBdr>
      <w:jc w:val="center"/>
    </w:pPr>
    <w:rPr>
      <w:rFonts w:ascii="Arial" w:hAnsi="Arial" w:cs="Arial"/>
      <w:sz w:val="28"/>
      <w:szCs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pPr>
    <w:rPr>
      <w:rFonts w:ascii="Arial" w:hAnsi="Arial" w:cs="Arial"/>
    </w:rPr>
  </w:style>
  <w:style w:type="paragraph" w:styleId="Retraitcorpsdetexte2">
    <w:name w:val="Retrait corps de texte 2"/>
    <w:basedOn w:val="Normal"/>
    <w:qFormat/>
    <w:pPr>
      <w:ind w:left="360" w:hanging="0"/>
      <w:jc w:val="both"/>
    </w:pPr>
    <w:rPr>
      <w:rFonts w:ascii="Arial" w:hAnsi="Arial" w:cs="Arial"/>
      <w:i/>
      <w:iCs/>
    </w:rPr>
  </w:style>
  <w:style w:type="paragraph" w:styleId="BodyText2">
    <w:name w:val="Body Text 2"/>
    <w:basedOn w:val="Normal"/>
    <w:qFormat/>
    <w:pPr>
      <w:overflowPunct w:val="false"/>
      <w:autoSpaceDE w:val="false"/>
      <w:jc w:val="both"/>
      <w:textAlignment w:val="baseline"/>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NormalWeb">
    <w:name w:val="Normal (Web)"/>
    <w:basedOn w:val="Normal"/>
    <w:qFormat/>
    <w:pPr>
      <w:spacing w:before="100" w:after="100"/>
    </w:pPr>
    <w:rPr>
      <w:rFonts w:ascii="Arial Unicode MS" w:hAnsi="Arial Unicode MS" w:eastAsia="Arial Unicode MS" w:cs="Arial Unicode MS"/>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2018-09-14T11:16:00Z</dcterms:created>
  <dc:language>en-GB</dc:language>
  <cp:lastPrinted>2018-04-06T11:53:00Z</cp:lastPrinted>
  <dcterms:modified xsi:type="dcterms:W3CDTF">2018-09-14T11:17:00Z</dcterms:modified>
  <cp:revision>3</cp:revision>
  <dc:title>PROCES-VERBAL D’ACCORD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Application">
    <vt:lpwstr>Microsoft Azure Information Protection</vt:lpwstr>
  </property>
  <property fmtid="{D5CDD505-2E9C-101B-9397-08002B2CF9AE}" pid="3" name="MSIP_Label_a9be80aa-1d81-4f9b-a725-00b7929cdbde_Enabled">
    <vt:lpwstr>True</vt:lpwstr>
  </property>
  <property fmtid="{D5CDD505-2E9C-101B-9397-08002B2CF9AE}" pid="4" name="MSIP_Label_a9be80aa-1d81-4f9b-a725-00b7929cdbde_Extended_MSFT_Method">
    <vt:lpwstr>Automatic</vt:lpwstr>
  </property>
  <property fmtid="{D5CDD505-2E9C-101B-9397-08002B2CF9AE}" pid="5" name="MSIP_Label_a9be80aa-1d81-4f9b-a725-00b7929cdbde_Name">
    <vt:lpwstr>C2-Restricted</vt:lpwstr>
  </property>
  <property fmtid="{D5CDD505-2E9C-101B-9397-08002B2CF9AE}" pid="6" name="MSIP_Label_a9be80aa-1d81-4f9b-a725-00b7929cdbde_Owner">
    <vt:lpwstr>marcel.tirlot@savencia.com</vt:lpwstr>
  </property>
  <property fmtid="{D5CDD505-2E9C-101B-9397-08002B2CF9AE}" pid="7" name="MSIP_Label_a9be80aa-1d81-4f9b-a725-00b7929cdbde_Ref">
    <vt:lpwstr>https://api.informationprotection.azure.com/api/b2e0bd95-d717-4462-b33e-dcaec4e9c4ec</vt:lpwstr>
  </property>
  <property fmtid="{D5CDD505-2E9C-101B-9397-08002B2CF9AE}" pid="8" name="MSIP_Label_a9be80aa-1d81-4f9b-a725-00b7929cdbde_SetDate">
    <vt:lpwstr>2018-09-14T11:16:25.3555861+02:00</vt:lpwstr>
  </property>
  <property fmtid="{D5CDD505-2E9C-101B-9397-08002B2CF9AE}" pid="9" name="MSIP_Label_a9be80aa-1d81-4f9b-a725-00b7929cdbde_SiteId">
    <vt:lpwstr>b2e0bd95-d717-4462-b33e-dcaec4e9c4ec</vt:lpwstr>
  </property>
  <property fmtid="{D5CDD505-2E9C-101B-9397-08002B2CF9AE}" pid="10" name="Sensitivity">
    <vt:lpwstr>C2-Restricted</vt:lpwstr>
  </property>
</Properties>
</file>