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Footer"/>
        <w:rPr>
          <w:rFonts w:ascii="Verdana" w:hAnsi="Verdana" w:cs="Verdana"/>
          <w:b/>
          <w:b/>
          <w:color w:val="808080"/>
        </w:rPr>
      </w:pPr>
      <w:r>
        <w:rPr>
          <w:rFonts w:cs="Verdana" w:ascii="Verdana" w:hAnsi="Verdana"/>
          <w:b/>
          <w:color w:val="808080"/>
        </w:rPr>
      </w:r>
    </w:p>
    <w:p>
      <w:pPr>
        <w:pStyle w:val="Header"/>
        <w:rPr>
          <w:rFonts w:ascii="Verdana" w:hAnsi="Verdana" w:cs="Verdana"/>
          <w:b/>
          <w:b/>
          <w:i/>
          <w:i/>
          <w:color w:val="000080"/>
          <w:lang w:val="en-GB" w:eastAsia="en-GB"/>
        </w:rPr>
      </w:pPr>
      <w:r>
        <w:rPr>
          <w:rFonts w:cs="Verdana" w:ascii="Verdana" w:hAnsi="Verdana"/>
          <w:b/>
          <w:i/>
          <w:color w:val="000080"/>
          <w:lang w:val="en-GB" w:eastAsia="en-GB"/>
        </w:rPr>
      </w:r>
    </w:p>
    <w:p>
      <w:pPr>
        <w:pStyle w:val="TextBody"/>
        <w:jc w:val="center"/>
        <w:rPr>
          <w:rFonts w:ascii="Verdana" w:hAnsi="Verdana" w:cs="Verdana"/>
          <w:b/>
          <w:b/>
          <w:color w:val="000000"/>
          <w:sz w:val="28"/>
        </w:rPr>
      </w:pPr>
      <w:r>
        <w:rPr>
          <w:rFonts w:cs="Verdana" w:ascii="Verdana" w:hAnsi="Verdana"/>
          <w:b/>
          <w:color w:val="000000"/>
          <w:sz w:val="28"/>
        </w:rPr>
        <w:t>ACCORD NEGOCIATION ANNUELLE 2018</w:t>
      </w:r>
    </w:p>
    <w:p>
      <w:pPr>
        <w:pStyle w:val="TextBody"/>
        <w:rPr>
          <w:rFonts w:ascii="Verdana" w:hAnsi="Verdana" w:cs="Verdana"/>
          <w:b/>
          <w:b/>
          <w:color w:val="000000"/>
          <w:sz w:val="20"/>
        </w:rPr>
      </w:pPr>
      <w:r>
        <w:rPr>
          <w:rFonts w:cs="Verdana" w:ascii="Verdana" w:hAnsi="Verdana"/>
          <w:b/>
          <w:color w:val="000000"/>
          <w:sz w:val="20"/>
        </w:rPr>
      </w:r>
    </w:p>
    <w:p>
      <w:pPr>
        <w:pStyle w:val="TextBody"/>
        <w:rPr>
          <w:rFonts w:ascii="Verdana" w:hAnsi="Verdana" w:cs="Verdana"/>
          <w:color w:val="000000"/>
          <w:sz w:val="20"/>
        </w:rPr>
      </w:pPr>
      <w:r>
        <w:rPr>
          <w:rFonts w:cs="Verdana" w:ascii="Verdana" w:hAnsi="Verdana"/>
          <w:color w:val="000000"/>
          <w:sz w:val="20"/>
        </w:rPr>
        <w:t>Entre :</w:t>
      </w:r>
    </w:p>
    <w:p>
      <w:pPr>
        <w:pStyle w:val="Normal"/>
        <w:jc w:val="both"/>
        <w:rPr>
          <w:rFonts w:ascii="Verdana" w:hAnsi="Verdana" w:cs="Verdana"/>
          <w:color w:val="000000"/>
          <w:sz w:val="20"/>
        </w:rPr>
      </w:pPr>
      <w:r>
        <w:rPr>
          <w:rFonts w:cs="Verdana" w:ascii="Verdana" w:hAnsi="Verdana"/>
          <w:color w:val="000000"/>
          <w:sz w:val="20"/>
        </w:rPr>
      </w:r>
    </w:p>
    <w:p>
      <w:pPr>
        <w:pStyle w:val="Retraitcorpsdetexte2"/>
        <w:ind w:hanging="0"/>
        <w:rPr>
          <w:rFonts w:ascii="Verdana" w:hAnsi="Verdana" w:cs="Verdana"/>
          <w:sz w:val="20"/>
        </w:rPr>
      </w:pPr>
      <w:r>
        <w:rPr>
          <w:rFonts w:cs="Verdana" w:ascii="Verdana" w:hAnsi="Verdana"/>
          <w:b/>
          <w:sz w:val="20"/>
        </w:rPr>
        <w:t>La Société EUROPORTE Proximité</w:t>
      </w:r>
      <w:r>
        <w:rPr>
          <w:rFonts w:cs="Verdana" w:ascii="Verdana" w:hAnsi="Verdana"/>
          <w:sz w:val="20"/>
        </w:rPr>
        <w:t xml:space="preserve"> dont le siège est à Lille, </w:t>
      </w:r>
      <w:r>
        <w:rPr>
          <w:rFonts w:cs="Arial" w:ascii="Verdana" w:hAnsi="Verdana"/>
          <w:sz w:val="20"/>
        </w:rPr>
        <w:t>11 parvis de Rotterdam - Tour de Lille EUROPE - 59 777 Lille</w:t>
      </w:r>
      <w:r>
        <w:rPr>
          <w:rFonts w:cs="Verdana" w:ascii="Verdana" w:hAnsi="Verdana"/>
          <w:sz w:val="20"/>
        </w:rPr>
        <w:t>, représentée par X, agissant en qualité de Président</w:t>
      </w:r>
    </w:p>
    <w:p>
      <w:pPr>
        <w:pStyle w:val="Normal"/>
        <w:jc w:val="both"/>
        <w:rPr>
          <w:rFonts w:ascii="Verdana" w:hAnsi="Verdana" w:cs="Verdana"/>
          <w:color w:val="000000"/>
          <w:sz w:val="20"/>
        </w:rPr>
      </w:pPr>
      <w:r>
        <w:rPr>
          <w:rFonts w:cs="Verdana" w:ascii="Verdana" w:hAnsi="Verdana"/>
          <w:color w:val="000000"/>
          <w:sz w:val="20"/>
        </w:rPr>
      </w:r>
    </w:p>
    <w:p>
      <w:pPr>
        <w:pStyle w:val="Normal"/>
        <w:jc w:val="both"/>
        <w:rPr>
          <w:rFonts w:ascii="Verdana" w:hAnsi="Verdana" w:cs="Verdana"/>
          <w:color w:val="000000"/>
        </w:rPr>
      </w:pPr>
      <w:r>
        <w:rPr>
          <w:rFonts w:cs="Verdana" w:ascii="Verdana" w:hAnsi="Verdana"/>
          <w:color w:val="000000"/>
        </w:rPr>
        <w:t>d’une part,</w:t>
      </w:r>
    </w:p>
    <w:p>
      <w:pPr>
        <w:pStyle w:val="Normal"/>
        <w:jc w:val="both"/>
        <w:rPr>
          <w:rFonts w:ascii="Verdana" w:hAnsi="Verdana" w:cs="Verdana"/>
          <w:color w:val="000000"/>
        </w:rPr>
      </w:pPr>
      <w:r>
        <w:rPr>
          <w:rFonts w:cs="Verdana" w:ascii="Verdana" w:hAnsi="Verdana"/>
          <w:color w:val="000000"/>
        </w:rPr>
      </w:r>
    </w:p>
    <w:p>
      <w:pPr>
        <w:pStyle w:val="Normal"/>
        <w:jc w:val="both"/>
        <w:rPr>
          <w:rFonts w:ascii="Verdana" w:hAnsi="Verdana" w:cs="Verdana"/>
        </w:rPr>
      </w:pPr>
      <w:r>
        <w:rPr>
          <w:rFonts w:cs="Verdana" w:ascii="Verdana" w:hAnsi="Verdana"/>
        </w:rPr>
        <w:t xml:space="preserve">Et </w:t>
      </w:r>
    </w:p>
    <w:p>
      <w:pPr>
        <w:pStyle w:val="Normal"/>
        <w:jc w:val="both"/>
        <w:rPr>
          <w:rFonts w:ascii="Verdana" w:hAnsi="Verdana" w:cs="Verdana"/>
        </w:rPr>
      </w:pPr>
      <w:r>
        <w:rPr>
          <w:rFonts w:cs="Verdana" w:ascii="Verdana" w:hAnsi="Verdana"/>
        </w:rPr>
      </w:r>
    </w:p>
    <w:p>
      <w:pPr>
        <w:pStyle w:val="Normal"/>
        <w:jc w:val="both"/>
        <w:rPr>
          <w:rFonts w:ascii="Verdana" w:hAnsi="Verdana" w:cs="Verdana"/>
          <w:b/>
          <w:b/>
        </w:rPr>
      </w:pPr>
      <w:r>
        <w:rPr>
          <w:rFonts w:cs="Verdana" w:ascii="Verdana" w:hAnsi="Verdana"/>
          <w:b/>
        </w:rPr>
        <w:t xml:space="preserve">Le Délégué Syndical de l’Agence de Gray </w:t>
      </w:r>
    </w:p>
    <w:p>
      <w:pPr>
        <w:pStyle w:val="Normal"/>
        <w:tabs>
          <w:tab w:val="left" w:pos="1695" w:leader="none"/>
        </w:tabs>
        <w:jc w:val="both"/>
        <w:rPr>
          <w:rFonts w:ascii="Verdana" w:hAnsi="Verdana" w:cs="Verdana"/>
        </w:rPr>
      </w:pPr>
      <w:r>
        <w:rPr>
          <w:rFonts w:cs="Verdana" w:ascii="Verdana" w:hAnsi="Verdana"/>
        </w:rPr>
        <w:tab/>
      </w:r>
    </w:p>
    <w:p>
      <w:pPr>
        <w:pStyle w:val="Normal"/>
        <w:jc w:val="both"/>
        <w:rPr>
          <w:rFonts w:ascii="Verdana" w:hAnsi="Verdana" w:cs="Verdana"/>
        </w:rPr>
      </w:pPr>
      <w:r>
        <w:rPr>
          <w:rFonts w:cs="Verdana" w:ascii="Verdana" w:hAnsi="Verdana"/>
        </w:rPr>
        <w:t>d’autre part,</w:t>
      </w:r>
    </w:p>
    <w:p>
      <w:pPr>
        <w:pStyle w:val="Normal"/>
        <w:jc w:val="both"/>
        <w:rPr>
          <w:rFonts w:ascii="Verdana" w:hAnsi="Verdana" w:cs="Verdana"/>
        </w:rPr>
      </w:pPr>
      <w:r>
        <w:rPr>
          <w:rFonts w:cs="Verdana" w:ascii="Verdana" w:hAnsi="Verdana"/>
        </w:rPr>
      </w:r>
    </w:p>
    <w:p>
      <w:pPr>
        <w:pStyle w:val="Normal"/>
        <w:jc w:val="both"/>
        <w:rPr>
          <w:rFonts w:ascii="Verdana" w:hAnsi="Verdana" w:cs="Verdana"/>
        </w:rPr>
      </w:pPr>
      <w:r>
        <w:rPr>
          <w:rFonts w:cs="Verdana" w:ascii="Verdana" w:hAnsi="Verdana"/>
        </w:rPr>
      </w:r>
    </w:p>
    <w:p>
      <w:pPr>
        <w:pStyle w:val="Normal"/>
        <w:jc w:val="both"/>
        <w:rPr>
          <w:rFonts w:ascii="Verdana" w:hAnsi="Verdana" w:cs="Verdana"/>
        </w:rPr>
      </w:pPr>
      <w:r>
        <w:rPr>
          <w:rFonts w:cs="Verdana" w:ascii="Verdana" w:hAnsi="Verdana"/>
        </w:rPr>
        <w:t>La Direction et le Délégué Syndical de l’Agence de Gray ont convenu de se réunir afin de négocier ensemble les thèmes issus de la négociation annuelle prévue par les articles L.2242-1 et suivants du Code du Travail.</w:t>
      </w:r>
    </w:p>
    <w:p>
      <w:pPr>
        <w:pStyle w:val="Normal"/>
        <w:jc w:val="both"/>
        <w:rPr>
          <w:rFonts w:ascii="Verdana" w:hAnsi="Verdana" w:cs="Verdana"/>
        </w:rPr>
      </w:pPr>
      <w:r>
        <w:rPr>
          <w:rFonts w:cs="Verdana" w:ascii="Verdana" w:hAnsi="Verdana"/>
        </w:rPr>
      </w:r>
    </w:p>
    <w:p>
      <w:pPr>
        <w:pStyle w:val="Normal"/>
        <w:jc w:val="both"/>
        <w:rPr>
          <w:rFonts w:ascii="Verdana" w:hAnsi="Verdana" w:cs="Verdana"/>
        </w:rPr>
      </w:pPr>
      <w:r>
        <w:rPr>
          <w:rFonts w:cs="Verdana" w:ascii="Verdana" w:hAnsi="Verdana"/>
        </w:rPr>
      </w:r>
    </w:p>
    <w:p>
      <w:pPr>
        <w:pStyle w:val="Normal"/>
        <w:jc w:val="both"/>
        <w:rPr>
          <w:rFonts w:ascii="Verdana" w:hAnsi="Verdana" w:cs="Verdana"/>
        </w:rPr>
      </w:pPr>
      <w:r>
        <w:rPr>
          <w:rFonts w:cs="Verdana" w:ascii="Verdana" w:hAnsi="Verdana"/>
        </w:rPr>
        <w:t>Il a été convenu et arrêté ce qui suit :</w:t>
      </w:r>
    </w:p>
    <w:p>
      <w:pPr>
        <w:pStyle w:val="Normal"/>
        <w:jc w:val="both"/>
        <w:rPr>
          <w:rFonts w:ascii="Verdana" w:hAnsi="Verdana" w:cs="Verdana"/>
          <w:b/>
          <w:b/>
        </w:rPr>
      </w:pPr>
      <w:r>
        <w:rPr>
          <w:rFonts w:cs="Verdana" w:ascii="Verdana" w:hAnsi="Verdana"/>
          <w:b/>
        </w:rPr>
      </w:r>
    </w:p>
    <w:p>
      <w:pPr>
        <w:pStyle w:val="Normal"/>
        <w:jc w:val="both"/>
        <w:rPr>
          <w:rFonts w:ascii="Verdana" w:hAnsi="Verdana" w:cs="Verdana"/>
          <w:b/>
          <w:b/>
        </w:rPr>
      </w:pPr>
      <w:r>
        <w:rPr>
          <w:rFonts w:cs="Verdana" w:ascii="Verdana" w:hAnsi="Verdana"/>
          <w:b/>
        </w:rPr>
      </w:r>
    </w:p>
    <w:p>
      <w:pPr>
        <w:pStyle w:val="Normal"/>
        <w:jc w:val="both"/>
        <w:rPr>
          <w:rFonts w:ascii="Verdana" w:hAnsi="Verdana" w:cs="Verdana"/>
        </w:rPr>
      </w:pPr>
      <w:r>
        <w:rPr>
          <w:rFonts w:cs="Verdana" w:ascii="Verdana" w:hAnsi="Verdana"/>
          <w:b/>
        </w:rPr>
        <w:t>DISPOSITIONS</w:t>
      </w:r>
    </w:p>
    <w:p>
      <w:pPr>
        <w:pStyle w:val="Normal"/>
        <w:jc w:val="both"/>
        <w:rPr>
          <w:rFonts w:ascii="Verdana" w:hAnsi="Verdana" w:cs="Verdana"/>
        </w:rPr>
      </w:pPr>
      <w:r>
        <w:rPr>
          <w:rFonts w:cs="Verdana" w:ascii="Verdana" w:hAnsi="Verdana"/>
        </w:rPr>
      </w:r>
    </w:p>
    <w:p>
      <w:pPr>
        <w:pStyle w:val="Normal"/>
        <w:jc w:val="both"/>
        <w:rPr>
          <w:rFonts w:ascii="Verdana" w:hAnsi="Verdana" w:cs="Verdana"/>
        </w:rPr>
      </w:pPr>
      <w:r>
        <w:rPr>
          <w:rFonts w:cs="Verdana" w:ascii="Verdana" w:hAnsi="Verdana"/>
        </w:rPr>
      </w:r>
    </w:p>
    <w:p>
      <w:pPr>
        <w:pStyle w:val="Normal"/>
        <w:jc w:val="both"/>
        <w:rPr/>
      </w:pPr>
      <w:r>
        <w:rPr>
          <w:rFonts w:cs="Verdana" w:ascii="Verdana" w:hAnsi="Verdana"/>
          <w:b/>
          <w:u w:val="single"/>
        </w:rPr>
        <w:t>Article 1</w:t>
      </w:r>
      <w:r>
        <w:rPr>
          <w:rFonts w:cs="Verdana" w:ascii="Verdana" w:hAnsi="Verdana"/>
          <w:b/>
        </w:rPr>
        <w:t xml:space="preserve"> - Champ d’application - Personnel visé.</w:t>
      </w:r>
    </w:p>
    <w:p>
      <w:pPr>
        <w:pStyle w:val="Normal"/>
        <w:jc w:val="both"/>
        <w:rPr>
          <w:rFonts w:ascii="Verdana" w:hAnsi="Verdana" w:cs="Verdana"/>
          <w:b/>
          <w:b/>
        </w:rPr>
      </w:pPr>
      <w:r>
        <w:rPr>
          <w:rFonts w:cs="Verdana" w:ascii="Verdana" w:hAnsi="Verdana"/>
          <w:b/>
        </w:rPr>
      </w:r>
    </w:p>
    <w:p>
      <w:pPr>
        <w:pStyle w:val="Normal"/>
        <w:jc w:val="both"/>
        <w:rPr>
          <w:rFonts w:ascii="Verdana" w:hAnsi="Verdana" w:cs="Verdana"/>
        </w:rPr>
      </w:pPr>
      <w:r>
        <w:rPr>
          <w:rFonts w:cs="Verdana" w:ascii="Verdana" w:hAnsi="Verdana"/>
        </w:rPr>
        <w:t>Le présent accord concerne tout le personnel non cadre rattaché au sein de l’établissement suivant :</w:t>
      </w:r>
    </w:p>
    <w:p>
      <w:pPr>
        <w:pStyle w:val="Normal"/>
        <w:jc w:val="both"/>
        <w:rPr>
          <w:rFonts w:ascii="Verdana" w:hAnsi="Verdana" w:cs="Verdana"/>
        </w:rPr>
      </w:pPr>
      <w:r>
        <w:rPr>
          <w:rFonts w:cs="Verdana" w:ascii="Verdana" w:hAnsi="Verdana"/>
        </w:rPr>
      </w:r>
    </w:p>
    <w:p>
      <w:pPr>
        <w:pStyle w:val="Normal"/>
        <w:tabs>
          <w:tab w:val="left" w:pos="851" w:leader="none"/>
          <w:tab w:val="left" w:pos="3261" w:leader="none"/>
          <w:tab w:val="left" w:pos="4253" w:leader="none"/>
          <w:tab w:val="left" w:pos="4536" w:leader="none"/>
        </w:tabs>
        <w:jc w:val="both"/>
        <w:rPr/>
      </w:pPr>
      <w:r>
        <w:rPr>
          <w:rFonts w:cs="Verdana" w:ascii="Verdana" w:hAnsi="Verdana"/>
          <w:b/>
        </w:rPr>
        <w:tab/>
        <w:t>Agence de Gray - Rue Louis Chauveau – 70100 Gray</w:t>
      </w:r>
    </w:p>
    <w:p>
      <w:pPr>
        <w:pStyle w:val="Normal"/>
        <w:tabs>
          <w:tab w:val="left" w:pos="851" w:leader="none"/>
          <w:tab w:val="left" w:pos="2977" w:leader="none"/>
          <w:tab w:val="left" w:pos="3261" w:leader="none"/>
        </w:tabs>
        <w:ind w:hanging="3261"/>
        <w:jc w:val="both"/>
        <w:rPr>
          <w:rFonts w:ascii="Verdana" w:hAnsi="Verdana" w:cs="Verdana"/>
          <w:b/>
          <w:b/>
        </w:rPr>
      </w:pPr>
      <w:r>
        <w:rPr>
          <w:rFonts w:cs="Verdana" w:ascii="Verdana" w:hAnsi="Verdana"/>
          <w:b/>
        </w:rPr>
      </w:r>
    </w:p>
    <w:p>
      <w:pPr>
        <w:pStyle w:val="Normal"/>
        <w:tabs>
          <w:tab w:val="left" w:pos="709" w:leader="none"/>
          <w:tab w:val="left" w:pos="2835" w:leader="none"/>
          <w:tab w:val="left" w:pos="3119" w:leader="none"/>
        </w:tabs>
        <w:jc w:val="both"/>
        <w:rPr>
          <w:rFonts w:ascii="Verdana" w:hAnsi="Verdana" w:cs="Verdana"/>
          <w:b/>
          <w:b/>
          <w:u w:val="single"/>
        </w:rPr>
      </w:pPr>
      <w:r>
        <w:rPr>
          <w:rFonts w:cs="Verdana" w:ascii="Verdana" w:hAnsi="Verdana"/>
          <w:b/>
          <w:u w:val="single"/>
        </w:rPr>
      </w:r>
    </w:p>
    <w:p>
      <w:pPr>
        <w:pStyle w:val="Normal"/>
        <w:tabs>
          <w:tab w:val="left" w:pos="709" w:leader="none"/>
          <w:tab w:val="left" w:pos="2835" w:leader="none"/>
          <w:tab w:val="left" w:pos="3119" w:leader="none"/>
        </w:tabs>
        <w:jc w:val="both"/>
        <w:rPr/>
      </w:pPr>
      <w:r>
        <w:rPr>
          <w:rFonts w:cs="Verdana" w:ascii="Verdana" w:hAnsi="Verdana"/>
          <w:b/>
          <w:u w:val="single"/>
        </w:rPr>
        <w:t>Article 2</w:t>
      </w:r>
      <w:r>
        <w:rPr>
          <w:rFonts w:cs="Verdana" w:ascii="Verdana" w:hAnsi="Verdana"/>
          <w:b/>
        </w:rPr>
        <w:t xml:space="preserve"> – Salaires</w:t>
      </w:r>
    </w:p>
    <w:p>
      <w:pPr>
        <w:pStyle w:val="Normal"/>
        <w:ind w:left="709" w:hanging="0"/>
        <w:jc w:val="both"/>
        <w:rPr>
          <w:rFonts w:ascii="Verdana" w:hAnsi="Verdana" w:cs="Verdana"/>
          <w:b/>
          <w:b/>
          <w:bCs/>
        </w:rPr>
      </w:pPr>
      <w:r>
        <w:rPr>
          <w:rFonts w:cs="Verdana" w:ascii="Verdana" w:hAnsi="Verdana"/>
          <w:b/>
          <w:bCs/>
        </w:rPr>
      </w:r>
    </w:p>
    <w:p>
      <w:pPr>
        <w:pStyle w:val="TextBody"/>
        <w:rPr>
          <w:rFonts w:ascii="Verdana" w:hAnsi="Verdana" w:cs="Verdana"/>
          <w:bCs/>
          <w:sz w:val="20"/>
        </w:rPr>
      </w:pPr>
      <w:r>
        <w:rPr>
          <w:rFonts w:cs="Verdana" w:ascii="Verdana" w:hAnsi="Verdana"/>
          <w:bCs/>
          <w:sz w:val="20"/>
        </w:rPr>
        <w:t>Les salaires mensuels bruts (c’est-à-dire avant précompte des cotisations incombant aux salariés) seront révisés pour tous les salariés non cadres de l’entreprise de :</w:t>
      </w:r>
    </w:p>
    <w:p>
      <w:pPr>
        <w:pStyle w:val="TextBody"/>
        <w:rPr>
          <w:rFonts w:ascii="Verdana" w:hAnsi="Verdana" w:cs="Verdana"/>
          <w:bCs/>
          <w:color w:val="000000"/>
          <w:sz w:val="20"/>
        </w:rPr>
      </w:pPr>
      <w:r>
        <w:rPr>
          <w:rFonts w:cs="Verdana" w:ascii="Verdana" w:hAnsi="Verdana"/>
          <w:bCs/>
          <w:color w:val="000000"/>
          <w:sz w:val="20"/>
        </w:rPr>
      </w:r>
    </w:p>
    <w:p>
      <w:pPr>
        <w:pStyle w:val="TextBody"/>
        <w:rPr>
          <w:rFonts w:ascii="Verdana" w:hAnsi="Verdana" w:cs="Verdana"/>
          <w:color w:val="000000"/>
          <w:sz w:val="20"/>
        </w:rPr>
      </w:pPr>
      <w:r>
        <w:rPr>
          <w:rFonts w:cs="Verdana" w:ascii="Verdana" w:hAnsi="Verdana"/>
          <w:color w:val="000000"/>
          <w:sz w:val="20"/>
        </w:rPr>
        <w:t xml:space="preserve">- </w:t>
      </w:r>
      <w:r>
        <w:rPr>
          <w:rFonts w:cs="Verdana" w:ascii="Verdana" w:hAnsi="Verdana"/>
          <w:b/>
          <w:color w:val="000000"/>
          <w:sz w:val="20"/>
        </w:rPr>
        <w:t>2 points</w:t>
      </w:r>
      <w:r>
        <w:rPr>
          <w:rFonts w:cs="Verdana" w:ascii="Verdana" w:hAnsi="Verdana"/>
          <w:color w:val="000000"/>
          <w:sz w:val="20"/>
        </w:rPr>
        <w:t xml:space="preserve"> (pour information la valeur du point au 30.05.2018 est de: 6,7409 €) seront attribués</w:t>
      </w:r>
      <w:r>
        <w:rPr>
          <w:rFonts w:cs="Verdana" w:ascii="Verdana" w:hAnsi="Verdana"/>
          <w:bCs/>
          <w:sz w:val="20"/>
        </w:rPr>
        <w:t xml:space="preserve"> </w:t>
      </w:r>
      <w:r>
        <w:rPr>
          <w:rFonts w:cs="Verdana" w:ascii="Verdana" w:hAnsi="Verdana"/>
          <w:color w:val="000000"/>
          <w:sz w:val="20"/>
        </w:rPr>
        <w:t>à chaque collaborateur (référence temps complet) dans la grille de salaire d’EUROPORTE Proximité, un prorata sera calculé pour le personnel à temps partiel.</w:t>
      </w:r>
    </w:p>
    <w:p>
      <w:pPr>
        <w:pStyle w:val="TextBody"/>
        <w:rPr>
          <w:rFonts w:ascii="Verdana" w:hAnsi="Verdana" w:cs="Verdana"/>
          <w:bCs/>
          <w:color w:val="000000"/>
          <w:sz w:val="20"/>
        </w:rPr>
      </w:pPr>
      <w:r>
        <w:rPr>
          <w:rFonts w:cs="Verdana" w:ascii="Verdana" w:hAnsi="Verdana"/>
          <w:bCs/>
          <w:color w:val="000000"/>
          <w:sz w:val="20"/>
        </w:rPr>
      </w:r>
    </w:p>
    <w:p>
      <w:pPr>
        <w:pStyle w:val="TextBody"/>
        <w:rPr>
          <w:rFonts w:ascii="Verdana" w:hAnsi="Verdana" w:cs="Verdana"/>
          <w:bCs/>
          <w:sz w:val="20"/>
        </w:rPr>
      </w:pPr>
      <w:r>
        <w:rPr>
          <w:rFonts w:cs="Verdana" w:ascii="Verdana" w:hAnsi="Verdana"/>
          <w:bCs/>
          <w:sz w:val="20"/>
        </w:rPr>
      </w:r>
    </w:p>
    <w:p>
      <w:pPr>
        <w:pStyle w:val="TextBody"/>
        <w:rPr>
          <w:rFonts w:ascii="Verdana" w:hAnsi="Verdana" w:cs="Verdana"/>
          <w:bCs/>
          <w:sz w:val="20"/>
        </w:rPr>
      </w:pPr>
      <w:r>
        <w:rPr>
          <w:rFonts w:cs="Verdana" w:ascii="Verdana" w:hAnsi="Verdana"/>
          <w:bCs/>
          <w:sz w:val="20"/>
        </w:rPr>
      </w:r>
    </w:p>
    <w:p>
      <w:pPr>
        <w:pStyle w:val="TextBody"/>
        <w:rPr>
          <w:rFonts w:ascii="Verdana" w:hAnsi="Verdana" w:cs="Verdana"/>
          <w:bCs/>
          <w:sz w:val="20"/>
        </w:rPr>
      </w:pPr>
      <w:r>
        <w:rPr>
          <w:rFonts w:cs="Verdana" w:ascii="Verdana" w:hAnsi="Verdana"/>
          <w:bCs/>
          <w:sz w:val="20"/>
        </w:rPr>
      </w:r>
    </w:p>
    <w:p>
      <w:pPr>
        <w:pStyle w:val="TextBody"/>
        <w:rPr>
          <w:rFonts w:ascii="Verdana" w:hAnsi="Verdana" w:cs="Verdana"/>
          <w:bCs/>
          <w:sz w:val="20"/>
        </w:rPr>
      </w:pPr>
      <w:r>
        <w:rPr>
          <w:rFonts w:cs="Verdana" w:ascii="Verdana" w:hAnsi="Verdana"/>
          <w:bCs/>
          <w:sz w:val="20"/>
        </w:rPr>
      </w:r>
    </w:p>
    <w:p>
      <w:pPr>
        <w:pStyle w:val="TextBody"/>
        <w:rPr>
          <w:rFonts w:ascii="Verdana" w:hAnsi="Verdana" w:cs="Verdana"/>
          <w:bCs/>
          <w:sz w:val="20"/>
        </w:rPr>
      </w:pPr>
      <w:r>
        <w:rPr>
          <w:rFonts w:cs="Verdana" w:ascii="Verdana" w:hAnsi="Verdana"/>
          <w:bCs/>
          <w:sz w:val="20"/>
        </w:rPr>
      </w:r>
    </w:p>
    <w:p>
      <w:pPr>
        <w:pStyle w:val="TextBody"/>
        <w:rPr>
          <w:rFonts w:ascii="Verdana" w:hAnsi="Verdana" w:cs="Verdana"/>
          <w:bCs/>
          <w:color w:val="000000"/>
          <w:sz w:val="20"/>
        </w:rPr>
      </w:pPr>
      <w:r>
        <w:rPr>
          <w:rFonts w:cs="Verdana" w:ascii="Verdana" w:hAnsi="Verdana"/>
          <w:bCs/>
          <w:color w:val="000000"/>
          <w:sz w:val="20"/>
        </w:rPr>
      </w:r>
    </w:p>
    <w:p>
      <w:pPr>
        <w:pStyle w:val="TextBody"/>
        <w:rPr>
          <w:rFonts w:ascii="Verdana" w:hAnsi="Verdana" w:cs="Verdana"/>
          <w:color w:val="000000"/>
          <w:sz w:val="20"/>
        </w:rPr>
      </w:pPr>
      <w:r>
        <w:rPr>
          <w:rFonts w:cs="Verdana" w:ascii="Verdana" w:hAnsi="Verdana"/>
          <w:color w:val="000000"/>
          <w:sz w:val="20"/>
        </w:rPr>
      </w:r>
    </w:p>
    <w:p>
      <w:pPr>
        <w:pStyle w:val="TextBody"/>
        <w:rPr>
          <w:rFonts w:ascii="Verdana" w:hAnsi="Verdana" w:cs="Verdana"/>
          <w:color w:val="000000"/>
          <w:sz w:val="20"/>
        </w:rPr>
      </w:pPr>
      <w:r>
        <w:rPr>
          <w:rFonts w:cs="Verdana" w:ascii="Verdana" w:hAnsi="Verdana"/>
          <w:color w:val="000000"/>
          <w:sz w:val="20"/>
        </w:rPr>
        <w:t>En outre, seront consacrés :</w:t>
      </w:r>
    </w:p>
    <w:p>
      <w:pPr>
        <w:pStyle w:val="TextBody"/>
        <w:rPr>
          <w:rFonts w:ascii="Verdana" w:hAnsi="Verdana" w:cs="Verdana"/>
          <w:color w:val="000000"/>
          <w:sz w:val="20"/>
        </w:rPr>
      </w:pPr>
      <w:r>
        <w:rPr>
          <w:rFonts w:cs="Verdana" w:ascii="Verdana" w:hAnsi="Verdana"/>
          <w:color w:val="000000"/>
          <w:sz w:val="20"/>
        </w:rPr>
      </w:r>
    </w:p>
    <w:p>
      <w:pPr>
        <w:pStyle w:val="TextBody"/>
        <w:numPr>
          <w:ilvl w:val="0"/>
          <w:numId w:val="2"/>
        </w:numPr>
        <w:rPr>
          <w:rFonts w:ascii="Verdana" w:hAnsi="Verdana" w:cs="Verdana"/>
          <w:b/>
          <w:b/>
          <w:color w:val="000000"/>
          <w:sz w:val="20"/>
        </w:rPr>
      </w:pPr>
      <w:r>
        <w:rPr>
          <w:rFonts w:cs="Verdana" w:ascii="Verdana" w:hAnsi="Verdana"/>
          <w:b/>
          <w:color w:val="000000"/>
          <w:sz w:val="20"/>
        </w:rPr>
        <w:t>0,45% de la masse salariale brute (salaire de base) en moyenne pour les augmentations promotionnelles en janvier 2018.</w:t>
      </w:r>
    </w:p>
    <w:p>
      <w:pPr>
        <w:pStyle w:val="TextBody"/>
        <w:ind w:left="720" w:hanging="0"/>
        <w:rPr>
          <w:rFonts w:ascii="Verdana" w:hAnsi="Verdana" w:cs="Verdana"/>
          <w:b/>
          <w:b/>
          <w:color w:val="000000"/>
          <w:sz w:val="20"/>
        </w:rPr>
      </w:pPr>
      <w:r>
        <w:rPr>
          <w:rFonts w:cs="Verdana" w:ascii="Verdana" w:hAnsi="Verdana"/>
          <w:b/>
          <w:color w:val="000000"/>
          <w:sz w:val="20"/>
        </w:rPr>
      </w:r>
    </w:p>
    <w:p>
      <w:pPr>
        <w:pStyle w:val="TextBody"/>
        <w:numPr>
          <w:ilvl w:val="0"/>
          <w:numId w:val="2"/>
        </w:numPr>
        <w:rPr>
          <w:rFonts w:ascii="Verdana" w:hAnsi="Verdana" w:cs="Verdana"/>
          <w:b/>
          <w:b/>
          <w:color w:val="000000"/>
          <w:sz w:val="20"/>
        </w:rPr>
      </w:pPr>
      <w:r>
        <w:rPr>
          <w:rFonts w:cs="Verdana" w:ascii="Verdana" w:hAnsi="Verdana"/>
          <w:b/>
          <w:color w:val="000000"/>
          <w:sz w:val="20"/>
        </w:rPr>
        <w:t>0,25% de la masse salariale brute (salaire de base) en moyenne pour les augmentations à l’ancienneté en avril 2018.</w:t>
      </w:r>
    </w:p>
    <w:p>
      <w:pPr>
        <w:pStyle w:val="TextBody"/>
        <w:rPr>
          <w:rFonts w:ascii="Verdana" w:hAnsi="Verdana" w:cs="Verdana"/>
          <w:b/>
          <w:b/>
          <w:color w:val="000000"/>
          <w:sz w:val="20"/>
        </w:rPr>
      </w:pPr>
      <w:r>
        <w:rPr>
          <w:rFonts w:cs="Verdana" w:ascii="Verdana" w:hAnsi="Verdana"/>
          <w:b/>
          <w:color w:val="000000"/>
          <w:sz w:val="20"/>
        </w:rPr>
      </w:r>
    </w:p>
    <w:p>
      <w:pPr>
        <w:pStyle w:val="Normal"/>
        <w:jc w:val="both"/>
        <w:rPr>
          <w:rFonts w:ascii="Verdana" w:hAnsi="Verdana" w:cs="Verdana"/>
          <w:bCs/>
        </w:rPr>
      </w:pPr>
      <w:r>
        <w:rPr>
          <w:rFonts w:cs="Verdana" w:ascii="Verdana" w:hAnsi="Verdana"/>
          <w:bCs/>
        </w:rPr>
        <w:t>Il a été également convenu que, dans le cadre du présent accord, un jour serait</w:t>
      </w:r>
      <w:r>
        <w:rPr>
          <w:rFonts w:cs="Verdana" w:ascii="Verdana" w:hAnsi="Verdana"/>
          <w:b/>
          <w:bCs/>
        </w:rPr>
        <w:t xml:space="preserve"> </w:t>
      </w:r>
      <w:r>
        <w:rPr>
          <w:rFonts w:cs="Verdana" w:ascii="Verdana" w:hAnsi="Verdana"/>
          <w:bCs/>
        </w:rPr>
        <w:t>compensé dans le cadre des jours fériés tombant un dimanche au titre de l’année 2018.</w:t>
      </w:r>
    </w:p>
    <w:p>
      <w:pPr>
        <w:pStyle w:val="Normal"/>
        <w:jc w:val="both"/>
        <w:rPr>
          <w:rFonts w:ascii="Verdana" w:hAnsi="Verdana" w:cs="Verdana"/>
          <w:bCs/>
          <w:u w:val="single"/>
        </w:rPr>
      </w:pPr>
      <w:r>
        <w:rPr>
          <w:rFonts w:cs="Verdana" w:ascii="Verdana" w:hAnsi="Verdana"/>
          <w:bCs/>
          <w:u w:val="single"/>
        </w:rPr>
      </w:r>
    </w:p>
    <w:p>
      <w:pPr>
        <w:pStyle w:val="Normal"/>
        <w:tabs>
          <w:tab w:val="left" w:pos="709" w:leader="none"/>
          <w:tab w:val="left" w:pos="2835" w:leader="none"/>
          <w:tab w:val="left" w:pos="3119" w:leader="none"/>
        </w:tabs>
        <w:jc w:val="both"/>
        <w:rPr>
          <w:rFonts w:ascii="Verdana" w:hAnsi="Verdana" w:cs="Verdana"/>
          <w:b/>
          <w:b/>
          <w:u w:val="single"/>
        </w:rPr>
      </w:pPr>
      <w:r>
        <w:rPr>
          <w:rFonts w:cs="Verdana" w:ascii="Verdana" w:hAnsi="Verdana"/>
          <w:b/>
          <w:u w:val="single"/>
        </w:rPr>
      </w:r>
    </w:p>
    <w:p>
      <w:pPr>
        <w:pStyle w:val="Normal"/>
        <w:tabs>
          <w:tab w:val="left" w:pos="709" w:leader="none"/>
          <w:tab w:val="left" w:pos="2835" w:leader="none"/>
          <w:tab w:val="left" w:pos="3119" w:leader="none"/>
        </w:tabs>
        <w:jc w:val="both"/>
        <w:rPr>
          <w:rFonts w:ascii="Verdana" w:hAnsi="Verdana" w:cs="Verdana"/>
          <w:b/>
          <w:b/>
        </w:rPr>
      </w:pPr>
      <w:r>
        <w:rPr>
          <w:rFonts w:cs="Verdana" w:ascii="Verdana" w:hAnsi="Verdana"/>
          <w:b/>
          <w:u w:val="single"/>
        </w:rPr>
        <w:t>Article 3</w:t>
      </w:r>
      <w:r>
        <w:rPr>
          <w:rFonts w:cs="Verdana" w:ascii="Verdana" w:hAnsi="Verdana"/>
          <w:b/>
        </w:rPr>
        <w:t xml:space="preserve"> – Dispositions finales</w:t>
      </w:r>
    </w:p>
    <w:p>
      <w:pPr>
        <w:pStyle w:val="Normal"/>
        <w:tabs>
          <w:tab w:val="left" w:pos="709" w:leader="none"/>
          <w:tab w:val="left" w:pos="2835" w:leader="none"/>
          <w:tab w:val="left" w:pos="3119" w:leader="none"/>
        </w:tabs>
        <w:jc w:val="both"/>
        <w:rPr>
          <w:rFonts w:ascii="Verdana" w:hAnsi="Verdana" w:cs="Verdana"/>
          <w:b/>
          <w:b/>
          <w:u w:val="single"/>
        </w:rPr>
      </w:pPr>
      <w:r>
        <w:rPr>
          <w:rFonts w:cs="Verdana" w:ascii="Verdana" w:hAnsi="Verdana"/>
          <w:b/>
          <w:u w:val="single"/>
        </w:rPr>
      </w:r>
    </w:p>
    <w:p>
      <w:pPr>
        <w:pStyle w:val="Normal"/>
        <w:jc w:val="both"/>
        <w:rPr/>
      </w:pPr>
      <w:r>
        <w:rPr>
          <w:rFonts w:cs="Verdana" w:ascii="Verdana" w:hAnsi="Verdana"/>
          <w:u w:val="single"/>
        </w:rPr>
        <w:t>Article 3.1 : Durée de l’accord, révision, dénonciation</w:t>
      </w:r>
    </w:p>
    <w:p>
      <w:pPr>
        <w:pStyle w:val="Normal"/>
        <w:jc w:val="both"/>
        <w:rPr>
          <w:rFonts w:ascii="Verdana" w:hAnsi="Verdana" w:cs="Verdana"/>
          <w:u w:val="single"/>
        </w:rPr>
      </w:pPr>
      <w:r>
        <w:rPr>
          <w:rFonts w:cs="Verdana" w:ascii="Verdana" w:hAnsi="Verdana"/>
          <w:u w:val="single"/>
        </w:rPr>
      </w:r>
    </w:p>
    <w:p>
      <w:pPr>
        <w:pStyle w:val="TextBody"/>
        <w:rPr>
          <w:rFonts w:ascii="Verdana" w:hAnsi="Verdana" w:cs="Verdana"/>
          <w:color w:val="000000"/>
          <w:sz w:val="20"/>
        </w:rPr>
      </w:pPr>
      <w:r>
        <w:rPr>
          <w:rFonts w:cs="Verdana" w:ascii="Verdana" w:hAnsi="Verdana"/>
          <w:color w:val="000000"/>
          <w:sz w:val="20"/>
        </w:rPr>
        <w:t>3.1.1 Entrée en vigueur de l’accord</w:t>
      </w:r>
    </w:p>
    <w:p>
      <w:pPr>
        <w:pStyle w:val="TextBody"/>
        <w:rPr>
          <w:rFonts w:ascii="Verdana" w:hAnsi="Verdana" w:cs="Verdana"/>
          <w:color w:val="000000"/>
          <w:sz w:val="20"/>
        </w:rPr>
      </w:pPr>
      <w:r>
        <w:rPr>
          <w:rFonts w:cs="Verdana" w:ascii="Verdana" w:hAnsi="Verdana"/>
          <w:color w:val="000000"/>
          <w:sz w:val="20"/>
        </w:rPr>
      </w:r>
    </w:p>
    <w:p>
      <w:pPr>
        <w:pStyle w:val="TextBody"/>
        <w:rPr/>
      </w:pPr>
      <w:r>
        <w:rPr>
          <w:rFonts w:cs="Verdana" w:ascii="Verdana" w:hAnsi="Verdana"/>
          <w:iCs/>
          <w:color w:val="000000"/>
          <w:sz w:val="20"/>
        </w:rPr>
        <w:t xml:space="preserve">Le présent accord entrera en vigueur au 1er Juillet 2018 et sera porté à la connaissance des salariés élus, désignés ou mandatés. </w:t>
      </w:r>
    </w:p>
    <w:p>
      <w:pPr>
        <w:pStyle w:val="TextBody"/>
        <w:rPr>
          <w:rFonts w:ascii="Verdana" w:hAnsi="Verdana" w:cs="Verdana"/>
          <w:iCs/>
          <w:color w:val="000000"/>
          <w:sz w:val="20"/>
        </w:rPr>
      </w:pPr>
      <w:r>
        <w:rPr>
          <w:rFonts w:cs="Verdana" w:ascii="Verdana" w:hAnsi="Verdana"/>
          <w:iCs/>
          <w:color w:val="000000"/>
          <w:sz w:val="20"/>
        </w:rPr>
        <w:t>Les avantages reconnus par le présent accord ne pourront en aucun cas s’interpréter comme s’ajoutant à ceux accordés antérieurement et ayant le même objet.</w:t>
      </w:r>
    </w:p>
    <w:p>
      <w:pPr>
        <w:pStyle w:val="TextBody"/>
        <w:rPr>
          <w:rFonts w:ascii="Verdana" w:hAnsi="Verdana" w:cs="Verdana"/>
          <w:iCs/>
          <w:color w:val="000000"/>
          <w:sz w:val="20"/>
        </w:rPr>
      </w:pPr>
      <w:r>
        <w:rPr>
          <w:rFonts w:cs="Verdana" w:ascii="Verdana" w:hAnsi="Verdana"/>
          <w:iCs/>
          <w:color w:val="000000"/>
          <w:sz w:val="20"/>
        </w:rPr>
      </w:r>
    </w:p>
    <w:p>
      <w:pPr>
        <w:pStyle w:val="TextBody"/>
        <w:rPr>
          <w:rFonts w:ascii="Verdana" w:hAnsi="Verdana" w:cs="Verdana"/>
          <w:color w:val="000000"/>
          <w:sz w:val="20"/>
        </w:rPr>
      </w:pPr>
      <w:r>
        <w:rPr>
          <w:rFonts w:cs="Verdana" w:ascii="Verdana" w:hAnsi="Verdana"/>
          <w:color w:val="000000"/>
          <w:sz w:val="20"/>
        </w:rPr>
        <w:t>3.1.2 Durée de l’accord</w:t>
      </w:r>
    </w:p>
    <w:p>
      <w:pPr>
        <w:pStyle w:val="TextBody"/>
        <w:rPr>
          <w:rFonts w:ascii="Verdana" w:hAnsi="Verdana" w:cs="Verdana"/>
          <w:color w:val="000000"/>
          <w:sz w:val="20"/>
        </w:rPr>
      </w:pPr>
      <w:r>
        <w:rPr>
          <w:rFonts w:cs="Verdana" w:ascii="Verdana" w:hAnsi="Verdana"/>
          <w:color w:val="000000"/>
          <w:sz w:val="20"/>
        </w:rPr>
      </w:r>
    </w:p>
    <w:p>
      <w:pPr>
        <w:pStyle w:val="TextBody"/>
        <w:rPr>
          <w:rFonts w:ascii="Verdana" w:hAnsi="Verdana" w:cs="Verdana"/>
          <w:iCs/>
          <w:color w:val="000000"/>
          <w:sz w:val="20"/>
        </w:rPr>
      </w:pPr>
      <w:r>
        <w:rPr>
          <w:rFonts w:cs="Verdana" w:ascii="Verdana" w:hAnsi="Verdana"/>
          <w:iCs/>
          <w:color w:val="000000"/>
          <w:sz w:val="20"/>
        </w:rPr>
        <w:t>Le présent accord est conclu pour une durée indéterminée.</w:t>
      </w:r>
    </w:p>
    <w:p>
      <w:pPr>
        <w:pStyle w:val="TextBody"/>
        <w:rPr>
          <w:rFonts w:ascii="Verdana" w:hAnsi="Verdana" w:cs="Verdana"/>
          <w:iCs/>
          <w:color w:val="000000"/>
          <w:sz w:val="20"/>
        </w:rPr>
      </w:pPr>
      <w:r>
        <w:rPr>
          <w:rFonts w:cs="Verdana" w:ascii="Verdana" w:hAnsi="Verdana"/>
          <w:iCs/>
          <w:color w:val="000000"/>
          <w:sz w:val="20"/>
        </w:rPr>
      </w:r>
    </w:p>
    <w:p>
      <w:pPr>
        <w:pStyle w:val="Normal"/>
        <w:jc w:val="both"/>
        <w:rPr>
          <w:rFonts w:ascii="Verdana" w:hAnsi="Verdana" w:cs="Verdana"/>
          <w:u w:val="single"/>
        </w:rPr>
      </w:pPr>
      <w:r>
        <w:rPr>
          <w:rFonts w:cs="Verdana" w:ascii="Verdana" w:hAnsi="Verdana"/>
          <w:u w:val="single"/>
        </w:rPr>
        <w:t>Article 3.2 : Dépôt et publicité de l’accord</w:t>
      </w:r>
    </w:p>
    <w:p>
      <w:pPr>
        <w:pStyle w:val="Normal"/>
        <w:jc w:val="both"/>
        <w:rPr>
          <w:rFonts w:ascii="Verdana" w:hAnsi="Verdana" w:cs="Verdana"/>
          <w:u w:val="single"/>
        </w:rPr>
      </w:pPr>
      <w:r>
        <w:rPr>
          <w:rFonts w:cs="Verdana" w:ascii="Verdana" w:hAnsi="Verdana"/>
          <w:u w:val="single"/>
        </w:rPr>
      </w:r>
    </w:p>
    <w:p>
      <w:pPr>
        <w:pStyle w:val="Normal"/>
        <w:spacing w:before="0" w:after="0"/>
        <w:contextualSpacing/>
        <w:jc w:val="both"/>
        <w:rPr/>
      </w:pPr>
      <w:r>
        <w:rPr>
          <w:rFonts w:cs="Verdana" w:ascii="Verdana" w:hAnsi="Verdana"/>
        </w:rPr>
        <w:t>Le présent avenant est établi en quatre exemplaires pour remise à chaque délégation signataire et pour les dépôts suivants :</w:t>
      </w:r>
    </w:p>
    <w:p>
      <w:pPr>
        <w:pStyle w:val="Normal"/>
        <w:spacing w:before="0" w:after="0"/>
        <w:contextualSpacing/>
        <w:jc w:val="both"/>
        <w:rPr>
          <w:rFonts w:ascii="Verdana" w:hAnsi="Verdana" w:cs="Verdana"/>
        </w:rPr>
      </w:pPr>
      <w:r>
        <w:rPr>
          <w:rFonts w:cs="Verdana" w:ascii="Verdana" w:hAnsi="Verdana"/>
        </w:rPr>
      </w:r>
    </w:p>
    <w:p>
      <w:pPr>
        <w:pStyle w:val="Normal"/>
        <w:numPr>
          <w:ilvl w:val="0"/>
          <w:numId w:val="3"/>
        </w:numPr>
        <w:spacing w:before="0" w:after="0"/>
        <w:contextualSpacing/>
        <w:jc w:val="both"/>
        <w:rPr>
          <w:rFonts w:ascii="Verdana" w:hAnsi="Verdana" w:cs="Verdana"/>
        </w:rPr>
      </w:pPr>
      <w:r>
        <w:rPr>
          <w:rFonts w:cs="Verdana" w:ascii="Verdana" w:hAnsi="Verdana"/>
        </w:rPr>
        <w:t>Transmission à la DIRECCTE (conformément aux lois 2017-1340 du 15/09/17et 2018- 217 du 29/03/18) :</w:t>
      </w:r>
    </w:p>
    <w:p>
      <w:pPr>
        <w:pStyle w:val="Normal"/>
        <w:numPr>
          <w:ilvl w:val="0"/>
          <w:numId w:val="4"/>
        </w:numPr>
        <w:shd w:fill="FFFFFF" w:val="clear"/>
        <w:spacing w:before="0" w:after="0"/>
        <w:contextualSpacing/>
        <w:jc w:val="both"/>
        <w:rPr>
          <w:rFonts w:ascii="Verdana" w:hAnsi="Verdana" w:cs="Verdana"/>
        </w:rPr>
      </w:pPr>
      <w:r>
        <w:rPr>
          <w:rFonts w:cs="Verdana" w:ascii="Verdana" w:hAnsi="Verdana"/>
        </w:rPr>
        <w:t>d’une version intégrale du texte en pdf (version signée des parties),</w:t>
      </w:r>
    </w:p>
    <w:p>
      <w:pPr>
        <w:pStyle w:val="Normal"/>
        <w:numPr>
          <w:ilvl w:val="0"/>
          <w:numId w:val="4"/>
        </w:numPr>
        <w:shd w:fill="FFFFFF" w:val="clear"/>
        <w:spacing w:before="0" w:after="0"/>
        <w:contextualSpacing/>
        <w:jc w:val="both"/>
        <w:rPr>
          <w:rFonts w:ascii="Verdana" w:hAnsi="Verdana" w:cs="Verdana"/>
        </w:rPr>
      </w:pPr>
      <w:r>
        <w:rPr>
          <w:rFonts w:cs="Verdana" w:ascii="Verdana" w:hAnsi="Verdana"/>
        </w:rPr>
        <w:t>d’une version du texte en docx sans mention de noms, prénoms, paraphes ou signatures de personnes physiques.</w:t>
      </w:r>
    </w:p>
    <w:p>
      <w:pPr>
        <w:pStyle w:val="Normal"/>
        <w:shd w:fill="FFFFFF" w:val="clear"/>
        <w:spacing w:before="0" w:after="0"/>
        <w:ind w:left="1080" w:hanging="0"/>
        <w:contextualSpacing/>
        <w:jc w:val="both"/>
        <w:rPr>
          <w:rFonts w:ascii="Verdana" w:hAnsi="Verdana" w:cs="Verdana"/>
        </w:rPr>
      </w:pPr>
      <w:r>
        <w:rPr>
          <w:rFonts w:cs="Verdana" w:ascii="Verdana" w:hAnsi="Verdana"/>
        </w:rPr>
      </w:r>
    </w:p>
    <w:p>
      <w:pPr>
        <w:pStyle w:val="Normal"/>
        <w:numPr>
          <w:ilvl w:val="0"/>
          <w:numId w:val="3"/>
        </w:numPr>
        <w:spacing w:before="0" w:after="0"/>
        <w:contextualSpacing/>
        <w:jc w:val="both"/>
        <w:rPr>
          <w:rFonts w:ascii="Verdana" w:hAnsi="Verdana" w:cs="Verdana"/>
        </w:rPr>
      </w:pPr>
      <w:r>
        <w:rPr>
          <w:rFonts w:cs="Verdana" w:ascii="Verdana" w:hAnsi="Verdana"/>
        </w:rPr>
        <w:t>Transmission d’un exemplaire signé au secrétariat-greffe du Conseil de prud’hommes du lieu de conclusion.</w:t>
      </w:r>
    </w:p>
    <w:p>
      <w:pPr>
        <w:pStyle w:val="Normal"/>
        <w:jc w:val="both"/>
        <w:rPr>
          <w:rFonts w:ascii="Verdana" w:hAnsi="Verdana" w:cs="Verdana"/>
        </w:rPr>
      </w:pPr>
      <w:r>
        <w:rPr>
          <w:rFonts w:cs="Verdana" w:ascii="Verdana" w:hAnsi="Verdana"/>
        </w:rPr>
      </w:r>
    </w:p>
    <w:p>
      <w:pPr>
        <w:pStyle w:val="Normal"/>
        <w:jc w:val="both"/>
        <w:rPr>
          <w:rFonts w:ascii="Verdana" w:hAnsi="Verdana" w:cs="Verdana"/>
        </w:rPr>
      </w:pPr>
      <w:r>
        <w:rPr>
          <w:rFonts w:cs="Verdana" w:ascii="Verdana" w:hAnsi="Verdana"/>
        </w:rPr>
        <w:t>Ces dépôts seront effectués par l’employeur.</w:t>
      </w:r>
    </w:p>
    <w:p>
      <w:pPr>
        <w:pStyle w:val="Normal"/>
        <w:autoSpaceDE w:val="false"/>
        <w:jc w:val="both"/>
        <w:rPr>
          <w:rFonts w:ascii="Verdana" w:hAnsi="Verdana" w:cs="Verdana"/>
        </w:rPr>
      </w:pPr>
      <w:r>
        <w:rPr>
          <w:rFonts w:cs="Verdana" w:ascii="Verdana" w:hAnsi="Verdana"/>
        </w:rPr>
      </w:r>
    </w:p>
    <w:p>
      <w:pPr>
        <w:pStyle w:val="Normal"/>
        <w:jc w:val="both"/>
        <w:rPr>
          <w:rFonts w:ascii="Verdana" w:hAnsi="Verdana" w:cs="Verdana"/>
        </w:rPr>
      </w:pPr>
      <w:r>
        <w:rPr>
          <w:rFonts w:cs="Verdana" w:ascii="Verdana" w:hAnsi="Verdana"/>
        </w:rPr>
      </w:r>
    </w:p>
    <w:p>
      <w:pPr>
        <w:pStyle w:val="Normal"/>
        <w:jc w:val="both"/>
        <w:rPr>
          <w:rFonts w:ascii="Verdana" w:hAnsi="Verdana" w:cs="Verdana"/>
        </w:rPr>
      </w:pPr>
      <w:r>
        <w:rPr>
          <w:rFonts w:cs="Verdana" w:ascii="Verdana" w:hAnsi="Verdana"/>
        </w:rPr>
      </w:r>
    </w:p>
    <w:p>
      <w:pPr>
        <w:pStyle w:val="Normal"/>
        <w:jc w:val="both"/>
        <w:rPr>
          <w:rFonts w:ascii="Verdana" w:hAnsi="Verdana" w:cs="Verdana"/>
        </w:rPr>
      </w:pPr>
      <w:r>
        <w:rPr>
          <w:rFonts w:cs="Verdana" w:ascii="Verdana" w:hAnsi="Verdana"/>
        </w:rPr>
      </w:r>
    </w:p>
    <w:p>
      <w:pPr>
        <w:pStyle w:val="Normal"/>
        <w:jc w:val="both"/>
        <w:rPr>
          <w:rFonts w:ascii="Verdana" w:hAnsi="Verdana" w:cs="Verdana"/>
        </w:rPr>
      </w:pPr>
      <w:r>
        <w:rPr>
          <w:rFonts w:cs="Verdana" w:ascii="Verdana" w:hAnsi="Verdana"/>
        </w:rPr>
      </w:r>
    </w:p>
    <w:p>
      <w:pPr>
        <w:pStyle w:val="Normal"/>
        <w:jc w:val="both"/>
        <w:rPr>
          <w:rFonts w:ascii="Verdana" w:hAnsi="Verdana" w:cs="Verdana"/>
        </w:rPr>
      </w:pPr>
      <w:r>
        <w:rPr>
          <w:rFonts w:cs="Verdana" w:ascii="Verdana" w:hAnsi="Verdana"/>
        </w:rPr>
      </w:r>
    </w:p>
    <w:p>
      <w:pPr>
        <w:pStyle w:val="Normal"/>
        <w:jc w:val="both"/>
        <w:rPr>
          <w:rFonts w:ascii="Verdana" w:hAnsi="Verdana" w:cs="Verdana"/>
        </w:rPr>
      </w:pPr>
      <w:r>
        <w:rPr>
          <w:rFonts w:cs="Verdana" w:ascii="Verdana" w:hAnsi="Verdana"/>
        </w:rPr>
      </w:r>
    </w:p>
    <w:p>
      <w:pPr>
        <w:pStyle w:val="Normal"/>
        <w:jc w:val="both"/>
        <w:rPr>
          <w:rFonts w:ascii="Verdana" w:hAnsi="Verdana" w:cs="Verdana"/>
        </w:rPr>
      </w:pPr>
      <w:r>
        <w:rPr>
          <w:rFonts w:cs="Verdana" w:ascii="Verdana" w:hAnsi="Verdana"/>
        </w:rPr>
      </w:r>
    </w:p>
    <w:p>
      <w:pPr>
        <w:pStyle w:val="Normal"/>
        <w:jc w:val="both"/>
        <w:rPr>
          <w:rFonts w:ascii="Verdana" w:hAnsi="Verdana" w:cs="Verdana"/>
        </w:rPr>
      </w:pPr>
      <w:r>
        <w:rPr>
          <w:rFonts w:cs="Verdana" w:ascii="Verdana" w:hAnsi="Verdana"/>
        </w:rPr>
      </w:r>
    </w:p>
    <w:p>
      <w:pPr>
        <w:pStyle w:val="Normal"/>
        <w:jc w:val="both"/>
        <w:rPr>
          <w:rFonts w:ascii="Verdana" w:hAnsi="Verdana" w:cs="Verdana"/>
        </w:rPr>
      </w:pPr>
      <w:r>
        <w:rPr>
          <w:rFonts w:cs="Verdana" w:ascii="Verdana" w:hAnsi="Verdana"/>
        </w:rPr>
      </w:r>
    </w:p>
    <w:p>
      <w:pPr>
        <w:pStyle w:val="Normal"/>
        <w:jc w:val="both"/>
        <w:rPr>
          <w:rFonts w:ascii="Verdana" w:hAnsi="Verdana" w:cs="Verdana"/>
        </w:rPr>
      </w:pPr>
      <w:r>
        <w:rPr>
          <w:rFonts w:cs="Verdana" w:ascii="Verdana" w:hAnsi="Verdana"/>
        </w:rPr>
      </w:r>
    </w:p>
    <w:p>
      <w:pPr>
        <w:pStyle w:val="Normal"/>
        <w:jc w:val="both"/>
        <w:rPr>
          <w:rFonts w:ascii="Verdana" w:hAnsi="Verdana" w:cs="Verdana"/>
        </w:rPr>
      </w:pPr>
      <w:r>
        <w:rPr>
          <w:rFonts w:cs="Verdana" w:ascii="Verdana" w:hAnsi="Verdana"/>
        </w:rPr>
      </w:r>
    </w:p>
    <w:p>
      <w:pPr>
        <w:pStyle w:val="Normal"/>
        <w:jc w:val="both"/>
        <w:rPr>
          <w:rFonts w:ascii="Verdana" w:hAnsi="Verdana" w:cs="Verdana"/>
        </w:rPr>
      </w:pPr>
      <w:r>
        <w:rPr>
          <w:rFonts w:cs="Verdana" w:ascii="Verdana" w:hAnsi="Verdana"/>
        </w:rPr>
        <w:t>Conformément aux articles R 2262-1 et suivants du code du Travail, le présent accord fera l’objet d’une mention sur l’avis affiché dans les lieux de travail, aux emplacements réservés aux communications destinées au personnel, indiquant les modalités de consultation des accords collectifs.</w:t>
      </w:r>
    </w:p>
    <w:p>
      <w:pPr>
        <w:pStyle w:val="Normal"/>
        <w:jc w:val="both"/>
        <w:rPr>
          <w:rFonts w:ascii="Verdana" w:hAnsi="Verdana" w:cs="Verdana"/>
        </w:rPr>
      </w:pPr>
      <w:r>
        <w:rPr>
          <w:rFonts w:cs="Verdana" w:ascii="Verdana" w:hAnsi="Verdana"/>
        </w:rPr>
      </w:r>
    </w:p>
    <w:p>
      <w:pPr>
        <w:pStyle w:val="Normal"/>
        <w:jc w:val="both"/>
        <w:rPr>
          <w:rFonts w:ascii="Verdana" w:hAnsi="Verdana" w:cs="Verdana"/>
        </w:rPr>
      </w:pPr>
      <w:r>
        <w:rPr>
          <w:rFonts w:cs="Verdana" w:ascii="Verdana" w:hAnsi="Verdana"/>
        </w:rPr>
      </w:r>
    </w:p>
    <w:p>
      <w:pPr>
        <w:pStyle w:val="Normal"/>
        <w:jc w:val="both"/>
        <w:rPr>
          <w:rFonts w:ascii="Verdana" w:hAnsi="Verdana" w:cs="Verdana"/>
        </w:rPr>
      </w:pPr>
      <w:r>
        <w:rPr>
          <w:rFonts w:cs="Verdana" w:ascii="Verdana" w:hAnsi="Verdana"/>
        </w:rPr>
      </w:r>
    </w:p>
    <w:p>
      <w:pPr>
        <w:pStyle w:val="Normal"/>
        <w:jc w:val="right"/>
        <w:rPr>
          <w:rFonts w:ascii="Verdana" w:hAnsi="Verdana" w:cs="Verdana"/>
        </w:rPr>
      </w:pPr>
      <w:r>
        <w:rPr>
          <w:rFonts w:cs="Verdana" w:ascii="Verdana" w:hAnsi="Verdana"/>
        </w:rPr>
        <w:t>Fait à Gray, le 30 mai 2018</w:t>
      </w:r>
    </w:p>
    <w:p>
      <w:pPr>
        <w:pStyle w:val="Normal"/>
        <w:jc w:val="both"/>
        <w:rPr>
          <w:rFonts w:ascii="Verdana" w:hAnsi="Verdana" w:cs="Verdana"/>
        </w:rPr>
      </w:pPr>
      <w:r>
        <w:rPr>
          <w:rFonts w:cs="Verdana" w:ascii="Verdana" w:hAnsi="Verdana"/>
        </w:rPr>
      </w:r>
    </w:p>
    <w:p>
      <w:pPr>
        <w:pStyle w:val="Normal"/>
        <w:jc w:val="both"/>
        <w:rPr>
          <w:rFonts w:ascii="Verdana" w:hAnsi="Verdana" w:cs="Verdana"/>
        </w:rPr>
      </w:pPr>
      <w:r>
        <w:rPr>
          <w:rFonts w:cs="Verdana" w:ascii="Verdana" w:hAnsi="Verdana"/>
        </w:rPr>
      </w:r>
    </w:p>
    <w:p>
      <w:pPr>
        <w:pStyle w:val="Normal"/>
        <w:jc w:val="both"/>
        <w:rPr>
          <w:rFonts w:ascii="Verdana" w:hAnsi="Verdana" w:cs="Verdana"/>
        </w:rPr>
      </w:pPr>
      <w:r>
        <w:rPr>
          <w:rFonts w:cs="Verdana" w:ascii="Verdana" w:hAnsi="Verdana"/>
        </w:rPr>
      </w:r>
    </w:p>
    <w:p>
      <w:pPr>
        <w:pStyle w:val="Normal"/>
        <w:tabs>
          <w:tab w:val="left" w:pos="2268" w:leader="none"/>
          <w:tab w:val="left" w:pos="5954" w:leader="none"/>
        </w:tabs>
        <w:rPr>
          <w:rFonts w:ascii="Verdana" w:hAnsi="Verdana" w:cs="Verdana"/>
          <w:b/>
          <w:b/>
          <w:bCs/>
        </w:rPr>
      </w:pPr>
      <w:r>
        <w:rPr>
          <w:rFonts w:cs="Verdana" w:ascii="Verdana" w:hAnsi="Verdana"/>
          <w:b/>
        </w:rPr>
        <w:t>Pour La Direction,</w:t>
        <w:tab/>
      </w:r>
      <w:r>
        <w:rPr>
          <w:rFonts w:cs="Verdana" w:ascii="Verdana" w:hAnsi="Verdana"/>
        </w:rPr>
        <w:tab/>
        <w:tab/>
        <w:tab/>
      </w:r>
      <w:r>
        <w:rPr>
          <w:rFonts w:cs="Verdana" w:ascii="Verdana" w:hAnsi="Verdana"/>
          <w:b/>
        </w:rPr>
        <w:t>Pour FO,</w:t>
      </w:r>
    </w:p>
    <w:p>
      <w:pPr>
        <w:pStyle w:val="Heading6"/>
        <w:numPr>
          <w:ilvl w:val="5"/>
          <w:numId w:val="1"/>
        </w:numPr>
        <w:jc w:val="left"/>
        <w:rPr>
          <w:rFonts w:ascii="Verdana" w:hAnsi="Verdana" w:cs="Verdana"/>
          <w:b w:val="false"/>
          <w:b w:val="false"/>
          <w:sz w:val="20"/>
          <w:lang w:val="fr-FR"/>
        </w:rPr>
      </w:pPr>
      <w:r>
        <w:rPr>
          <w:rFonts w:cs="Verdana" w:ascii="Verdana" w:hAnsi="Verdana"/>
          <w:b w:val="false"/>
          <w:sz w:val="20"/>
        </w:rPr>
        <w:tab/>
      </w:r>
    </w:p>
    <w:p>
      <w:pPr>
        <w:pStyle w:val="Normal"/>
        <w:rPr>
          <w:rFonts w:ascii="Verdana" w:hAnsi="Verdana" w:cs="Verdana"/>
        </w:rPr>
      </w:pPr>
      <w:r>
        <w:rPr>
          <w:rFonts w:cs="Verdana" w:ascii="Verdana" w:hAnsi="Verdana"/>
        </w:rPr>
        <w:tab/>
        <w:tab/>
        <w:tab/>
      </w:r>
    </w:p>
    <w:p>
      <w:pPr>
        <w:pStyle w:val="Heading6"/>
        <w:numPr>
          <w:ilvl w:val="5"/>
          <w:numId w:val="1"/>
        </w:numPr>
        <w:jc w:val="left"/>
        <w:rPr>
          <w:rFonts w:ascii="Verdana" w:hAnsi="Verdana" w:cs="Verdana"/>
          <w:b w:val="false"/>
          <w:b w:val="false"/>
        </w:rPr>
      </w:pPr>
      <w:r>
        <w:rPr>
          <w:rFonts w:cs="Verdana" w:ascii="Verdana" w:hAnsi="Verdana"/>
          <w:b w:val="false"/>
        </w:rPr>
      </w:r>
    </w:p>
    <w:p>
      <w:pPr>
        <w:pStyle w:val="Heading6"/>
        <w:numPr>
          <w:ilvl w:val="5"/>
          <w:numId w:val="1"/>
        </w:numPr>
        <w:rPr>
          <w:rFonts w:ascii="Verdana" w:hAnsi="Verdana" w:cs="Verdana"/>
          <w:b w:val="false"/>
          <w:b w:val="false"/>
          <w:sz w:val="20"/>
          <w:lang w:val="fr-FR"/>
        </w:rPr>
      </w:pPr>
      <w:r>
        <w:rPr>
          <w:rFonts w:cs="Verdana" w:ascii="Verdana" w:hAnsi="Verdana"/>
          <w:b w:val="false"/>
          <w:sz w:val="20"/>
          <w:lang w:val="fr-FR"/>
        </w:rPr>
      </w:r>
    </w:p>
    <w:p>
      <w:pPr>
        <w:pStyle w:val="Heading6"/>
        <w:numPr>
          <w:ilvl w:val="5"/>
          <w:numId w:val="1"/>
        </w:numPr>
        <w:rPr>
          <w:rFonts w:ascii="Verdana" w:hAnsi="Verdana" w:cs="Verdana"/>
          <w:sz w:val="20"/>
          <w:lang w:val="fr-FR"/>
        </w:rPr>
      </w:pPr>
      <w:r>
        <w:rPr>
          <w:rFonts w:cs="Verdana" w:ascii="Verdana" w:hAnsi="Verdana"/>
          <w:sz w:val="20"/>
          <w:lang w:val="fr-FR"/>
        </w:rPr>
      </w:r>
    </w:p>
    <w:p>
      <w:pPr>
        <w:pStyle w:val="Heading6"/>
        <w:numPr>
          <w:ilvl w:val="5"/>
          <w:numId w:val="1"/>
        </w:numPr>
        <w:rPr>
          <w:rFonts w:ascii="Verdana" w:hAnsi="Verdana" w:cs="Verdana"/>
          <w:sz w:val="20"/>
          <w:lang w:val="fr-FR"/>
        </w:rPr>
      </w:pPr>
      <w:r>
        <w:rPr>
          <w:rFonts w:cs="Verdana" w:ascii="Verdana" w:hAnsi="Verdana"/>
          <w:sz w:val="20"/>
          <w:lang w:val="fr-FR"/>
        </w:rPr>
      </w:r>
    </w:p>
    <w:p>
      <w:pPr>
        <w:pStyle w:val="TextBody"/>
        <w:rPr>
          <w:rFonts w:ascii="Verdana" w:hAnsi="Verdana" w:cs="Verdana"/>
          <w:color w:val="000000"/>
          <w:sz w:val="20"/>
          <w:lang w:val="fr-FR"/>
        </w:rPr>
      </w:pPr>
      <w:r>
        <w:rPr>
          <w:rFonts w:cs="Verdana" w:ascii="Verdana" w:hAnsi="Verdana"/>
          <w:color w:val="000000"/>
          <w:sz w:val="20"/>
          <w:lang w:val="fr-FR"/>
        </w:rPr>
      </w:r>
    </w:p>
    <w:sectPr>
      <w:headerReference w:type="default" r:id="rId2"/>
      <w:footerReference w:type="default" r:id="rId3"/>
      <w:type w:val="nextPage"/>
      <w:pgSz w:w="11906" w:h="16838"/>
      <w:pgMar w:left="1418" w:right="1274" w:header="720" w:top="851" w:footer="851"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ahoma">
    <w:charset w:val="00"/>
    <w:family w:val="swiss"/>
    <w:pitch w:val="variable"/>
  </w:font>
  <w:font w:name="Symbol">
    <w:charset w:val="01"/>
    <w:family w:val="roman"/>
    <w:pitch w:val="variable"/>
  </w:font>
  <w:font w:name="Courier New">
    <w:charset w:val="00"/>
    <w:family w:val="modern"/>
    <w:pitch w:val="default"/>
  </w:font>
  <w:font w:name="Wingdings">
    <w:charset w:val="02"/>
    <w:family w:val="auto"/>
    <w:pitch w:val="variable"/>
  </w:font>
  <w:font w:name="Calibri">
    <w:charset w:val="00"/>
    <w:family w:val="swiss"/>
    <w:pitch w:val="variable"/>
  </w:font>
  <w:font w:name="Liberation Sans">
    <w:altName w:val="Arial"/>
    <w:charset w:val="01"/>
    <w:family w:val="swiss"/>
    <w:pitch w:val="variable"/>
  </w:font>
  <w:font w:name="Verdana">
    <w:charset w:val="00"/>
    <w:family w:val="swiss"/>
    <w:pitch w:val="variable"/>
  </w:font>
  <w:font w:name="Courier New">
    <w:charset w:val="00"/>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color w:val="999999"/>
      </w:rPr>
    </w:pPr>
    <w:r>
      <w:rPr>
        <w:color w:val="999999"/>
      </w:rPr>
      <w:fldChar w:fldCharType="begin"/>
    </w:r>
    <w:r>
      <w:instrText> FILENAME </w:instrText>
    </w:r>
    <w:r>
      <w:fldChar w:fldCharType="separate"/>
    </w:r>
    <w:r>
      <w:t>T07018000169-44504397900068.doc</w:t>
    </w:r>
    <w:r>
      <w:fldChar w:fldCharType="end"/>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64135" cy="146685"/>
              <wp:effectExtent l="0" t="0" r="0" b="0"/>
              <wp:wrapSquare wrapText="largest"/>
              <wp:docPr id="2" name="Frame1"/>
              <a:graphic xmlns:a="http://schemas.openxmlformats.org/drawingml/2006/main">
                <a:graphicData uri="http://schemas.microsoft.com/office/word/2010/wordprocessingShape">
                  <wps:wsp>
                    <wps:cNvSpPr txBox="1"/>
                    <wps:spPr>
                      <a:xfrm>
                        <a:off x="0" y="0"/>
                        <a:ext cx="64135" cy="146685"/>
                      </a:xfrm>
                      <a:prstGeom prst="rect"/>
                      <a:solidFill>
                        <a:srgbClr val="FFFFFF">
                          <a:alpha val="0"/>
                        </a:srgbClr>
                      </a:solidFill>
                    </wps:spPr>
                    <wps:txbx>
                      <w:txbxContent>
                        <w:p>
                          <w:pPr>
                            <w:pStyle w:val="Footer"/>
                            <w:rPr>
                              <w:rStyle w:val="PageNumber"/>
                            </w:rPr>
                          </w:pPr>
                          <w:r>
                            <w:rPr>
                              <w:rStyle w:val="PageNumber"/>
                            </w:rPr>
                            <w:fldChar w:fldCharType="begin"/>
                          </w:r>
                          <w:r>
                            <w:instrText> PAGE </w:instrText>
                          </w:r>
                          <w:r>
                            <w:fldChar w:fldCharType="separate"/>
                          </w:r>
                          <w:r>
                            <w:t>3</w:t>
                          </w:r>
                          <w:r>
                            <w:fldChar w:fldCharType="end"/>
                          </w:r>
                        </w:p>
                      </w:txbxContent>
                    </wps:txbx>
                    <wps:bodyPr anchor="t">
                      <a:noAutofit/>
                    </wps:bodyPr>
                  </wps:wsp>
                </a:graphicData>
              </a:graphic>
            </wp:anchor>
          </w:drawing>
        </mc:Choice>
        <mc:Fallback>
          <w:pict>
            <v:rect fillcolor="#FFFFFF" style="position:absolute;rotation:0;width:5.05pt;height:11.55pt;margin-top:0.05pt;mso-position-vertical-relative:text;margin-left:455.65pt;mso-position-horizontal:right;mso-position-horizontal-relative:margin">
              <v:fill opacity="0f"/>
              <v:textbox>
                <w:txbxContent>
                  <w:p>
                    <w:pPr>
                      <w:pStyle w:val="Footer"/>
                      <w:rPr>
                        <w:rStyle w:val="PageNumber"/>
                      </w:rPr>
                    </w:pPr>
                    <w:r>
                      <w:rPr>
                        <w:rStyle w:val="PageNumber"/>
                      </w:rPr>
                      <w:fldChar w:fldCharType="begin"/>
                    </w:r>
                    <w:r>
                      <w:instrText> PAGE </w:instrText>
                    </w:r>
                    <w:r>
                      <w:fldChar w:fldCharType="separate"/>
                    </w:r>
                    <w:r>
                      <w:t>3</w:t>
                    </w:r>
                    <w:r>
                      <w:fldChar w:fldCharType="end"/>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lang w:val="en-GB" w:eastAsia="en-GB"/>
      </w:rPr>
    </w:pPr>
    <w:r>
      <w:rPr>
        <w:lang w:val="en-GB" w:eastAsia="en-GB"/>
      </w:rPr>
      <w:drawing>
        <wp:inline distT="0" distB="0" distL="0" distR="0">
          <wp:extent cx="1454150" cy="81978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1454150" cy="819785"/>
                  </a:xfrm>
                  <a:prstGeom prst="rect">
                    <a:avLst/>
                  </a:prstGeom>
                </pic:spPr>
              </pic:pic>
            </a:graphicData>
          </a:graphic>
        </wp:inline>
      </w:drawing>
    </w:r>
  </w:p>
  <w:p>
    <w:pPr>
      <w:pStyle w:val="Normal"/>
      <w:rPr/>
    </w:pPr>
    <w:r>
      <w:rPr/>
    </w:r>
  </w:p>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ind w:left="720" w:hanging="360"/>
      </w:pPr>
      <w:rPr>
        <w:rFonts w:ascii="Symbol" w:hAnsi="Symbol" w:cs="Symbol" w:hint="default"/>
        <w:sz w:val="20"/>
        <w:rFonts w:cs="Symbol"/>
        <w:color w:val="000000"/>
      </w:rPr>
    </w:lvl>
  </w:abstractNum>
  <w:abstractNum w:abstractNumId="3">
    <w:lvl w:ilvl="0">
      <w:start w:val="58"/>
      <w:numFmt w:val="bullet"/>
      <w:lvlText w:val="-"/>
      <w:lvlJc w:val="left"/>
      <w:pPr>
        <w:tabs>
          <w:tab w:val="num" w:pos="720"/>
        </w:tabs>
        <w:ind w:left="720" w:hanging="360"/>
      </w:pPr>
      <w:rPr>
        <w:rFonts w:ascii="Times New Roman" w:hAnsi="Times New Roman" w:cs="Times New Roman" w:hint="default"/>
        <w:rFonts w:cs="Times New Roman"/>
      </w:rPr>
    </w:lvl>
  </w:abstractNum>
  <w:abstractNum w:abstractNumId="4">
    <w:lvl w:ilvl="0">
      <w:start w:val="1"/>
      <w:numFmt w:val="bullet"/>
      <w:lvlText w:val=""/>
      <w:lvlJc w:val="left"/>
      <w:pPr>
        <w:tabs>
          <w:tab w:val="num" w:pos="1440"/>
        </w:tabs>
        <w:ind w:left="1440" w:hanging="360"/>
      </w:pPr>
      <w:rPr>
        <w:rFonts w:ascii="Symbol" w:hAnsi="Symbol" w:cs="Symbol" w:hint="default"/>
        <w:sz w:val="20"/>
        <w:rFonts w:cs="Symbol"/>
      </w:rPr>
    </w:lvl>
    <w:lvl w:ilvl="1">
      <w:start w:val="1"/>
      <w:numFmt w:val="bullet"/>
      <w:lvlText w:val="o"/>
      <w:lvlJc w:val="left"/>
      <w:pPr>
        <w:tabs>
          <w:tab w:val="num" w:pos="2160"/>
        </w:tabs>
        <w:ind w:left="2160" w:hanging="360"/>
      </w:pPr>
      <w:rPr>
        <w:rFonts w:ascii="Courier New" w:hAnsi="Courier New" w:cs="Courier New" w:hint="default"/>
        <w:sz w:val="20"/>
        <w:rFonts w:cs="Courier New"/>
      </w:rPr>
    </w:lvl>
    <w:lvl w:ilvl="2">
      <w:start w:val="1"/>
      <w:numFmt w:val="bullet"/>
      <w:lvlText w:val=""/>
      <w:lvlJc w:val="left"/>
      <w:pPr>
        <w:tabs>
          <w:tab w:val="num" w:pos="2880"/>
        </w:tabs>
        <w:ind w:left="2880" w:hanging="360"/>
      </w:pPr>
      <w:rPr>
        <w:rFonts w:ascii="Wingdings" w:hAnsi="Wingdings" w:cs="Wingdings" w:hint="default"/>
        <w:sz w:val="20"/>
        <w:rFonts w:cs="Wingdings"/>
      </w:rPr>
    </w:lvl>
    <w:lvl w:ilvl="3">
      <w:start w:val="1"/>
      <w:numFmt w:val="bullet"/>
      <w:lvlText w:val=""/>
      <w:lvlJc w:val="left"/>
      <w:pPr>
        <w:tabs>
          <w:tab w:val="num" w:pos="3600"/>
        </w:tabs>
        <w:ind w:left="3600" w:hanging="360"/>
      </w:pPr>
      <w:rPr>
        <w:rFonts w:ascii="Wingdings" w:hAnsi="Wingdings" w:cs="Wingdings" w:hint="default"/>
        <w:sz w:val="20"/>
        <w:rFonts w:cs="Wingdings"/>
      </w:rPr>
    </w:lvl>
    <w:lvl w:ilvl="4">
      <w:start w:val="1"/>
      <w:numFmt w:val="bullet"/>
      <w:lvlText w:val=""/>
      <w:lvlJc w:val="left"/>
      <w:pPr>
        <w:tabs>
          <w:tab w:val="num" w:pos="4320"/>
        </w:tabs>
        <w:ind w:left="4320" w:hanging="360"/>
      </w:pPr>
      <w:rPr>
        <w:rFonts w:ascii="Wingdings" w:hAnsi="Wingdings" w:cs="Wingdings" w:hint="default"/>
        <w:sz w:val="20"/>
        <w:rFonts w:cs="Wingdings"/>
      </w:rPr>
    </w:lvl>
    <w:lvl w:ilvl="5">
      <w:start w:val="1"/>
      <w:numFmt w:val="bullet"/>
      <w:lvlText w:val=""/>
      <w:lvlJc w:val="left"/>
      <w:pPr>
        <w:tabs>
          <w:tab w:val="num" w:pos="5040"/>
        </w:tabs>
        <w:ind w:left="5040" w:hanging="360"/>
      </w:pPr>
      <w:rPr>
        <w:rFonts w:ascii="Wingdings" w:hAnsi="Wingdings" w:cs="Wingdings" w:hint="default"/>
        <w:sz w:val="20"/>
        <w:rFonts w:cs="Wingdings"/>
      </w:rPr>
    </w:lvl>
    <w:lvl w:ilvl="6">
      <w:start w:val="1"/>
      <w:numFmt w:val="bullet"/>
      <w:lvlText w:val=""/>
      <w:lvlJc w:val="left"/>
      <w:pPr>
        <w:tabs>
          <w:tab w:val="num" w:pos="5760"/>
        </w:tabs>
        <w:ind w:left="5760" w:hanging="360"/>
      </w:pPr>
      <w:rPr>
        <w:rFonts w:ascii="Wingdings" w:hAnsi="Wingdings" w:cs="Wingdings" w:hint="default"/>
        <w:sz w:val="20"/>
        <w:rFonts w:cs="Wingdings"/>
      </w:rPr>
    </w:lvl>
    <w:lvl w:ilvl="7">
      <w:start w:val="1"/>
      <w:numFmt w:val="bullet"/>
      <w:lvlText w:val=""/>
      <w:lvlJc w:val="left"/>
      <w:pPr>
        <w:tabs>
          <w:tab w:val="num" w:pos="6480"/>
        </w:tabs>
        <w:ind w:left="6480" w:hanging="360"/>
      </w:pPr>
      <w:rPr>
        <w:rFonts w:ascii="Wingdings" w:hAnsi="Wingdings" w:cs="Wingdings" w:hint="default"/>
        <w:sz w:val="20"/>
        <w:rFonts w:cs="Wingdings"/>
      </w:rPr>
    </w:lvl>
    <w:lvl w:ilvl="8">
      <w:start w:val="1"/>
      <w:numFmt w:val="bullet"/>
      <w:lvlText w:val=""/>
      <w:lvlJc w:val="left"/>
      <w:pPr>
        <w:tabs>
          <w:tab w:val="num" w:pos="7200"/>
        </w:tabs>
        <w:ind w:left="7200" w:hanging="360"/>
      </w:pPr>
      <w:rPr>
        <w:rFonts w:ascii="Wingdings" w:hAnsi="Wingdings" w:cs="Wingdings" w:hint="default"/>
        <w:sz w:val="20"/>
        <w:rFonts w:cs="Wingdings"/>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fr-FR" w:bidi="ar-SA" w:eastAsia="zh-CN"/>
    </w:rPr>
  </w:style>
  <w:style w:type="paragraph" w:styleId="Heading1">
    <w:name w:val="Heading 1"/>
    <w:basedOn w:val="Normal"/>
    <w:next w:val="Normal"/>
    <w:qFormat/>
    <w:pPr>
      <w:keepNext/>
      <w:numPr>
        <w:ilvl w:val="0"/>
        <w:numId w:val="1"/>
      </w:numPr>
      <w:jc w:val="both"/>
      <w:outlineLvl w:val="0"/>
      <w:outlineLvl w:val="0"/>
    </w:pPr>
    <w:rPr>
      <w:bCs/>
      <w:color w:val="FF0000"/>
      <w:sz w:val="24"/>
      <w:u w:val="single"/>
    </w:rPr>
  </w:style>
  <w:style w:type="paragraph" w:styleId="Heading2">
    <w:name w:val="Heading 2"/>
    <w:basedOn w:val="Normal"/>
    <w:next w:val="Normal"/>
    <w:qFormat/>
    <w:pPr>
      <w:keepNext/>
      <w:numPr>
        <w:ilvl w:val="1"/>
        <w:numId w:val="1"/>
      </w:numPr>
      <w:tabs>
        <w:tab w:val="left" w:pos="709" w:leader="none"/>
        <w:tab w:val="left" w:pos="2410" w:leader="none"/>
        <w:tab w:val="left" w:pos="2694" w:leader="none"/>
      </w:tabs>
      <w:jc w:val="both"/>
      <w:outlineLvl w:val="1"/>
      <w:outlineLvl w:val="1"/>
    </w:pPr>
    <w:rPr>
      <w:color w:val="FF0000"/>
      <w:sz w:val="24"/>
    </w:rPr>
  </w:style>
  <w:style w:type="paragraph" w:styleId="Heading3">
    <w:name w:val="Heading 3"/>
    <w:basedOn w:val="Normal"/>
    <w:next w:val="Normal"/>
    <w:qFormat/>
    <w:pPr>
      <w:keepNext/>
      <w:numPr>
        <w:ilvl w:val="2"/>
        <w:numId w:val="1"/>
      </w:numPr>
      <w:jc w:val="both"/>
      <w:outlineLvl w:val="2"/>
      <w:outlineLvl w:val="2"/>
    </w:pPr>
    <w:rPr>
      <w:sz w:val="24"/>
    </w:rPr>
  </w:style>
  <w:style w:type="paragraph" w:styleId="Heading4">
    <w:name w:val="Heading 4"/>
    <w:basedOn w:val="Normal"/>
    <w:next w:val="Normal"/>
    <w:qFormat/>
    <w:pPr>
      <w:keepNext/>
      <w:numPr>
        <w:ilvl w:val="3"/>
        <w:numId w:val="1"/>
      </w:numPr>
      <w:ind w:left="708" w:hanging="708"/>
      <w:jc w:val="both"/>
      <w:outlineLvl w:val="3"/>
      <w:outlineLvl w:val="3"/>
    </w:pPr>
    <w:rPr>
      <w:strike/>
      <w:color w:val="FF0000"/>
      <w:sz w:val="24"/>
      <w:u w:val="double"/>
    </w:rPr>
  </w:style>
  <w:style w:type="paragraph" w:styleId="Heading5">
    <w:name w:val="Heading 5"/>
    <w:basedOn w:val="Normal"/>
    <w:next w:val="Normal"/>
    <w:qFormat/>
    <w:pPr>
      <w:keepNext/>
      <w:numPr>
        <w:ilvl w:val="4"/>
        <w:numId w:val="1"/>
      </w:numPr>
      <w:outlineLvl w:val="4"/>
      <w:outlineLvl w:val="4"/>
    </w:pPr>
    <w:rPr>
      <w:rFonts w:ascii="Tahoma" w:hAnsi="Tahoma" w:cs="Tahoma"/>
      <w:b/>
      <w:color w:val="000000"/>
    </w:rPr>
  </w:style>
  <w:style w:type="paragraph" w:styleId="Heading6">
    <w:name w:val="Heading 6"/>
    <w:basedOn w:val="Normal"/>
    <w:next w:val="Normal"/>
    <w:qFormat/>
    <w:pPr>
      <w:keepNext/>
      <w:numPr>
        <w:ilvl w:val="5"/>
        <w:numId w:val="1"/>
      </w:numPr>
      <w:tabs>
        <w:tab w:val="center" w:pos="709" w:leader="none"/>
        <w:tab w:val="center" w:pos="3686" w:leader="none"/>
        <w:tab w:val="center" w:pos="7513" w:leader="none"/>
      </w:tabs>
      <w:jc w:val="both"/>
      <w:outlineLvl w:val="5"/>
      <w:outlineLvl w:val="5"/>
    </w:pPr>
    <w:rPr>
      <w:b/>
      <w:bCs/>
      <w:sz w:val="24"/>
      <w:lang w:val="de-DE"/>
    </w:rPr>
  </w:style>
  <w:style w:type="paragraph" w:styleId="Heading7">
    <w:name w:val="Heading 7"/>
    <w:basedOn w:val="Normal"/>
    <w:next w:val="Normal"/>
    <w:qFormat/>
    <w:pPr>
      <w:keepNext/>
      <w:numPr>
        <w:ilvl w:val="6"/>
        <w:numId w:val="1"/>
      </w:numPr>
      <w:ind w:firstLine="581"/>
      <w:outlineLvl w:val="6"/>
      <w:outlineLvl w:val="6"/>
    </w:pPr>
    <w:rPr>
      <w:rFonts w:ascii="Tahoma" w:hAnsi="Tahoma" w:cs="Tahoma"/>
      <w:b/>
      <w:color w:val="000000"/>
      <w:sz w:val="22"/>
    </w:rPr>
  </w:style>
  <w:style w:type="paragraph" w:styleId="Heading8">
    <w:name w:val="Heading 8"/>
    <w:basedOn w:val="Normal"/>
    <w:next w:val="Normal"/>
    <w:qFormat/>
    <w:pPr>
      <w:keepNext/>
      <w:numPr>
        <w:ilvl w:val="7"/>
        <w:numId w:val="1"/>
      </w:numPr>
      <w:ind w:left="14" w:hanging="14"/>
      <w:outlineLvl w:val="7"/>
      <w:outlineLvl w:val="7"/>
    </w:pPr>
    <w:rPr>
      <w:rFonts w:ascii="Tahoma" w:hAnsi="Tahoma" w:cs="Tahoma"/>
      <w:b/>
      <w:color w:val="000000"/>
      <w:sz w:val="22"/>
    </w:rPr>
  </w:style>
  <w:style w:type="paragraph" w:styleId="Heading9">
    <w:name w:val="Heading 9"/>
    <w:basedOn w:val="Normal"/>
    <w:next w:val="Normal"/>
    <w:qFormat/>
    <w:pPr>
      <w:keepNext/>
      <w:numPr>
        <w:ilvl w:val="8"/>
        <w:numId w:val="1"/>
      </w:numPr>
      <w:ind w:firstLine="723"/>
      <w:outlineLvl w:val="8"/>
      <w:outlineLvl w:val="8"/>
    </w:pPr>
    <w:rPr>
      <w:rFonts w:ascii="Tahoma" w:hAnsi="Tahoma" w:cs="Tahoma"/>
      <w:b/>
      <w:color w:val="000000"/>
      <w:sz w:val="22"/>
    </w:rPr>
  </w:style>
  <w:style w:type="character" w:styleId="WW8Num1z0">
    <w:name w:val="WW8Num1z0"/>
    <w:qFormat/>
    <w:rPr>
      <w:rFonts w:ascii="Symbol" w:hAnsi="Symbol" w:cs="Symbol"/>
      <w:color w:val="000000"/>
      <w:sz w:val="20"/>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0">
    <w:name w:val="WW8Num2z0"/>
    <w:qFormat/>
    <w:rPr>
      <w:rFonts w:ascii="Times New Roman" w:hAnsi="Times New Roman" w:eastAsia="Times New Roman" w:cs="Times New Roman"/>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Symbol" w:hAnsi="Symbol" w:cs="Symbol"/>
      <w:sz w:val="20"/>
    </w:rPr>
  </w:style>
  <w:style w:type="character" w:styleId="WW8Num3z1">
    <w:name w:val="WW8Num3z1"/>
    <w:qFormat/>
    <w:rPr>
      <w:rFonts w:ascii="Courier New" w:hAnsi="Courier New" w:cs="Courier New"/>
      <w:sz w:val="20"/>
    </w:rPr>
  </w:style>
  <w:style w:type="character" w:styleId="WW8Num3z2">
    <w:name w:val="WW8Num3z2"/>
    <w:qFormat/>
    <w:rPr>
      <w:rFonts w:ascii="Wingdings" w:hAnsi="Wingdings" w:cs="Wingdings"/>
      <w:sz w:val="20"/>
    </w:rPr>
  </w:style>
  <w:style w:type="character" w:styleId="Policepardfaut">
    <w:name w:val="Police par défaut"/>
    <w:qFormat/>
    <w:rPr/>
  </w:style>
  <w:style w:type="character" w:styleId="Marquedecommentaire">
    <w:name w:val="Marque de commentaire"/>
    <w:qFormat/>
    <w:rPr>
      <w:sz w:val="16"/>
    </w:rPr>
  </w:style>
  <w:style w:type="character" w:styleId="PageNumber">
    <w:name w:val="Page Number"/>
    <w:basedOn w:val="Policepardfaut"/>
    <w:rPr/>
  </w:style>
  <w:style w:type="character" w:styleId="TextedebullesCar">
    <w:name w:val="Texte de bulles Car"/>
    <w:qFormat/>
    <w:rPr>
      <w:rFonts w:ascii="Tahoma" w:hAnsi="Tahoma" w:cs="Tahoma"/>
      <w:sz w:val="16"/>
      <w:szCs w:val="16"/>
    </w:rPr>
  </w:style>
  <w:style w:type="character" w:styleId="CorpsdetexteCar">
    <w:name w:val="Corps de texte Car"/>
    <w:qFormat/>
    <w:rPr>
      <w:rFonts w:ascii="Arial" w:hAnsi="Arial" w:cs="Arial"/>
      <w:sz w:val="22"/>
    </w:rPr>
  </w:style>
  <w:style w:type="character" w:styleId="CitationintenseCar">
    <w:name w:val="Citation intense Car"/>
    <w:qFormat/>
    <w:rPr>
      <w:rFonts w:ascii="Calibri" w:hAnsi="Calibri" w:cs="Calibri"/>
      <w:b/>
      <w:bCs/>
      <w:i/>
      <w:iCs/>
      <w:color w:val="4F81BD"/>
      <w:sz w:val="22"/>
      <w:szCs w:val="22"/>
    </w:rPr>
  </w:style>
  <w:style w:type="character" w:styleId="Emphaseple">
    <w:name w:val="Emphase pâle"/>
    <w:qFormat/>
    <w:rPr>
      <w:rFonts w:cs="Times New Roman"/>
      <w:i/>
      <w:iCs/>
      <w:color w:val="808080"/>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tabs>
        <w:tab w:val="left" w:pos="5103" w:leader="none"/>
      </w:tabs>
      <w:jc w:val="both"/>
    </w:pPr>
    <w:rPr>
      <w:rFonts w:ascii="Arial" w:hAnsi="Arial" w:cs="Arial"/>
      <w:sz w:val="22"/>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Retraitcorpsdetexte2">
    <w:name w:val="Retrait corps de texte 2"/>
    <w:basedOn w:val="Normal"/>
    <w:qFormat/>
    <w:pPr>
      <w:tabs>
        <w:tab w:val="left" w:pos="1134" w:leader="none"/>
        <w:tab w:val="left" w:pos="5103" w:leader="none"/>
      </w:tabs>
      <w:ind w:firstLine="708"/>
      <w:jc w:val="both"/>
    </w:pPr>
    <w:rPr>
      <w:sz w:val="24"/>
    </w:rPr>
  </w:style>
  <w:style w:type="paragraph" w:styleId="Corpsdetexte3">
    <w:name w:val="Corps de texte 3"/>
    <w:basedOn w:val="Normal"/>
    <w:qFormat/>
    <w:pPr>
      <w:jc w:val="both"/>
    </w:pPr>
    <w:rPr>
      <w:color w:val="FF0000"/>
      <w:sz w:val="24"/>
    </w:rPr>
  </w:style>
  <w:style w:type="paragraph" w:styleId="Corpsdetexte2">
    <w:name w:val="Corps de texte 2"/>
    <w:basedOn w:val="Normal"/>
    <w:qFormat/>
    <w:pPr>
      <w:jc w:val="both"/>
    </w:pPr>
    <w:rPr>
      <w:color w:val="000000"/>
      <w:sz w:val="24"/>
    </w:rPr>
  </w:style>
  <w:style w:type="paragraph" w:styleId="Textedebulles">
    <w:name w:val="Texte de bulles"/>
    <w:basedOn w:val="Normal"/>
    <w:qFormat/>
    <w:pPr/>
    <w:rPr>
      <w:rFonts w:ascii="Tahoma" w:hAnsi="Tahoma" w:cs="Tahoma"/>
      <w:sz w:val="16"/>
      <w:szCs w:val="16"/>
    </w:rPr>
  </w:style>
  <w:style w:type="paragraph" w:styleId="Citationintense">
    <w:name w:val="Citation intense"/>
    <w:basedOn w:val="Normal"/>
    <w:next w:val="Normal"/>
    <w:qFormat/>
    <w:pPr>
      <w:pBdr>
        <w:bottom w:val="single" w:sz="4" w:space="4" w:color="4F81BD"/>
      </w:pBdr>
      <w:spacing w:lineRule="auto" w:line="276" w:before="200" w:after="280"/>
      <w:ind w:left="936" w:right="936" w:hanging="0"/>
    </w:pPr>
    <w:rPr>
      <w:rFonts w:ascii="Calibri" w:hAnsi="Calibri" w:cs="Calibri"/>
      <w:b/>
      <w:bCs/>
      <w:i/>
      <w:iCs/>
      <w:color w:val="4F81BD"/>
      <w:sz w:val="22"/>
      <w:szCs w:val="22"/>
    </w:rPr>
  </w:style>
  <w:style w:type="paragraph" w:styleId="FrameContents">
    <w:name w:val="Frame Contents"/>
    <w:basedOn w:val="Normal"/>
    <w:qFormat/>
    <w:pPr/>
    <w:rPr/>
  </w:style>
  <w:style w:type="numbering" w:styleId="WW8Num1">
    <w:name w:val="WW8Num1"/>
  </w:style>
  <w:style w:type="numbering" w:styleId="WW8Num2">
    <w:name w:val="WW8Num2"/>
  </w:style>
  <w:style w:type="numbering" w:styleId="WW8Num3">
    <w:name w:val="WW8Num3"/>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Normal.dotm</Template>
  <TotalTime>2</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2018-10-25T15:45:00Z</dcterms:created>
  <dc:language>en-GB</dc:language>
  <cp:lastPrinted>2018-06-08T16:14:00Z</cp:lastPrinted>
  <dcterms:modified xsi:type="dcterms:W3CDTF">2018-10-25T15:47:00Z</dcterms:modified>
  <cp:revision>3</cp:revision>
  <dc:title> </dc:title>
</cp:coreProperties>
</file>