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FF0000"/>
          <w:lang w:val="fr-FR"/>
        </w:rPr>
      </w:pPr>
      <w:r>
        <w:rPr>
          <w:b/>
          <w:color w:val="FF0000"/>
          <w:lang w:val="fr-FR"/>
        </w:rPr>
      </w:r>
    </w:p>
    <w:p>
      <w:pPr>
        <w:pStyle w:val="Normal"/>
        <w:rPr>
          <w:b/>
          <w:b/>
          <w:color w:val="FF0000"/>
          <w:lang w:val="fr-FR" w:eastAsia="en-GB"/>
        </w:rPr>
      </w:pPr>
      <w:r>
        <w:rPr>
          <w:b/>
          <w:color w:val="FF0000"/>
          <w:lang w:val="fr-FR" w:eastAsia="en-GB"/>
        </w:rPr>
      </w:r>
      <w:r>
        <mc:AlternateContent>
          <mc:Choice Requires="wps">
            <w:drawing>
              <wp:anchor behindDoc="0" distT="0" distB="0" distL="114935" distR="114935" simplePos="0" locked="0" layoutInCell="1" allowOverlap="1" relativeHeight="3">
                <wp:simplePos x="0" y="0"/>
                <wp:positionH relativeFrom="column">
                  <wp:posOffset>-104140</wp:posOffset>
                </wp:positionH>
                <wp:positionV relativeFrom="paragraph">
                  <wp:posOffset>67945</wp:posOffset>
                </wp:positionV>
                <wp:extent cx="6137275" cy="513080"/>
                <wp:effectExtent l="0" t="0" r="0" b="0"/>
                <wp:wrapNone/>
                <wp:docPr id="1" name="Frame1"/>
                <a:graphic xmlns:a="http://schemas.openxmlformats.org/drawingml/2006/main">
                  <a:graphicData uri="http://schemas.microsoft.com/office/word/2010/wordprocessingShape">
                    <wps:wsp>
                      <wps:cNvSpPr txBox="1"/>
                      <wps:spPr>
                        <a:xfrm>
                          <a:off x="0" y="0"/>
                          <a:ext cx="6137275" cy="513080"/>
                        </a:xfrm>
                        <a:prstGeom prst="rect"/>
                        <a:solidFill>
                          <a:srgbClr val="FFFFFF"/>
                        </a:solidFill>
                        <a:ln w="9525">
                          <a:solidFill>
                            <a:srgbClr val="000000"/>
                          </a:solidFill>
                        </a:ln>
                      </wps:spPr>
                      <wps:txbx>
                        <w:txbxContent>
                          <w:p>
                            <w:pPr>
                              <w:pStyle w:val="Normal"/>
                              <w:jc w:val="center"/>
                              <w:rPr>
                                <w:rFonts w:ascii="Calibri" w:hAnsi="Calibri" w:cs="Calibri"/>
                                <w:b/>
                                <w:b/>
                                <w:sz w:val="28"/>
                                <w:szCs w:val="28"/>
                                <w:lang w:val="fr-FR"/>
                              </w:rPr>
                            </w:pPr>
                            <w:r>
                              <w:rPr>
                                <w:rFonts w:cs="Calibri" w:ascii="Calibri" w:hAnsi="Calibri"/>
                                <w:b/>
                                <w:sz w:val="28"/>
                                <w:szCs w:val="28"/>
                                <w:lang w:val="fr-FR"/>
                              </w:rPr>
                              <w:t>ACCORD D’ENTREPRISE RELATIF A LA PROROGATION DES MANDATS</w:t>
                            </w:r>
                          </w:p>
                          <w:p>
                            <w:pPr>
                              <w:pStyle w:val="Normal"/>
                              <w:jc w:val="center"/>
                              <w:rPr>
                                <w:rFonts w:ascii="Calibri" w:hAnsi="Calibri" w:cs="Calibri"/>
                                <w:b/>
                                <w:b/>
                                <w:sz w:val="28"/>
                                <w:szCs w:val="28"/>
                                <w:lang w:val="en-GB"/>
                              </w:rPr>
                            </w:pPr>
                            <w:r>
                              <w:rPr>
                                <w:rFonts w:cs="Calibri" w:ascii="Calibri" w:hAnsi="Calibri"/>
                                <w:b/>
                                <w:sz w:val="28"/>
                                <w:szCs w:val="28"/>
                                <w:lang w:val="en-GB"/>
                              </w:rPr>
                              <w:t>BALL BEVERAGE PACKAGING FRANCE S.A.S.</w:t>
                            </w:r>
                          </w:p>
                        </w:txbxContent>
                      </wps:txbx>
                      <wps:bodyPr anchor="t" lIns="91440" tIns="45720" rIns="91440" bIns="45720">
                        <a:noAutofit/>
                      </wps:bodyPr>
                    </wps:wsp>
                  </a:graphicData>
                </a:graphic>
              </wp:anchor>
            </w:drawing>
          </mc:Choice>
          <mc:Fallback>
            <w:pict>
              <v:rect fillcolor="#FFFFFF" strokecolor="#000000" strokeweight="0pt" style="position:absolute;rotation:0;width:483.25pt;height:40.4pt;mso-wrap-distance-left:9.05pt;mso-wrap-distance-right:9.05pt;margin-top:5.35pt;mso-position-vertical-relative:text;margin-left:-8.2pt;mso-position-horizontal-relative:text">
                <v:textbox>
                  <w:txbxContent>
                    <w:p>
                      <w:pPr>
                        <w:pStyle w:val="Normal"/>
                        <w:jc w:val="center"/>
                        <w:rPr>
                          <w:rFonts w:ascii="Calibri" w:hAnsi="Calibri" w:cs="Calibri"/>
                          <w:b/>
                          <w:b/>
                          <w:sz w:val="28"/>
                          <w:szCs w:val="28"/>
                          <w:lang w:val="fr-FR"/>
                        </w:rPr>
                      </w:pPr>
                      <w:r>
                        <w:rPr>
                          <w:rFonts w:cs="Calibri" w:ascii="Calibri" w:hAnsi="Calibri"/>
                          <w:b/>
                          <w:sz w:val="28"/>
                          <w:szCs w:val="28"/>
                          <w:lang w:val="fr-FR"/>
                        </w:rPr>
                        <w:t>ACCORD D’ENTREPRISE RELATIF A LA PROROGATION DES MANDATS</w:t>
                      </w:r>
                    </w:p>
                    <w:p>
                      <w:pPr>
                        <w:pStyle w:val="Normal"/>
                        <w:jc w:val="center"/>
                        <w:rPr>
                          <w:rFonts w:ascii="Calibri" w:hAnsi="Calibri" w:cs="Calibri"/>
                          <w:b/>
                          <w:b/>
                          <w:sz w:val="28"/>
                          <w:szCs w:val="28"/>
                          <w:lang w:val="en-GB"/>
                        </w:rPr>
                      </w:pPr>
                      <w:r>
                        <w:rPr>
                          <w:rFonts w:cs="Calibri" w:ascii="Calibri" w:hAnsi="Calibri"/>
                          <w:b/>
                          <w:sz w:val="28"/>
                          <w:szCs w:val="28"/>
                          <w:lang w:val="en-GB"/>
                        </w:rPr>
                        <w:t>BALL BEVERAGE PACKAGING FRANCE S.A.S.</w:t>
                      </w:r>
                    </w:p>
                  </w:txbxContent>
                </v:textbox>
              </v:rect>
            </w:pict>
          </mc:Fallback>
        </mc:AlternateContent>
      </w:r>
    </w:p>
    <w:p>
      <w:pPr>
        <w:pStyle w:val="Normal"/>
        <w:rPr>
          <w:rFonts w:ascii="Rexam Logo" w:hAnsi="Rexam Logo" w:cs="Rexam Logo"/>
          <w:color w:val="0000FF"/>
          <w:sz w:val="36"/>
          <w:szCs w:val="36"/>
          <w:lang w:val="fr-FR"/>
        </w:rPr>
      </w:pPr>
      <w:r>
        <w:rPr>
          <w:rFonts w:eastAsia="Rexam Logo" w:cs="Rexam Logo" w:ascii="Rexam Logo" w:hAnsi="Rexam Logo"/>
          <w:color w:val="0000FF"/>
          <w:sz w:val="36"/>
          <w:szCs w:val="36"/>
        </w:rPr>
        <w:t></w:t>
      </w:r>
    </w:p>
    <w:p>
      <w:pPr>
        <w:pStyle w:val="Normal"/>
        <w:rPr>
          <w:lang w:val="fr-FR"/>
        </w:rPr>
      </w:pPr>
      <w:r>
        <w:rPr>
          <w:lang w:val="fr-FR"/>
        </w:rPr>
        <w:tab/>
        <w:tab/>
        <w:tab/>
        <w:tab/>
        <w:tab/>
      </w:r>
    </w:p>
    <w:p>
      <w:pPr>
        <w:pStyle w:val="Normal"/>
        <w:tabs>
          <w:tab w:val="left" w:pos="1560" w:leader="none"/>
        </w:tabs>
        <w:spacing w:lineRule="auto" w:line="276"/>
        <w:jc w:val="both"/>
        <w:rPr>
          <w:u w:val="single"/>
          <w:lang w:val="fr-FR"/>
        </w:rPr>
      </w:pPr>
      <w:r>
        <w:rPr>
          <w:u w:val="single"/>
          <w:lang w:val="fr-FR"/>
        </w:rPr>
      </w:r>
    </w:p>
    <w:p>
      <w:pPr>
        <w:pStyle w:val="Normal"/>
        <w:tabs>
          <w:tab w:val="left" w:pos="1560" w:leader="none"/>
        </w:tabs>
        <w:jc w:val="both"/>
        <w:rPr>
          <w:rFonts w:ascii="Calibri" w:hAnsi="Calibri" w:cs="Calibri"/>
          <w:sz w:val="22"/>
          <w:szCs w:val="22"/>
          <w:u w:val="single"/>
          <w:lang w:val="fr-FR"/>
        </w:rPr>
      </w:pPr>
      <w:r>
        <w:rPr>
          <w:rFonts w:cs="Calibri" w:ascii="Calibri" w:hAnsi="Calibri"/>
          <w:sz w:val="22"/>
          <w:szCs w:val="22"/>
          <w:u w:val="single"/>
          <w:lang w:val="fr-FR"/>
        </w:rPr>
        <w:t>Entre :</w:t>
      </w:r>
    </w:p>
    <w:p>
      <w:pPr>
        <w:pStyle w:val="Normal"/>
        <w:jc w:val="both"/>
        <w:rPr/>
      </w:pPr>
      <w:r>
        <w:rPr>
          <w:rFonts w:cs="Calibri" w:ascii="Calibri" w:hAnsi="Calibri"/>
          <w:sz w:val="22"/>
          <w:szCs w:val="22"/>
          <w:lang w:val="fr-FR" w:eastAsia="fr-FR"/>
        </w:rPr>
        <w:t xml:space="preserve">La société </w:t>
      </w:r>
      <w:r>
        <w:rPr>
          <w:rFonts w:cs="Calibri" w:ascii="Calibri" w:hAnsi="Calibri"/>
          <w:b/>
          <w:sz w:val="22"/>
          <w:szCs w:val="22"/>
          <w:lang w:val="fr-FR" w:eastAsia="fr-FR"/>
        </w:rPr>
        <w:t>Ball Beverage Packaging France S.A.S</w:t>
      </w:r>
      <w:r>
        <w:rPr>
          <w:rFonts w:cs="Calibri" w:ascii="Calibri" w:hAnsi="Calibri"/>
          <w:sz w:val="22"/>
          <w:szCs w:val="22"/>
          <w:lang w:val="fr-FR" w:eastAsia="fr-FR"/>
        </w:rPr>
        <w:t>., représentée par le Directeur d'usine,</w:t>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rFonts w:ascii="Calibri" w:hAnsi="Calibri" w:cs="Calibri"/>
          <w:i/>
          <w:i/>
          <w:sz w:val="22"/>
          <w:szCs w:val="22"/>
          <w:lang w:val="fr-FR" w:eastAsia="fr-FR"/>
        </w:rPr>
      </w:pPr>
      <w:r>
        <w:rPr>
          <w:rFonts w:cs="Calibri" w:ascii="Calibri" w:hAnsi="Calibri"/>
          <w:i/>
          <w:sz w:val="22"/>
          <w:szCs w:val="22"/>
          <w:lang w:val="fr-FR" w:eastAsia="fr-FR"/>
        </w:rPr>
        <w:t>D’une part,</w:t>
      </w:r>
    </w:p>
    <w:p>
      <w:pPr>
        <w:pStyle w:val="Normal"/>
        <w:jc w:val="both"/>
        <w:rPr>
          <w:rFonts w:ascii="Calibri" w:hAnsi="Calibri" w:cs="Calibri"/>
          <w:i/>
          <w:i/>
          <w:sz w:val="22"/>
          <w:szCs w:val="22"/>
          <w:lang w:val="fr-FR" w:eastAsia="fr-FR"/>
        </w:rPr>
      </w:pPr>
      <w:r>
        <w:rPr>
          <w:rFonts w:cs="Calibri" w:ascii="Calibri" w:hAnsi="Calibri"/>
          <w:i/>
          <w:sz w:val="22"/>
          <w:szCs w:val="22"/>
          <w:lang w:val="fr-FR" w:eastAsia="fr-FR"/>
        </w:rPr>
      </w:r>
    </w:p>
    <w:p>
      <w:pPr>
        <w:pStyle w:val="Normal"/>
        <w:tabs>
          <w:tab w:val="left" w:pos="1560" w:leader="none"/>
        </w:tabs>
        <w:jc w:val="both"/>
        <w:rPr>
          <w:rFonts w:ascii="Calibri" w:hAnsi="Calibri" w:cs="Calibri"/>
          <w:sz w:val="22"/>
          <w:szCs w:val="22"/>
          <w:u w:val="single"/>
          <w:lang w:val="fr-FR"/>
        </w:rPr>
      </w:pPr>
      <w:r>
        <w:rPr>
          <w:rFonts w:cs="Calibri" w:ascii="Calibri" w:hAnsi="Calibri"/>
          <w:sz w:val="22"/>
          <w:szCs w:val="22"/>
          <w:u w:val="single"/>
          <w:lang w:val="fr-FR"/>
        </w:rPr>
        <w:t>Et :</w:t>
      </w:r>
    </w:p>
    <w:p>
      <w:pPr>
        <w:pStyle w:val="Normal"/>
        <w:jc w:val="both"/>
        <w:rPr/>
      </w:pPr>
      <w:r>
        <w:rPr>
          <w:rFonts w:cs="Calibri" w:ascii="Calibri" w:hAnsi="Calibri"/>
          <w:sz w:val="22"/>
          <w:szCs w:val="22"/>
          <w:lang w:val="fr-FR" w:eastAsia="fr-FR"/>
        </w:rPr>
        <w:t>Les Organisations Syndicales représentatives dans l’entreprise :</w:t>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numPr>
          <w:ilvl w:val="0"/>
          <w:numId w:val="2"/>
        </w:numPr>
        <w:jc w:val="both"/>
        <w:rPr/>
      </w:pPr>
      <w:r>
        <w:rPr>
          <w:rFonts w:cs="Calibri" w:ascii="Calibri" w:hAnsi="Calibri"/>
          <w:b/>
          <w:sz w:val="22"/>
          <w:szCs w:val="22"/>
          <w:lang w:val="fr-FR" w:eastAsia="fr-FR"/>
        </w:rPr>
        <w:t>CFDT</w:t>
      </w:r>
      <w:r>
        <w:rPr>
          <w:rFonts w:cs="Calibri" w:ascii="Calibri" w:hAnsi="Calibri"/>
          <w:sz w:val="22"/>
          <w:szCs w:val="22"/>
          <w:lang w:val="fr-FR" w:eastAsia="fr-FR"/>
        </w:rPr>
        <w:t xml:space="preserve"> </w:t>
      </w:r>
    </w:p>
    <w:p>
      <w:pPr>
        <w:pStyle w:val="Normal"/>
        <w:numPr>
          <w:ilvl w:val="0"/>
          <w:numId w:val="2"/>
        </w:numPr>
        <w:jc w:val="both"/>
        <w:rPr/>
      </w:pPr>
      <w:r>
        <w:rPr>
          <w:rFonts w:cs="Calibri" w:ascii="Calibri" w:hAnsi="Calibri"/>
          <w:b/>
          <w:sz w:val="22"/>
          <w:szCs w:val="22"/>
          <w:lang w:val="fr-FR" w:eastAsia="fr-FR"/>
        </w:rPr>
        <w:t>FO</w:t>
      </w:r>
      <w:r>
        <w:rPr>
          <w:rFonts w:cs="Calibri" w:ascii="Calibri" w:hAnsi="Calibri"/>
          <w:sz w:val="22"/>
          <w:szCs w:val="22"/>
          <w:lang w:val="fr-FR" w:eastAsia="fr-FR"/>
        </w:rPr>
        <w:t xml:space="preserve"> </w:t>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rFonts w:ascii="Calibri" w:hAnsi="Calibri" w:cs="Calibri"/>
          <w:i/>
          <w:i/>
          <w:sz w:val="22"/>
          <w:szCs w:val="22"/>
          <w:lang w:val="fr-FR" w:eastAsia="fr-FR"/>
        </w:rPr>
      </w:pPr>
      <w:r>
        <w:rPr>
          <w:rFonts w:cs="Calibri" w:ascii="Calibri" w:hAnsi="Calibri"/>
          <w:i/>
          <w:sz w:val="22"/>
          <w:szCs w:val="22"/>
          <w:lang w:val="fr-FR" w:eastAsia="fr-FR"/>
        </w:rPr>
        <w:t>D’autre part.</w:t>
      </w:r>
    </w:p>
    <w:p>
      <w:pPr>
        <w:pStyle w:val="Normal"/>
        <w:jc w:val="both"/>
        <w:rPr>
          <w:rFonts w:ascii="Calibri" w:hAnsi="Calibri" w:cs="Calibri"/>
          <w:i/>
          <w:i/>
          <w:sz w:val="22"/>
          <w:szCs w:val="22"/>
          <w:lang w:val="fr-FR" w:eastAsia="fr-FR"/>
        </w:rPr>
      </w:pPr>
      <w:r>
        <w:rPr>
          <w:rFonts w:cs="Calibri" w:ascii="Calibri" w:hAnsi="Calibri"/>
          <w:i/>
          <w:sz w:val="22"/>
          <w:szCs w:val="22"/>
          <w:lang w:val="fr-FR" w:eastAsia="fr-FR"/>
        </w:rPr>
      </w:r>
    </w:p>
    <w:p>
      <w:pPr>
        <w:pStyle w:val="Normal"/>
        <w:jc w:val="both"/>
        <w:rPr>
          <w:rFonts w:ascii="Calibri" w:hAnsi="Calibri" w:cs="Calibri"/>
          <w:i/>
          <w:i/>
          <w:sz w:val="22"/>
          <w:szCs w:val="22"/>
          <w:lang w:val="fr-FR" w:eastAsia="fr-FR"/>
        </w:rPr>
      </w:pPr>
      <w:r>
        <w:rPr>
          <w:rFonts w:cs="Calibri" w:ascii="Calibri" w:hAnsi="Calibri"/>
          <w:i/>
          <w:sz w:val="22"/>
          <w:szCs w:val="22"/>
          <w:lang w:val="fr-FR" w:eastAsia="fr-FR"/>
        </w:rPr>
      </w:r>
    </w:p>
    <w:p>
      <w:pPr>
        <w:pStyle w:val="Normal"/>
        <w:jc w:val="both"/>
        <w:rPr>
          <w:b/>
          <w:b/>
          <w:u w:val="single"/>
          <w:lang w:val="fr-FR"/>
        </w:rPr>
      </w:pPr>
      <w:r>
        <w:rPr>
          <w:rFonts w:cs="Calibri" w:ascii="Calibri" w:hAnsi="Calibri"/>
          <w:b/>
          <w:sz w:val="22"/>
          <w:szCs w:val="22"/>
          <w:u w:val="single"/>
          <w:lang w:val="fr-FR" w:eastAsia="fr-FR"/>
        </w:rPr>
        <w:t>Préambule</w:t>
      </w:r>
    </w:p>
    <w:p>
      <w:pPr>
        <w:pStyle w:val="Normal"/>
        <w:jc w:val="both"/>
        <w:rPr>
          <w:rFonts w:ascii="Calibri" w:hAnsi="Calibri" w:cs="Calibri"/>
          <w:b/>
          <w:b/>
          <w:sz w:val="22"/>
          <w:szCs w:val="22"/>
          <w:u w:val="single"/>
          <w:lang w:val="fr-FR" w:eastAsia="fr-FR"/>
        </w:rPr>
      </w:pPr>
      <w:r>
        <w:rPr>
          <w:rFonts w:cs="Calibri" w:ascii="Calibri" w:hAnsi="Calibri"/>
          <w:b/>
          <w:sz w:val="22"/>
          <w:szCs w:val="22"/>
          <w:u w:val="single"/>
          <w:lang w:val="fr-FR" w:eastAsia="fr-FR"/>
        </w:rPr>
      </w:r>
    </w:p>
    <w:p>
      <w:pPr>
        <w:pStyle w:val="Normal"/>
        <w:jc w:val="both"/>
        <w:rPr>
          <w:rFonts w:ascii="Open Sans;Times New Roman" w:hAnsi="Open Sans;Times New Roman" w:cs="Open Sans;Times New Roman"/>
          <w:color w:val="666666"/>
          <w:sz w:val="21"/>
          <w:szCs w:val="21"/>
          <w:lang w:val="fr-FR"/>
        </w:rPr>
      </w:pPr>
      <w:r>
        <w:rPr>
          <w:rFonts w:cs="Calibri" w:ascii="Calibri" w:hAnsi="Calibri"/>
          <w:sz w:val="22"/>
          <w:szCs w:val="22"/>
          <w:lang w:val="fr-FR" w:eastAsia="fr-FR"/>
        </w:rPr>
        <w:t>L’ordonnance du 22 septembre 2017 relative à la nouvelle organisation du dialogue social et économique dans l’entreprise prévoit des échéances particulières pour accompagner la mise en place du nouveau Comité Social et Économique. Le Comité Social et Économique est élu au terme du mandat des Délégués du Personnel, du Comité d’Entreprise et du Comité d’Hygiène, de Sécurité et des Conditions de Travail lors du renouvellement de l’une de ces institutions, et au plus tard le 31 décembre 2019.</w:t>
      </w:r>
      <w:r>
        <w:rPr>
          <w:rFonts w:cs="Open Sans;Times New Roman" w:ascii="Open Sans;Times New Roman" w:hAnsi="Open Sans;Times New Roman"/>
          <w:color w:val="666666"/>
          <w:sz w:val="21"/>
          <w:szCs w:val="21"/>
          <w:lang w:val="fr-FR"/>
        </w:rPr>
        <w:t xml:space="preserve">  </w:t>
      </w:r>
    </w:p>
    <w:p>
      <w:pPr>
        <w:pStyle w:val="Normal"/>
        <w:jc w:val="both"/>
        <w:rPr>
          <w:rFonts w:ascii="Open Sans;Times New Roman" w:hAnsi="Open Sans;Times New Roman" w:cs="Open Sans;Times New Roman"/>
          <w:color w:val="666666"/>
          <w:sz w:val="21"/>
          <w:szCs w:val="21"/>
          <w:lang w:val="fr-FR"/>
        </w:rPr>
      </w:pPr>
      <w:r>
        <w:rPr>
          <w:rFonts w:cs="Open Sans;Times New Roman" w:ascii="Open Sans;Times New Roman" w:hAnsi="Open Sans;Times New Roman"/>
          <w:color w:val="666666"/>
          <w:sz w:val="21"/>
          <w:szCs w:val="21"/>
          <w:lang w:val="fr-FR"/>
        </w:rPr>
      </w:r>
    </w:p>
    <w:p>
      <w:pPr>
        <w:pStyle w:val="Normal"/>
        <w:jc w:val="both"/>
        <w:rPr/>
      </w:pPr>
      <w:r>
        <w:rPr>
          <w:rFonts w:cs="Calibri" w:ascii="Calibri" w:hAnsi="Calibri"/>
          <w:sz w:val="22"/>
          <w:szCs w:val="22"/>
          <w:lang w:val="fr-FR" w:eastAsia="fr-FR"/>
        </w:rPr>
        <w:t xml:space="preserve">L’ordonnance prévoit des dispositifs différents selon la date d’échéance des mandats en cours. </w:t>
      </w:r>
      <w:r>
        <w:rPr>
          <w:rFonts w:cs="Calibri" w:ascii="Calibri" w:hAnsi="Calibri"/>
          <w:sz w:val="22"/>
          <w:szCs w:val="22"/>
          <w:lang w:val="fr-FR"/>
        </w:rPr>
        <w:t xml:space="preserve">Lorsque les mandats arrivent à échéance entre le 23 septembre et le 31 décembre 2017 (sans qu’un protocole électoral n’ait encore été conclu), ces mandats sont prorogés automatiquement jusqu’au 31 décembre 2017. Leur durée peut également être prorogée au plus d’un an, soit jusqu’au 31 décembre 2018. </w:t>
      </w:r>
    </w:p>
    <w:p>
      <w:pPr>
        <w:pStyle w:val="Normal"/>
        <w:jc w:val="both"/>
        <w:rPr>
          <w:rFonts w:ascii="Calibri" w:hAnsi="Calibri" w:cs="Calibri"/>
          <w:sz w:val="22"/>
          <w:szCs w:val="22"/>
          <w:lang w:val="fr-FR"/>
        </w:rPr>
      </w:pPr>
      <w:r>
        <w:rPr>
          <w:rFonts w:cs="Calibri" w:ascii="Calibri" w:hAnsi="Calibri"/>
          <w:sz w:val="22"/>
          <w:szCs w:val="22"/>
          <w:lang w:val="fr-FR"/>
        </w:rPr>
      </w:r>
    </w:p>
    <w:p>
      <w:pPr>
        <w:pStyle w:val="Normal"/>
        <w:jc w:val="both"/>
        <w:rPr>
          <w:rFonts w:ascii="Calibri" w:hAnsi="Calibri" w:cs="Calibri"/>
          <w:sz w:val="22"/>
          <w:szCs w:val="22"/>
          <w:lang w:val="fr-FR"/>
        </w:rPr>
      </w:pPr>
      <w:r>
        <w:rPr>
          <w:rFonts w:cs="Calibri" w:ascii="Calibri" w:hAnsi="Calibri"/>
          <w:sz w:val="22"/>
          <w:szCs w:val="22"/>
          <w:lang w:val="fr-FR" w:eastAsia="fr-FR"/>
        </w:rPr>
        <w:t xml:space="preserve">Les élections des instances représentatives ayant eu lieu le 26 novembre 2015, leur renouvellement devait intervenir le 24 novembre 2017. Les parties signataires conviennent donc de proroger les mandats de ces instances jusqu’au 31 mai 2018. </w:t>
      </w:r>
    </w:p>
    <w:p>
      <w:pPr>
        <w:pStyle w:val="Normal"/>
        <w:tabs>
          <w:tab w:val="left" w:pos="0" w:leader="none"/>
        </w:tabs>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rFonts w:ascii="Calibri" w:hAnsi="Calibri" w:cs="Calibri"/>
          <w:b/>
          <w:b/>
          <w:sz w:val="22"/>
          <w:szCs w:val="22"/>
          <w:lang w:val="fr-FR" w:eastAsia="fr-FR"/>
        </w:rPr>
      </w:pPr>
      <w:r>
        <w:rPr>
          <w:rFonts w:cs="Calibri" w:ascii="Calibri" w:hAnsi="Calibri"/>
          <w:b/>
          <w:sz w:val="22"/>
          <w:szCs w:val="22"/>
          <w:lang w:val="fr-FR" w:eastAsia="fr-FR"/>
        </w:rPr>
      </w:r>
    </w:p>
    <w:p>
      <w:pPr>
        <w:pStyle w:val="Normal"/>
        <w:jc w:val="both"/>
        <w:rPr>
          <w:rFonts w:ascii="Calibri" w:hAnsi="Calibri" w:cs="Calibri"/>
          <w:b/>
          <w:b/>
          <w:sz w:val="22"/>
          <w:u w:val="single"/>
          <w:lang w:val="fr-FR" w:eastAsia="fr-FR"/>
        </w:rPr>
      </w:pPr>
      <w:r>
        <w:rPr>
          <w:rFonts w:cs="Calibri" w:ascii="Calibri" w:hAnsi="Calibri"/>
          <w:b/>
          <w:sz w:val="22"/>
          <w:lang w:val="fr-FR" w:eastAsia="fr-FR"/>
        </w:rPr>
        <w:t xml:space="preserve">Article 1 – </w:t>
      </w:r>
      <w:r>
        <w:rPr>
          <w:rFonts w:cs="Calibri" w:ascii="Calibri" w:hAnsi="Calibri"/>
          <w:b/>
          <w:sz w:val="22"/>
          <w:u w:val="single"/>
          <w:lang w:val="fr-FR" w:eastAsia="fr-FR"/>
        </w:rPr>
        <w:t>Prorogation des mandats</w:t>
      </w:r>
    </w:p>
    <w:p>
      <w:pPr>
        <w:pStyle w:val="Normal"/>
        <w:jc w:val="both"/>
        <w:rPr>
          <w:rFonts w:ascii="Calibri" w:hAnsi="Calibri" w:cs="Calibri"/>
          <w:b/>
          <w:b/>
          <w:sz w:val="22"/>
          <w:u w:val="single"/>
          <w:lang w:val="fr-FR" w:eastAsia="fr-FR"/>
        </w:rPr>
      </w:pPr>
      <w:r>
        <w:rPr>
          <w:rFonts w:cs="Calibri" w:ascii="Calibri" w:hAnsi="Calibri"/>
          <w:b/>
          <w:sz w:val="22"/>
          <w:u w:val="single"/>
          <w:lang w:val="fr-FR" w:eastAsia="fr-FR"/>
        </w:rPr>
      </w:r>
    </w:p>
    <w:p>
      <w:pPr>
        <w:pStyle w:val="Normal"/>
        <w:jc w:val="both"/>
        <w:rPr/>
      </w:pPr>
      <w:r>
        <w:rPr>
          <w:rFonts w:cs="Calibri" w:ascii="Calibri" w:hAnsi="Calibri"/>
          <w:sz w:val="22"/>
          <w:szCs w:val="22"/>
          <w:lang w:val="fr-FR" w:eastAsia="fr-FR"/>
        </w:rPr>
        <w:t xml:space="preserve">Le Comité d’Entreprise de l’usine de Mont est composé de 10 membres, soit : </w:t>
      </w:r>
    </w:p>
    <w:p>
      <w:pPr>
        <w:pStyle w:val="Normal"/>
        <w:numPr>
          <w:ilvl w:val="0"/>
          <w:numId w:val="2"/>
        </w:numPr>
        <w:jc w:val="both"/>
        <w:rPr>
          <w:rFonts w:ascii="Calibri" w:hAnsi="Calibri" w:cs="Calibri"/>
          <w:sz w:val="22"/>
          <w:szCs w:val="22"/>
          <w:lang w:val="fr-FR" w:eastAsia="fr-FR"/>
        </w:rPr>
      </w:pPr>
      <w:r>
        <w:rPr>
          <w:rFonts w:cs="Calibri" w:ascii="Calibri" w:hAnsi="Calibri"/>
          <w:sz w:val="22"/>
          <w:szCs w:val="22"/>
          <w:lang w:val="fr-FR" w:eastAsia="fr-FR"/>
        </w:rPr>
        <w:t>1</w:t>
      </w:r>
      <w:r>
        <w:rPr>
          <w:rFonts w:cs="Calibri" w:ascii="Calibri" w:hAnsi="Calibri"/>
          <w:sz w:val="22"/>
          <w:szCs w:val="22"/>
          <w:vertAlign w:val="superscript"/>
          <w:lang w:val="fr-FR" w:eastAsia="fr-FR"/>
        </w:rPr>
        <w:t>er</w:t>
      </w:r>
      <w:r>
        <w:rPr>
          <w:rFonts w:cs="Calibri" w:ascii="Calibri" w:hAnsi="Calibri"/>
          <w:sz w:val="22"/>
          <w:szCs w:val="22"/>
          <w:lang w:val="fr-FR" w:eastAsia="fr-FR"/>
        </w:rPr>
        <w:t xml:space="preserve"> collège : 4 titulaires et 4 suppléants ;</w:t>
      </w:r>
    </w:p>
    <w:p>
      <w:pPr>
        <w:pStyle w:val="Normal"/>
        <w:numPr>
          <w:ilvl w:val="0"/>
          <w:numId w:val="2"/>
        </w:numPr>
        <w:jc w:val="both"/>
        <w:rPr>
          <w:rFonts w:ascii="Calibri" w:hAnsi="Calibri" w:cs="Calibri"/>
          <w:sz w:val="22"/>
          <w:szCs w:val="22"/>
          <w:lang w:val="fr-FR" w:eastAsia="fr-FR"/>
        </w:rPr>
      </w:pPr>
      <w:r>
        <w:rPr>
          <w:rFonts w:cs="Calibri" w:ascii="Calibri" w:hAnsi="Calibri"/>
          <w:sz w:val="22"/>
          <w:szCs w:val="22"/>
          <w:lang w:val="fr-FR" w:eastAsia="fr-FR"/>
        </w:rPr>
        <w:t>2</w:t>
      </w:r>
      <w:r>
        <w:rPr>
          <w:rFonts w:cs="Calibri" w:ascii="Calibri" w:hAnsi="Calibri"/>
          <w:sz w:val="22"/>
          <w:szCs w:val="22"/>
          <w:vertAlign w:val="superscript"/>
          <w:lang w:val="fr-FR" w:eastAsia="fr-FR"/>
        </w:rPr>
        <w:t>ème</w:t>
      </w:r>
      <w:r>
        <w:rPr>
          <w:rFonts w:cs="Calibri" w:ascii="Calibri" w:hAnsi="Calibri"/>
          <w:sz w:val="22"/>
          <w:szCs w:val="22"/>
          <w:lang w:val="fr-FR" w:eastAsia="fr-FR"/>
        </w:rPr>
        <w:t xml:space="preserve">  collège : 1 titulaire et 1 suppléant.</w:t>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pPr>
      <w:r>
        <w:rPr>
          <w:rFonts w:cs="Calibri" w:ascii="Calibri" w:hAnsi="Calibri"/>
          <w:sz w:val="22"/>
          <w:szCs w:val="22"/>
          <w:lang w:val="fr-FR" w:eastAsia="fr-FR"/>
        </w:rPr>
        <w:t xml:space="preserve">Les Délégués du Personnel de l’usine de Mont sont au nombre de 12, soit : </w:t>
      </w:r>
    </w:p>
    <w:p>
      <w:pPr>
        <w:pStyle w:val="Normal"/>
        <w:numPr>
          <w:ilvl w:val="0"/>
          <w:numId w:val="2"/>
        </w:numPr>
        <w:jc w:val="both"/>
        <w:rPr>
          <w:rFonts w:ascii="Calibri" w:hAnsi="Calibri" w:cs="Calibri"/>
          <w:sz w:val="22"/>
          <w:szCs w:val="22"/>
          <w:lang w:val="fr-FR" w:eastAsia="fr-FR"/>
        </w:rPr>
      </w:pPr>
      <w:r>
        <w:rPr>
          <w:rFonts w:cs="Calibri" w:ascii="Calibri" w:hAnsi="Calibri"/>
          <w:sz w:val="22"/>
          <w:szCs w:val="22"/>
          <w:lang w:val="fr-FR" w:eastAsia="fr-FR"/>
        </w:rPr>
        <w:t>1</w:t>
      </w:r>
      <w:r>
        <w:rPr>
          <w:rFonts w:cs="Calibri" w:ascii="Calibri" w:hAnsi="Calibri"/>
          <w:sz w:val="22"/>
          <w:szCs w:val="22"/>
          <w:vertAlign w:val="superscript"/>
          <w:lang w:val="fr-FR" w:eastAsia="fr-FR"/>
        </w:rPr>
        <w:t>er</w:t>
      </w:r>
      <w:r>
        <w:rPr>
          <w:rFonts w:cs="Calibri" w:ascii="Calibri" w:hAnsi="Calibri"/>
          <w:sz w:val="22"/>
          <w:szCs w:val="22"/>
          <w:lang w:val="fr-FR" w:eastAsia="fr-FR"/>
        </w:rPr>
        <w:t xml:space="preserve"> collège : 5 titulaires et 5 suppléants ;</w:t>
      </w:r>
    </w:p>
    <w:p>
      <w:pPr>
        <w:pStyle w:val="Normal"/>
        <w:numPr>
          <w:ilvl w:val="0"/>
          <w:numId w:val="2"/>
        </w:numPr>
        <w:jc w:val="both"/>
        <w:rPr/>
      </w:pPr>
      <w:r>
        <w:rPr>
          <w:rFonts w:cs="Calibri" w:ascii="Calibri" w:hAnsi="Calibri"/>
          <w:sz w:val="22"/>
          <w:szCs w:val="22"/>
          <w:lang w:val="fr-FR" w:eastAsia="fr-FR"/>
        </w:rPr>
        <w:t>2</w:t>
      </w:r>
      <w:r>
        <w:rPr>
          <w:rFonts w:cs="Calibri" w:ascii="Calibri" w:hAnsi="Calibri"/>
          <w:sz w:val="22"/>
          <w:szCs w:val="22"/>
          <w:vertAlign w:val="superscript"/>
          <w:lang w:val="fr-FR" w:eastAsia="fr-FR"/>
        </w:rPr>
        <w:t>ème</w:t>
      </w:r>
      <w:r>
        <w:rPr>
          <w:rFonts w:cs="Calibri" w:ascii="Calibri" w:hAnsi="Calibri"/>
          <w:sz w:val="22"/>
          <w:szCs w:val="22"/>
          <w:lang w:val="fr-FR" w:eastAsia="fr-FR"/>
        </w:rPr>
        <w:t xml:space="preserve"> collège : 1 titulaire et 1 suppléant.</w:t>
      </w:r>
    </w:p>
    <w:p>
      <w:pPr>
        <w:pStyle w:val="Normal"/>
        <w:ind w:left="720" w:hanging="0"/>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pPr>
      <w:r>
        <w:rPr>
          <w:rFonts w:cs="Calibri" w:ascii="Calibri" w:hAnsi="Calibri"/>
          <w:sz w:val="22"/>
          <w:szCs w:val="22"/>
          <w:lang w:val="fr-FR" w:eastAsia="fr-FR"/>
        </w:rPr>
        <w:t xml:space="preserve">Les parties signataires du présent accord conviennent de la prorogation du mandat des membres titulaires et suppléants du Comité d’Entreprise et des Délégués du Personnel jusqu’au 31 mai 2018. </w:t>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rFonts w:ascii="Calibri" w:hAnsi="Calibri" w:cs="Calibri"/>
          <w:sz w:val="22"/>
          <w:lang w:val="fr-FR" w:eastAsia="fr-FR"/>
        </w:rPr>
      </w:pPr>
      <w:r>
        <w:rPr>
          <w:rFonts w:cs="Calibri" w:ascii="Calibri" w:hAnsi="Calibri"/>
          <w:sz w:val="22"/>
          <w:lang w:val="fr-FR" w:eastAsia="fr-FR"/>
        </w:rPr>
      </w:r>
    </w:p>
    <w:p>
      <w:pPr>
        <w:pStyle w:val="Normal"/>
        <w:jc w:val="both"/>
        <w:rPr>
          <w:rFonts w:ascii="Calibri" w:hAnsi="Calibri" w:cs="Calibri"/>
          <w:b/>
          <w:b/>
          <w:sz w:val="22"/>
          <w:u w:val="single"/>
          <w:lang w:val="fr-FR" w:eastAsia="fr-FR"/>
        </w:rPr>
      </w:pPr>
      <w:r>
        <w:rPr>
          <w:rFonts w:cs="Calibri" w:ascii="Calibri" w:hAnsi="Calibri"/>
          <w:b/>
          <w:sz w:val="22"/>
          <w:lang w:val="fr-FR" w:eastAsia="fr-FR"/>
        </w:rPr>
        <w:t xml:space="preserve">Article 2 – </w:t>
      </w:r>
      <w:r>
        <w:rPr>
          <w:rFonts w:cs="Calibri" w:ascii="Calibri" w:hAnsi="Calibri"/>
          <w:b/>
          <w:sz w:val="22"/>
          <w:u w:val="single"/>
          <w:lang w:val="fr-FR" w:eastAsia="fr-FR"/>
        </w:rPr>
        <w:t>Durée de l’accord</w:t>
      </w:r>
    </w:p>
    <w:p>
      <w:pPr>
        <w:pStyle w:val="Normal"/>
        <w:jc w:val="both"/>
        <w:rPr>
          <w:rFonts w:ascii="Calibri" w:hAnsi="Calibri" w:cs="Calibri"/>
          <w:b/>
          <w:b/>
          <w:sz w:val="22"/>
          <w:u w:val="single"/>
          <w:lang w:val="fr-FR" w:eastAsia="fr-FR"/>
        </w:rPr>
      </w:pPr>
      <w:r>
        <w:rPr>
          <w:rFonts w:cs="Calibri" w:ascii="Calibri" w:hAnsi="Calibri"/>
          <w:b/>
          <w:sz w:val="22"/>
          <w:u w:val="single"/>
          <w:lang w:val="fr-FR" w:eastAsia="fr-FR"/>
        </w:rPr>
      </w:r>
    </w:p>
    <w:p>
      <w:pPr>
        <w:pStyle w:val="Normal"/>
        <w:jc w:val="both"/>
        <w:rPr/>
      </w:pPr>
      <w:r>
        <w:rPr>
          <w:rFonts w:cs="Calibri" w:ascii="Calibri" w:hAnsi="Calibri"/>
          <w:sz w:val="22"/>
          <w:szCs w:val="22"/>
          <w:lang w:val="fr-FR" w:eastAsia="fr-FR"/>
        </w:rPr>
        <w:t xml:space="preserve">Le présent accord est conclu pour une durée déterminée jusqu’au 31 mai 2018, date des prochaines élections professionnelles, et entrera en vigueur le 27 novembre 2017. Conformément à l’alinéa 2 de l’article L 2222-4 du code du Travail, à l’échéance de ce terme, il ne continuera pas à produire ses effets comme un accord à durée indéterminée. </w:t>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rFonts w:ascii="Calibri" w:hAnsi="Calibri" w:cs="Calibri"/>
          <w:sz w:val="22"/>
          <w:lang w:val="fr-FR" w:eastAsia="fr-FR"/>
        </w:rPr>
      </w:pPr>
      <w:r>
        <w:rPr>
          <w:rFonts w:cs="Calibri" w:ascii="Calibri" w:hAnsi="Calibri"/>
          <w:sz w:val="22"/>
          <w:lang w:val="fr-FR" w:eastAsia="fr-FR"/>
        </w:rPr>
      </w:r>
    </w:p>
    <w:p>
      <w:pPr>
        <w:pStyle w:val="Normal"/>
        <w:jc w:val="both"/>
        <w:rPr/>
      </w:pPr>
      <w:r>
        <w:rPr>
          <w:rFonts w:cs="Calibri" w:ascii="Calibri" w:hAnsi="Calibri"/>
          <w:b/>
          <w:sz w:val="22"/>
          <w:lang w:val="fr-FR" w:eastAsia="fr-FR"/>
        </w:rPr>
        <w:t>Article 3 –</w:t>
      </w:r>
      <w:r>
        <w:rPr>
          <w:rFonts w:cs="Calibri" w:ascii="Calibri" w:hAnsi="Calibri"/>
          <w:sz w:val="22"/>
          <w:lang w:val="fr-FR" w:eastAsia="fr-FR"/>
        </w:rPr>
        <w:t xml:space="preserve"> </w:t>
      </w:r>
      <w:r>
        <w:rPr>
          <w:rFonts w:cs="Calibri" w:ascii="Calibri" w:hAnsi="Calibri"/>
          <w:b/>
          <w:sz w:val="22"/>
          <w:u w:val="single"/>
          <w:lang w:val="fr-FR" w:eastAsia="fr-FR"/>
        </w:rPr>
        <w:t>Publicité et formalités de dépôt</w:t>
      </w:r>
    </w:p>
    <w:p>
      <w:pPr>
        <w:pStyle w:val="Normal"/>
        <w:jc w:val="both"/>
        <w:rPr>
          <w:rFonts w:ascii="Calibri" w:hAnsi="Calibri" w:cs="Calibri"/>
          <w:b/>
          <w:b/>
          <w:sz w:val="22"/>
          <w:u w:val="single"/>
          <w:lang w:val="fr-FR" w:eastAsia="fr-FR"/>
        </w:rPr>
      </w:pPr>
      <w:r>
        <w:rPr>
          <w:rFonts w:cs="Calibri" w:ascii="Calibri" w:hAnsi="Calibri"/>
          <w:b/>
          <w:sz w:val="22"/>
          <w:u w:val="single"/>
          <w:lang w:val="fr-FR" w:eastAsia="fr-FR"/>
        </w:rPr>
      </w:r>
    </w:p>
    <w:p>
      <w:pPr>
        <w:pStyle w:val="Normal"/>
        <w:jc w:val="both"/>
        <w:rPr/>
      </w:pPr>
      <w:r>
        <w:rPr>
          <w:rFonts w:cs="Calibri" w:ascii="Calibri" w:hAnsi="Calibri"/>
          <w:sz w:val="22"/>
          <w:szCs w:val="22"/>
          <w:lang w:val="fr-FR" w:eastAsia="fr-FR"/>
        </w:rPr>
        <w:t>Conformément à l’article L 2231-5 du code du Travail, le présent accord sera notifié à chacune des Organisations Syndicales représentatives.</w:t>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rFonts w:ascii="Calibri" w:hAnsi="Calibri" w:cs="Calibri"/>
          <w:sz w:val="22"/>
          <w:szCs w:val="22"/>
          <w:lang w:val="fr-FR" w:eastAsia="fr-FR"/>
        </w:rPr>
      </w:pPr>
      <w:r>
        <w:rPr>
          <w:rFonts w:cs="Calibri" w:ascii="Calibri" w:hAnsi="Calibri"/>
          <w:sz w:val="22"/>
          <w:szCs w:val="22"/>
          <w:lang w:val="fr-FR" w:eastAsia="fr-FR"/>
        </w:rPr>
        <w:t>Conformément aux articles D 2231-2 et D 2231-5 du code du Travail, le texte du présent accord sera déposé en deux exemplaires auprès de la Direction Régionale des Entreprises, de la Concurrence, de la Consommation, du Travail et de l’Emploi compétente, dont une version signée sur support papier adressée par lettre recommandée avec demande d’avis de réception, et une version sur support électronique. Le présent accord sera également déposé auprès du greffe du Conseil de Prud’hommes de Pau.</w:t>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pPr>
      <w:r>
        <w:rPr>
          <w:rFonts w:cs="Calibri" w:ascii="Calibri" w:hAnsi="Calibri"/>
          <w:sz w:val="22"/>
          <w:szCs w:val="22"/>
          <w:lang w:val="fr-FR" w:eastAsia="fr-FR"/>
        </w:rPr>
        <w:t>Fait à Mont, le 6 novembre 2017,</w:t>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rFonts w:ascii="Calibri" w:hAnsi="Calibri" w:cs="Calibri"/>
          <w:sz w:val="22"/>
          <w:lang w:val="fr-FR" w:eastAsia="fr-FR"/>
        </w:rPr>
      </w:pPr>
      <w:r>
        <w:rPr>
          <w:rFonts w:cs="Calibri" w:ascii="Calibri" w:hAnsi="Calibri"/>
          <w:sz w:val="22"/>
          <w:lang w:val="fr-FR" w:eastAsia="fr-FR"/>
        </w:rPr>
      </w:r>
    </w:p>
    <w:p>
      <w:pPr>
        <w:pStyle w:val="Normal"/>
        <w:jc w:val="both"/>
        <w:rPr>
          <w:rFonts w:ascii="Calibri" w:hAnsi="Calibri" w:cs="Calibri"/>
          <w:sz w:val="22"/>
          <w:szCs w:val="22"/>
          <w:lang w:val="fr-FR" w:eastAsia="fr-FR"/>
        </w:rPr>
      </w:pPr>
      <w:r>
        <w:rPr>
          <w:rFonts w:cs="Calibri" w:ascii="Calibri" w:hAnsi="Calibri"/>
          <w:b/>
          <w:sz w:val="22"/>
          <w:szCs w:val="22"/>
          <w:lang w:val="fr-FR" w:eastAsia="fr-FR"/>
        </w:rPr>
        <w:t>Pour la Direction :</w:t>
      </w:r>
      <w:r>
        <w:rPr>
          <w:rFonts w:cs="Calibri" w:ascii="Calibri" w:hAnsi="Calibri"/>
          <w:sz w:val="22"/>
          <w:szCs w:val="22"/>
          <w:lang w:val="fr-FR" w:eastAsia="fr-FR"/>
        </w:rPr>
        <w:tab/>
        <w:tab/>
        <w:tab/>
        <w:tab/>
      </w:r>
      <w:r>
        <w:rPr>
          <w:rFonts w:cs="Calibri" w:ascii="Calibri" w:hAnsi="Calibri"/>
          <w:b/>
          <w:sz w:val="22"/>
          <w:szCs w:val="22"/>
          <w:lang w:val="fr-FR" w:eastAsia="fr-FR"/>
        </w:rPr>
        <w:t xml:space="preserve">         Pour les Organisation Syndicales représentatives :</w:t>
      </w:r>
    </w:p>
    <w:p>
      <w:pPr>
        <w:pStyle w:val="Normal"/>
        <w:jc w:val="both"/>
        <w:rPr>
          <w:rFonts w:ascii="Calibri" w:hAnsi="Calibri" w:cs="Calibri"/>
          <w:sz w:val="22"/>
          <w:szCs w:val="22"/>
          <w:lang w:val="fr-FR" w:eastAsia="fr-FR"/>
        </w:rPr>
      </w:pPr>
      <w:r>
        <w:rPr>
          <w:rFonts w:cs="Calibri" w:ascii="Calibri" w:hAnsi="Calibri"/>
          <w:sz w:val="22"/>
          <w:szCs w:val="22"/>
          <w:lang w:val="fr-FR" w:eastAsia="fr-FR"/>
        </w:rPr>
        <w:tab/>
      </w:r>
    </w:p>
    <w:p>
      <w:pPr>
        <w:pStyle w:val="Normal"/>
        <w:jc w:val="both"/>
        <w:rPr>
          <w:rFonts w:ascii="Calibri" w:hAnsi="Calibri" w:cs="Calibri"/>
          <w:sz w:val="22"/>
          <w:szCs w:val="22"/>
          <w:lang w:val="fr-FR" w:eastAsia="fr-FR"/>
        </w:rPr>
      </w:pPr>
      <w:r>
        <w:rPr>
          <w:rFonts w:cs="Calibri" w:ascii="Calibri" w:hAnsi="Calibri"/>
          <w:sz w:val="22"/>
          <w:szCs w:val="22"/>
          <w:lang w:val="fr-FR" w:eastAsia="fr-FR"/>
        </w:rPr>
      </w:r>
    </w:p>
    <w:p>
      <w:pPr>
        <w:pStyle w:val="Normal"/>
        <w:jc w:val="both"/>
        <w:rPr>
          <w:rFonts w:ascii="Calibri" w:hAnsi="Calibri" w:cs="Calibri"/>
          <w:sz w:val="22"/>
          <w:szCs w:val="22"/>
          <w:lang w:val="fr-FR" w:eastAsia="fr-FR"/>
        </w:rPr>
      </w:pPr>
      <w:r>
        <w:rPr>
          <w:rFonts w:cs="Calibri" w:ascii="Calibri" w:hAnsi="Calibri"/>
          <w:sz w:val="22"/>
          <w:szCs w:val="22"/>
          <w:lang w:val="fr-FR" w:eastAsia="fr-FR"/>
        </w:rPr>
        <w:tab/>
        <w:tab/>
        <w:tab/>
      </w:r>
    </w:p>
    <w:p>
      <w:pPr>
        <w:pStyle w:val="Normal"/>
        <w:jc w:val="both"/>
        <w:rPr>
          <w:rFonts w:ascii="Calibri" w:hAnsi="Calibri" w:cs="Calibri"/>
          <w:sz w:val="22"/>
          <w:szCs w:val="22"/>
          <w:lang w:val="fr-FR" w:eastAsia="fr-FR"/>
        </w:rPr>
      </w:pPr>
      <w:r>
        <w:rPr>
          <w:rFonts w:cs="Calibri" w:ascii="Calibri" w:hAnsi="Calibri"/>
          <w:sz w:val="22"/>
          <w:szCs w:val="22"/>
          <w:lang w:val="fr-FR" w:eastAsia="fr-FR"/>
        </w:rPr>
        <w:tab/>
      </w:r>
    </w:p>
    <w:sectPr>
      <w:headerReference w:type="default" r:id="rId2"/>
      <w:headerReference w:type="first" r:id="rId3"/>
      <w:footerReference w:type="default" r:id="rId4"/>
      <w:footerReference w:type="first" r:id="rId5"/>
      <w:type w:val="nextPage"/>
      <w:pgSz w:w="12240" w:h="15840"/>
      <w:pgMar w:left="1440" w:right="1440" w:header="540" w:top="851" w:footer="346" w:bottom="70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w:altName w:val="Book Antiqua"/>
    <w:charset w:val="00"/>
    <w:family w:val="auto"/>
    <w:pitch w:val="default"/>
  </w:font>
  <w:font w:name="Helvetica">
    <w:altName w:val="Arial"/>
    <w:charset w:val="00"/>
    <w:family w:val="swiss"/>
    <w:pitch w:val="variable"/>
  </w:font>
  <w:font w:name="Times">
    <w:altName w:val="Times New Roman"/>
    <w:charset w:val="00"/>
    <w:family w:val="roman"/>
    <w:pitch w:val="variable"/>
  </w:font>
  <w:font w:name="Wingdings">
    <w:charset w:val="02"/>
    <w:family w:val="auto"/>
    <w:pitch w:val="variable"/>
  </w:font>
  <w:font w:name="Calibri">
    <w:charset w:val="00"/>
    <w:family w:val="swiss"/>
    <w:pitch w:val="variable"/>
  </w:font>
  <w:font w:name="Courier New">
    <w:charset w:val="00"/>
    <w:family w:val="modern"/>
    <w:pitch w:val="default"/>
  </w:font>
  <w:font w:name="Symbol">
    <w:charset w:val="01"/>
    <w:family w:val="roman"/>
    <w:pitch w:val="variable"/>
  </w:font>
  <w:font w:name="Segoe UI">
    <w:charset w:val="00"/>
    <w:family w:val="swiss"/>
    <w:pitch w:val="variable"/>
  </w:font>
  <w:font w:name="Liberation Sans">
    <w:altName w:val="Arial"/>
    <w:charset w:val="01"/>
    <w:family w:val="swiss"/>
    <w:pitch w:val="variable"/>
  </w:font>
  <w:font w:name="Rexam Logo">
    <w:charset w:val="02"/>
    <w:family w:val="auto"/>
    <w:pitch w:val="variable"/>
  </w:font>
  <w:font w:name="Open Sans">
    <w:altName w:val="Times New Roman"/>
    <w:charset w:val="00"/>
    <w:family w:val="auto"/>
    <w:pitch w:val="default"/>
  </w:font>
  <w:font w:name="BallLogo">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Calibri" w:hAnsi="Calibri" w:cs="Calibri"/>
        <w:sz w:val="22"/>
      </w:rPr>
    </w:pPr>
    <w:r>
      <w:rPr>
        <w:rFonts w:cs="Calibri" w:ascii="Calibri" w:hAnsi="Calibri"/>
        <w:sz w:val="22"/>
      </w:rPr>
      <w:fldChar w:fldCharType="begin"/>
    </w:r>
    <w:r>
      <w:instrText> PAGE </w:instrText>
    </w:r>
    <w:r>
      <w:fldChar w:fldCharType="separate"/>
    </w:r>
    <w:r>
      <w:t>2</w:t>
    </w:r>
    <w:r>
      <w:fldChar w:fldCharType="end"/>
    </w:r>
  </w:p>
  <w:p>
    <w:pPr>
      <w:pStyle w:val="Footer"/>
      <w:rPr>
        <w:rFonts w:ascii="Calibri" w:hAnsi="Calibri" w:cs="Calibri"/>
        <w:sz w:val="22"/>
      </w:rPr>
    </w:pPr>
    <w:r>
      <w:rPr>
        <w:rFonts w:cs="Calibri" w:ascii="Calibri" w:hAnsi="Calibri"/>
        <w:sz w:val="2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Calibri" w:hAnsi="Calibri" w:cs="Calibri"/>
        <w:sz w:val="22"/>
        <w:szCs w:val="22"/>
      </w:rPr>
    </w:pPr>
    <w:r>
      <w:rPr>
        <w:rFonts w:cs="Calibri" w:ascii="Calibri" w:hAnsi="Calibri"/>
        <w:sz w:val="22"/>
        <w:szCs w:val="22"/>
      </w:rPr>
      <w:fldChar w:fldCharType="begin"/>
    </w:r>
    <w:r>
      <w:instrText> PAGE </w:instrText>
    </w:r>
    <w:r>
      <w:fldChar w:fldCharType="separate"/>
    </w:r>
    <w:r>
      <w:t>1</w:t>
    </w:r>
    <w:r>
      <w:fldChar w:fldCharType="end"/>
    </w:r>
  </w:p>
  <w:p>
    <w:pPr>
      <w:pStyle w:val="Footer"/>
      <w:rPr>
        <w:rFonts w:ascii="Calibri" w:hAnsi="Calibri" w:cs="Calibri"/>
        <w:sz w:val="22"/>
        <w:szCs w:val="22"/>
      </w:rPr>
    </w:pPr>
    <w:r>
      <w:rPr>
        <w:rFonts w:cs="Calibri" w:ascii="Calibri" w:hAnsi="Calibri"/>
        <w:sz w:val="22"/>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Style w:val="PageNumber"/>
        <w:rFonts w:ascii="Arial" w:hAnsi="Arial" w:cs="Arial"/>
        <w:sz w:val="22"/>
      </w:rPr>
    </w:pPr>
    <w:r>
      <w:rPr/>
    </w:r>
  </w:p>
  <w:p>
    <w:pPr>
      <w:pStyle w:val="Header"/>
      <w:rPr>
        <w:rStyle w:val="PageNumber"/>
        <w:rFonts w:ascii="Arial" w:hAnsi="Arial" w:cs="Arial"/>
        <w:sz w:val="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558" w:type="dxa"/>
      <w:jc w:val="left"/>
      <w:tblInd w:w="18" w:type="dxa"/>
      <w:tblBorders/>
      <w:tblCellMar>
        <w:top w:w="0" w:type="dxa"/>
        <w:left w:w="108" w:type="dxa"/>
        <w:bottom w:w="0" w:type="dxa"/>
        <w:right w:w="108" w:type="dxa"/>
      </w:tblCellMar>
    </w:tblPr>
    <w:tblGrid>
      <w:gridCol w:w="9558"/>
    </w:tblGrid>
    <w:tr>
      <w:trPr>
        <w:trHeight w:val="810" w:hRule="atLeast"/>
      </w:trPr>
      <w:tc>
        <w:tcPr>
          <w:tcW w:w="9558" w:type="dxa"/>
          <w:tcBorders/>
          <w:shd w:fill="auto" w:val="clear"/>
        </w:tcPr>
        <w:p>
          <w:pPr>
            <w:pStyle w:val="Header"/>
            <w:ind w:right="-90" w:hanging="0"/>
            <w:rPr>
              <w:rFonts w:ascii="BallLogo" w:hAnsi="BallLogo" w:cs="BallLogo"/>
              <w:sz w:val="96"/>
              <w:lang w:bidi="en-GB"/>
            </w:rPr>
          </w:pPr>
          <w:r>
            <w:rPr>
              <w:rFonts w:cs="BallLogo" w:ascii="BallLogo" w:hAnsi="BallLogo"/>
              <w:sz w:val="96"/>
              <w:lang w:bidi="en-GB"/>
            </w:rPr>
            <w:drawing>
              <wp:inline distT="0" distB="0" distL="0" distR="0">
                <wp:extent cx="530225" cy="53022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530225" cy="530225"/>
                        </a:xfrm>
                        <a:prstGeom prst="rect">
                          <a:avLst/>
                        </a:prstGeom>
                      </pic:spPr>
                    </pic:pic>
                  </a:graphicData>
                </a:graphic>
              </wp:inline>
            </w:drawing>
          </w:r>
        </w:p>
      </w:tc>
    </w:tr>
  </w:tbl>
  <w:p>
    <w:pPr>
      <w:pStyle w:val="Footer"/>
      <w:spacing w:lineRule="exact" w:line="180" w:before="340" w:after="0"/>
      <w:rPr/>
    </w:pPr>
    <w:r>
      <w:rPr>
        <w:rFonts w:cs="Arial" w:ascii="Arial" w:hAnsi="Arial"/>
        <w:b/>
        <w:bCs/>
        <w:sz w:val="18"/>
      </w:rPr>
      <w:t>Beverage Packaging</w:t>
      <w:br/>
      <w:t>Europe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Calibri" w:hAnsi="Calibri" w:cs="Calibri" w:hint="default"/>
        <w:sz w:val="22"/>
        <w:b/>
        <w:szCs w:val="22"/>
        <w:rFonts w:cs="Calibri"/>
        <w:lang w:val="fr-FR" w:eastAsia="fr-F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overflowPunct w:val="false"/>
      <w:autoSpaceDE w:val="false"/>
      <w:bidi w:val="0"/>
      <w:textAlignment w:val="baseline"/>
    </w:pPr>
    <w:rPr>
      <w:rFonts w:ascii="Palatino;Book Antiqua" w:hAnsi="Palatino;Book Antiqua" w:eastAsia="Times New Roman" w:cs="Palatino;Book Antiqua"/>
      <w:color w:val="auto"/>
      <w:sz w:val="24"/>
      <w:szCs w:val="20"/>
      <w:lang w:val="en-US" w:bidi="ar-SA" w:eastAsia="zh-CN"/>
    </w:rPr>
  </w:style>
  <w:style w:type="paragraph" w:styleId="Heading1">
    <w:name w:val="Heading 1"/>
    <w:basedOn w:val="Normal"/>
    <w:next w:val="Normal"/>
    <w:qFormat/>
    <w:pPr>
      <w:numPr>
        <w:ilvl w:val="0"/>
        <w:numId w:val="1"/>
      </w:numPr>
      <w:spacing w:before="240" w:after="0"/>
      <w:outlineLvl w:val="0"/>
      <w:outlineLvl w:val="0"/>
    </w:pPr>
    <w:rPr>
      <w:rFonts w:ascii="Helvetica" w:hAnsi="Helvetica" w:cs="Helvetica"/>
      <w:b/>
      <w:u w:val="single"/>
    </w:rPr>
  </w:style>
  <w:style w:type="paragraph" w:styleId="Heading2">
    <w:name w:val="Heading 2"/>
    <w:basedOn w:val="Normal"/>
    <w:next w:val="Normal"/>
    <w:qFormat/>
    <w:pPr>
      <w:numPr>
        <w:ilvl w:val="1"/>
        <w:numId w:val="1"/>
      </w:numPr>
      <w:spacing w:before="120" w:after="0"/>
      <w:outlineLvl w:val="1"/>
      <w:outlineLvl w:val="1"/>
    </w:pPr>
    <w:rPr>
      <w:rFonts w:ascii="Helvetica" w:hAnsi="Helvetica" w:cs="Helvetica"/>
      <w:b/>
    </w:rPr>
  </w:style>
  <w:style w:type="paragraph" w:styleId="Heading3">
    <w:name w:val="Heading 3"/>
    <w:basedOn w:val="Normal"/>
    <w:next w:val="Normalindent"/>
    <w:qFormat/>
    <w:pPr>
      <w:numPr>
        <w:ilvl w:val="2"/>
        <w:numId w:val="1"/>
      </w:numPr>
      <w:ind w:left="360" w:hanging="0"/>
      <w:outlineLvl w:val="2"/>
      <w:outlineLvl w:val="2"/>
    </w:pPr>
    <w:rPr>
      <w:rFonts w:ascii="Times" w:hAnsi="Times" w:cs="Times"/>
      <w:b/>
    </w:rPr>
  </w:style>
  <w:style w:type="paragraph" w:styleId="Heading4">
    <w:name w:val="Heading 4"/>
    <w:basedOn w:val="Normal"/>
    <w:next w:val="Normalindent"/>
    <w:qFormat/>
    <w:pPr>
      <w:numPr>
        <w:ilvl w:val="3"/>
        <w:numId w:val="1"/>
      </w:numPr>
      <w:ind w:left="360" w:hanging="0"/>
      <w:outlineLvl w:val="3"/>
      <w:outlineLvl w:val="3"/>
    </w:pPr>
    <w:rPr>
      <w:rFonts w:ascii="Times" w:hAnsi="Times" w:cs="Times"/>
      <w:u w:val="single"/>
    </w:rPr>
  </w:style>
  <w:style w:type="paragraph" w:styleId="Heading5">
    <w:name w:val="Heading 5"/>
    <w:basedOn w:val="Normal"/>
    <w:next w:val="Normalindent"/>
    <w:qFormat/>
    <w:pPr>
      <w:numPr>
        <w:ilvl w:val="4"/>
        <w:numId w:val="1"/>
      </w:numPr>
      <w:ind w:left="720" w:hanging="0"/>
      <w:outlineLvl w:val="4"/>
      <w:outlineLvl w:val="4"/>
    </w:pPr>
    <w:rPr>
      <w:rFonts w:ascii="Times" w:hAnsi="Times" w:cs="Times"/>
      <w:b/>
      <w:sz w:val="20"/>
    </w:rPr>
  </w:style>
  <w:style w:type="paragraph" w:styleId="Heading6">
    <w:name w:val="Heading 6"/>
    <w:basedOn w:val="Normal"/>
    <w:next w:val="Normalindent"/>
    <w:qFormat/>
    <w:pPr>
      <w:numPr>
        <w:ilvl w:val="5"/>
        <w:numId w:val="1"/>
      </w:numPr>
      <w:ind w:left="720" w:hanging="0"/>
      <w:outlineLvl w:val="5"/>
      <w:outlineLvl w:val="5"/>
    </w:pPr>
    <w:rPr>
      <w:rFonts w:ascii="Times" w:hAnsi="Times" w:cs="Times"/>
      <w:sz w:val="20"/>
      <w:u w:val="single"/>
    </w:rPr>
  </w:style>
  <w:style w:type="paragraph" w:styleId="Heading7">
    <w:name w:val="Heading 7"/>
    <w:basedOn w:val="Normal"/>
    <w:next w:val="Normalindent"/>
    <w:qFormat/>
    <w:pPr>
      <w:numPr>
        <w:ilvl w:val="6"/>
        <w:numId w:val="1"/>
      </w:numPr>
      <w:ind w:left="720" w:hanging="0"/>
      <w:outlineLvl w:val="6"/>
      <w:outlineLvl w:val="6"/>
    </w:pPr>
    <w:rPr>
      <w:rFonts w:ascii="Times" w:hAnsi="Times" w:cs="Times"/>
      <w:i/>
      <w:sz w:val="20"/>
    </w:rPr>
  </w:style>
  <w:style w:type="paragraph" w:styleId="Heading8">
    <w:name w:val="Heading 8"/>
    <w:basedOn w:val="Normal"/>
    <w:next w:val="Normalindent"/>
    <w:qFormat/>
    <w:pPr>
      <w:numPr>
        <w:ilvl w:val="7"/>
        <w:numId w:val="1"/>
      </w:numPr>
      <w:ind w:left="720" w:hanging="0"/>
      <w:outlineLvl w:val="7"/>
      <w:outlineLvl w:val="7"/>
    </w:pPr>
    <w:rPr>
      <w:rFonts w:ascii="Times" w:hAnsi="Times" w:cs="Times"/>
      <w:i/>
      <w:sz w:val="20"/>
    </w:rPr>
  </w:style>
  <w:style w:type="paragraph" w:styleId="Heading9">
    <w:name w:val="Heading 9"/>
    <w:basedOn w:val="Normal"/>
    <w:next w:val="Normalindent"/>
    <w:qFormat/>
    <w:pPr>
      <w:numPr>
        <w:ilvl w:val="8"/>
        <w:numId w:val="1"/>
      </w:numPr>
      <w:ind w:left="720" w:hanging="0"/>
      <w:outlineLvl w:val="8"/>
      <w:outlineLvl w:val="8"/>
    </w:pPr>
    <w:rPr>
      <w:rFonts w:ascii="Times" w:hAnsi="Times" w:cs="Times"/>
      <w:i/>
      <w:sz w:val="20"/>
    </w:rPr>
  </w:style>
  <w:style w:type="character" w:styleId="WW8Num1z0">
    <w:name w:val="WW8Num1z0"/>
    <w:qFormat/>
    <w:rPr>
      <w:rFonts w:ascii="Wingdings" w:hAnsi="Wingdings" w:cs="Wingdings"/>
    </w:rPr>
  </w:style>
  <w:style w:type="character" w:styleId="WW8Num2z0">
    <w:name w:val="WW8Num2z0"/>
    <w:qFormat/>
    <w:rPr>
      <w:rFonts w:ascii="Calibri" w:hAnsi="Calibri" w:eastAsia="Times New Roman" w:cs="Calibri"/>
      <w:b/>
      <w:sz w:val="22"/>
      <w:szCs w:val="22"/>
      <w:lang w:val="fr-FR" w:eastAsia="fr-FR"/>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5z0">
    <w:name w:val="WW8Num5z0"/>
    <w:qFormat/>
    <w:rPr>
      <w:rFonts w:ascii="Wingdings" w:hAnsi="Wingdings" w:cs="Wingdings"/>
    </w:rPr>
  </w:style>
  <w:style w:type="character" w:styleId="WW8Num6z0">
    <w:name w:val="WW8Num6z0"/>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10z0">
    <w:name w:val="WW8Num10z0"/>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Times New Roman" w:hAnsi="Times New Roman" w:eastAsia="Calibri"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Policepardfaut">
    <w:name w:val="Police par défaut"/>
    <w:qFormat/>
    <w:rPr/>
  </w:style>
  <w:style w:type="character" w:styleId="InternetLink">
    <w:name w:val="Internet Link"/>
    <w:rPr>
      <w:color w:val="0000FF"/>
      <w:u w:val="single"/>
    </w:rPr>
  </w:style>
  <w:style w:type="character" w:styleId="StrongEmphasis">
    <w:name w:val="Strong Emphasis"/>
    <w:rPr>
      <w:b/>
    </w:rPr>
  </w:style>
  <w:style w:type="character" w:styleId="VisitedInternetLink">
    <w:name w:val="Visited Internet Link"/>
    <w:rPr>
      <w:color w:val="800080"/>
      <w:u w:val="single"/>
    </w:rPr>
  </w:style>
  <w:style w:type="character" w:styleId="PageNumber">
    <w:name w:val="Page Number"/>
    <w:basedOn w:val="Policepardfaut"/>
    <w:rPr/>
  </w:style>
  <w:style w:type="character" w:styleId="EntteCar">
    <w:name w:val="En-tête Car"/>
    <w:qFormat/>
    <w:rPr>
      <w:rFonts w:ascii="Palatino;Book Antiqua" w:hAnsi="Palatino;Book Antiqua" w:cs="Palatino;Book Antiqua"/>
      <w:sz w:val="24"/>
      <w:lang w:val="en-US"/>
    </w:rPr>
  </w:style>
  <w:style w:type="character" w:styleId="PieddepageCar">
    <w:name w:val="Pied de page Car"/>
    <w:qFormat/>
    <w:rPr>
      <w:rFonts w:ascii="Palatino;Book Antiqua" w:hAnsi="Palatino;Book Antiqua" w:cs="Palatino;Book Antiqua"/>
      <w:sz w:val="24"/>
      <w:lang w:val="en-US"/>
    </w:rPr>
  </w:style>
  <w:style w:type="character" w:styleId="TextedebullesCar">
    <w:name w:val="Texte de bulles Car"/>
    <w:qFormat/>
    <w:rPr>
      <w:rFonts w:ascii="Segoe UI" w:hAnsi="Segoe UI" w:cs="Segoe UI"/>
      <w:sz w:val="18"/>
      <w:szCs w:val="18"/>
      <w:lang w:val="en-U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rPr>
      <w:rFonts w:ascii="Times New Roman" w:hAnsi="Times New Roman" w:cs="Times New Roman"/>
      <w:i/>
      <w:sz w:val="2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indent">
    <w:name w:val="Normal indent"/>
    <w:basedOn w:val="Normal"/>
    <w:qFormat/>
    <w:pPr>
      <w:ind w:left="720" w:hanging="0"/>
    </w:pPr>
    <w:rPr>
      <w:rFonts w:ascii="Helvetica" w:hAnsi="Helvetica" w:cs="Helvetica"/>
      <w:sz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Footnote">
    <w:name w:val="Footnote"/>
    <w:basedOn w:val="Normal"/>
    <w:pPr/>
    <w:rPr>
      <w:sz w:val="20"/>
    </w:rPr>
  </w:style>
  <w:style w:type="paragraph" w:styleId="Border">
    <w:name w:val="border"/>
    <w:basedOn w:val="Normal"/>
    <w:qFormat/>
    <w:pPr>
      <w:pBdr>
        <w:bottom w:val="single" w:sz="6" w:space="0" w:color="000000"/>
      </w:pBdr>
      <w:tabs>
        <w:tab w:val="decimal" w:pos="630" w:leader="none"/>
      </w:tabs>
    </w:pPr>
    <w:rPr>
      <w:rFonts w:ascii="Times" w:hAnsi="Times" w:cs="Times"/>
      <w:sz w:val="20"/>
    </w:rPr>
  </w:style>
  <w:style w:type="paragraph" w:styleId="Double">
    <w:name w:val="Double"/>
    <w:basedOn w:val="Normal"/>
    <w:qFormat/>
    <w:pPr>
      <w:pBdr>
        <w:bottom w:val="double" w:sz="6" w:space="0" w:color="000000"/>
      </w:pBdr>
      <w:tabs>
        <w:tab w:val="decimal" w:pos="630" w:leader="none"/>
      </w:tabs>
    </w:pPr>
    <w:rPr>
      <w:rFonts w:ascii="Times" w:hAnsi="Times" w:cs="Times"/>
      <w:sz w:val="20"/>
    </w:rPr>
  </w:style>
  <w:style w:type="paragraph" w:styleId="Bodycopy">
    <w:name w:val="body copy"/>
    <w:basedOn w:val="Normal"/>
    <w:qFormat/>
    <w:pPr>
      <w:ind w:firstLine="240"/>
    </w:pPr>
    <w:rPr>
      <w:rFonts w:ascii="Helvetica" w:hAnsi="Helvetica" w:cs="Helvetica"/>
      <w:spacing w:val="-5"/>
      <w:sz w:val="22"/>
    </w:rPr>
  </w:style>
  <w:style w:type="paragraph" w:styleId="Corpsdetexte2">
    <w:name w:val="Corps de texte 2"/>
    <w:basedOn w:val="Normal"/>
    <w:qFormat/>
    <w:pPr>
      <w:spacing w:lineRule="auto" w:line="360"/>
      <w:ind w:firstLine="720"/>
    </w:pPr>
    <w:rPr>
      <w:rFonts w:ascii="Times New Roman" w:hAnsi="Times New Roman" w:cs="Times New Roman"/>
    </w:rPr>
  </w:style>
  <w:style w:type="paragraph" w:styleId="Retraitcorpsdetexte2">
    <w:name w:val="Retrait corps de texte 2"/>
    <w:basedOn w:val="Normal"/>
    <w:qFormat/>
    <w:pPr>
      <w:spacing w:lineRule="auto" w:line="360"/>
      <w:ind w:firstLine="720"/>
    </w:pPr>
    <w:rPr>
      <w:rFonts w:ascii="Times New Roman" w:hAnsi="Times New Roman" w:cs="Times New Roman"/>
      <w:sz w:val="22"/>
    </w:rPr>
  </w:style>
  <w:style w:type="paragraph" w:styleId="TextBodyIndent">
    <w:name w:val="Text Body Indent"/>
    <w:basedOn w:val="Normal"/>
    <w:pPr>
      <w:spacing w:lineRule="auto" w:line="360"/>
      <w:ind w:firstLine="720"/>
    </w:pPr>
    <w:rPr>
      <w:rFonts w:ascii="Times New Roman" w:hAnsi="Times New Roman" w:cs="Times New Roman"/>
    </w:rPr>
  </w:style>
  <w:style w:type="paragraph" w:styleId="Retraitcorpsdetexte3">
    <w:name w:val="Retrait corps de texte 3"/>
    <w:basedOn w:val="Normal"/>
    <w:qFormat/>
    <w:pPr>
      <w:spacing w:lineRule="auto" w:line="360"/>
      <w:ind w:firstLine="720"/>
    </w:pPr>
    <w:rPr>
      <w:rFonts w:ascii="Times New Roman" w:hAnsi="Times New Roman" w:cs="Times New Roman"/>
      <w:sz w:val="20"/>
    </w:rPr>
  </w:style>
  <w:style w:type="paragraph" w:styleId="Corpsdetexte3">
    <w:name w:val="Corps de texte 3"/>
    <w:basedOn w:val="Normal"/>
    <w:qFormat/>
    <w:pPr>
      <w:jc w:val="center"/>
    </w:pPr>
    <w:rPr>
      <w:rFonts w:ascii="Times New Roman" w:hAnsi="Times New Roman" w:cs="Times New Roman"/>
      <w:b/>
      <w:sz w:val="36"/>
    </w:rPr>
  </w:style>
  <w:style w:type="paragraph" w:styleId="Lgende">
    <w:name w:val="Légende"/>
    <w:basedOn w:val="Normal"/>
    <w:next w:val="Normal"/>
    <w:qFormat/>
    <w:pPr>
      <w:tabs>
        <w:tab w:val="left" w:pos="900" w:leader="none"/>
        <w:tab w:val="left" w:pos="1530" w:leader="none"/>
        <w:tab w:val="left" w:pos="3600" w:leader="none"/>
      </w:tabs>
      <w:spacing w:lineRule="atLeast" w:line="540" w:before="360" w:after="0"/>
      <w:ind w:left="-86" w:hanging="0"/>
      <w:jc w:val="center"/>
    </w:pPr>
    <w:rPr>
      <w:rFonts w:ascii="Helvetica" w:hAnsi="Helvetica" w:cs="Helvetica"/>
      <w:sz w:val="48"/>
    </w:rPr>
  </w:style>
  <w:style w:type="paragraph" w:styleId="Paragraphedeliste">
    <w:name w:val="Paragraphe de liste"/>
    <w:basedOn w:val="Normal"/>
    <w:qFormat/>
    <w:pPr>
      <w:overflowPunct w:val="true"/>
      <w:autoSpaceDE w:val="true"/>
      <w:spacing w:lineRule="auto" w:line="276" w:before="0" w:after="200"/>
      <w:ind w:left="720" w:hanging="0"/>
      <w:contextualSpacing/>
      <w:textAlignment w:val="auto"/>
    </w:pPr>
    <w:rPr>
      <w:rFonts w:ascii="Calibri" w:hAnsi="Calibri" w:eastAsia="Calibri" w:cs="Times New Roman"/>
      <w:sz w:val="22"/>
      <w:szCs w:val="22"/>
      <w:lang w:val="fr-FR"/>
    </w:rPr>
  </w:style>
  <w:style w:type="paragraph" w:styleId="Textedebulles">
    <w:name w:val="Texte de bulles"/>
    <w:basedOn w:val="Normal"/>
    <w:qFormat/>
    <w:pPr/>
    <w:rPr>
      <w:rFonts w:ascii="Segoe UI" w:hAnsi="Segoe UI" w:cs="Segoe UI"/>
      <w:sz w:val="18"/>
      <w:szCs w:val="18"/>
    </w:rPr>
  </w:style>
  <w:style w:type="paragraph" w:styleId="NormalWeb">
    <w:name w:val="Normal (Web)"/>
    <w:basedOn w:val="Normal"/>
    <w:qFormat/>
    <w:pPr>
      <w:overflowPunct w:val="true"/>
      <w:autoSpaceDE w:val="true"/>
      <w:spacing w:before="100" w:after="100"/>
      <w:textAlignment w:val="auto"/>
    </w:pPr>
    <w:rPr>
      <w:rFonts w:ascii="Times New Roman" w:hAnsi="Times New Roman" w:cs="Times New Roman"/>
      <w:szCs w:val="24"/>
      <w:lang w:val="fr-F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108</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2017-11-06T11:09:00Z</cp:lastPrinted>
  <dcterms:created xsi:type="dcterms:W3CDTF">2017-11-06T09:31:00Z</dcterms:created>
  <dcterms:modified xsi:type="dcterms:W3CDTF">2017-11-17T10:21:00Z</dcterms:modified>
</cp:coreProperties>
</file>