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8DC1D" w14:textId="195A19CD" w:rsidR="008E7DB7" w:rsidRPr="00DC2BDC" w:rsidRDefault="002A41E8" w:rsidP="008E7DB7">
      <w:pPr>
        <w:tabs>
          <w:tab w:val="left" w:pos="1128"/>
        </w:tabs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Ref</w:t>
      </w:r>
      <w:proofErr w:type="spellEnd"/>
      <w:r>
        <w:rPr>
          <w:rFonts w:ascii="Century Gothic" w:hAnsi="Century Gothic"/>
          <w:sz w:val="18"/>
          <w:szCs w:val="18"/>
        </w:rPr>
        <w:t xml:space="preserve"> : </w:t>
      </w:r>
    </w:p>
    <w:p w14:paraId="0BF11589" w14:textId="77777777" w:rsidR="008E7DB7" w:rsidRPr="002E27A1" w:rsidRDefault="008E7DB7" w:rsidP="00D11174">
      <w:pPr>
        <w:jc w:val="center"/>
        <w:rPr>
          <w:rFonts w:ascii="Century Gothic" w:hAnsi="Century Gothic"/>
          <w:b/>
          <w:sz w:val="6"/>
        </w:rPr>
      </w:pPr>
    </w:p>
    <w:p w14:paraId="3056C29C" w14:textId="3D4109E8" w:rsidR="00445445" w:rsidRPr="00DC2BDC" w:rsidRDefault="00445445" w:rsidP="00D11174">
      <w:pPr>
        <w:jc w:val="center"/>
        <w:rPr>
          <w:rFonts w:ascii="Century Gothic" w:hAnsi="Century Gothic"/>
          <w:b/>
          <w:color w:val="FF6600"/>
          <w:sz w:val="36"/>
          <w:szCs w:val="28"/>
        </w:rPr>
      </w:pPr>
      <w:r w:rsidRPr="00DC2BDC">
        <w:rPr>
          <w:rFonts w:ascii="Century Gothic" w:hAnsi="Century Gothic"/>
          <w:b/>
          <w:color w:val="FF6600"/>
          <w:sz w:val="36"/>
          <w:szCs w:val="28"/>
        </w:rPr>
        <w:t>ACCORD SUR LE TEMPS DE TRAVAIL</w:t>
      </w:r>
    </w:p>
    <w:p w14:paraId="0B749558" w14:textId="77777777" w:rsidR="00445445" w:rsidRPr="00CA4ABD" w:rsidRDefault="00445445" w:rsidP="00445445">
      <w:pPr>
        <w:rPr>
          <w:rFonts w:ascii="Century Gothic" w:hAnsi="Century Gothic"/>
          <w:sz w:val="20"/>
        </w:rPr>
      </w:pPr>
    </w:p>
    <w:p w14:paraId="12920D10" w14:textId="3444850B" w:rsidR="00445445" w:rsidRPr="002E27A1" w:rsidRDefault="00445445" w:rsidP="00CA4ABD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  <w:r w:rsidRPr="002E27A1">
        <w:rPr>
          <w:rFonts w:ascii="Century Gothic" w:hAnsi="Century Gothic"/>
          <w:b/>
          <w:sz w:val="21"/>
          <w:szCs w:val="21"/>
        </w:rPr>
        <w:t xml:space="preserve">ENTRE : </w:t>
      </w:r>
    </w:p>
    <w:p w14:paraId="4CDEFCD0" w14:textId="77777777" w:rsidR="00CA4ABD" w:rsidRPr="002E27A1" w:rsidRDefault="00CA4ABD" w:rsidP="00CA4ABD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14:paraId="54F89B07" w14:textId="77777777" w:rsidR="00CF43FF" w:rsidRPr="002E27A1" w:rsidRDefault="00CF43FF" w:rsidP="00CF43FF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  <w:r w:rsidRPr="002E27A1">
        <w:rPr>
          <w:rFonts w:ascii="Century Gothic" w:hAnsi="Century Gothic"/>
          <w:b/>
          <w:sz w:val="21"/>
          <w:szCs w:val="21"/>
        </w:rPr>
        <w:t xml:space="preserve">Les Jours Heureux pour </w:t>
      </w:r>
    </w:p>
    <w:p w14:paraId="60602BDD" w14:textId="77777777" w:rsidR="00CF43FF" w:rsidRPr="002E27A1" w:rsidRDefault="00CF43FF" w:rsidP="00CF43FF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  <w:r w:rsidRPr="002E27A1">
        <w:rPr>
          <w:rFonts w:ascii="Century Gothic" w:hAnsi="Century Gothic"/>
          <w:b/>
          <w:sz w:val="21"/>
          <w:szCs w:val="21"/>
        </w:rPr>
        <w:t xml:space="preserve">Le Foyer Maison de Pénélope, </w:t>
      </w:r>
    </w:p>
    <w:p w14:paraId="647FB2B2" w14:textId="77777777" w:rsidR="00CF43FF" w:rsidRPr="002E27A1" w:rsidRDefault="00CF43FF" w:rsidP="00CF43FF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2E27A1">
        <w:rPr>
          <w:rFonts w:ascii="Century Gothic" w:hAnsi="Century Gothic"/>
          <w:sz w:val="21"/>
          <w:szCs w:val="21"/>
        </w:rPr>
        <w:t xml:space="preserve">14, passage de Dantzig, 75015 Paris </w:t>
      </w:r>
    </w:p>
    <w:p w14:paraId="7AD48D33" w14:textId="0325CF0B" w:rsidR="00445445" w:rsidRPr="002E27A1" w:rsidRDefault="00445445" w:rsidP="00CA4ABD">
      <w:pPr>
        <w:spacing w:after="0" w:line="240" w:lineRule="auto"/>
        <w:ind w:left="7080" w:firstLine="708"/>
        <w:rPr>
          <w:rFonts w:ascii="Century Gothic" w:hAnsi="Century Gothic"/>
          <w:sz w:val="21"/>
          <w:szCs w:val="21"/>
        </w:rPr>
      </w:pPr>
      <w:r w:rsidRPr="002E27A1">
        <w:rPr>
          <w:rFonts w:ascii="Century Gothic" w:hAnsi="Century Gothic"/>
          <w:sz w:val="21"/>
          <w:szCs w:val="21"/>
        </w:rPr>
        <w:t xml:space="preserve">D’une part </w:t>
      </w:r>
    </w:p>
    <w:p w14:paraId="4739D8C9" w14:textId="77777777" w:rsidR="00445445" w:rsidRPr="002E27A1" w:rsidRDefault="00445445" w:rsidP="00CA4ABD">
      <w:pPr>
        <w:spacing w:after="0" w:line="240" w:lineRule="auto"/>
        <w:jc w:val="right"/>
        <w:rPr>
          <w:rFonts w:ascii="Century Gothic" w:hAnsi="Century Gothic"/>
          <w:sz w:val="21"/>
          <w:szCs w:val="21"/>
        </w:rPr>
      </w:pPr>
    </w:p>
    <w:p w14:paraId="113E6938" w14:textId="77777777" w:rsidR="00445445" w:rsidRPr="002E27A1" w:rsidRDefault="00445445" w:rsidP="00CA4ABD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  <w:r w:rsidRPr="002E27A1">
        <w:rPr>
          <w:rFonts w:ascii="Century Gothic" w:hAnsi="Century Gothic"/>
          <w:b/>
          <w:sz w:val="21"/>
          <w:szCs w:val="21"/>
        </w:rPr>
        <w:t>ET</w:t>
      </w:r>
    </w:p>
    <w:p w14:paraId="0F97C7F7" w14:textId="77777777" w:rsidR="00CA4ABD" w:rsidRPr="002E27A1" w:rsidRDefault="00CA4ABD" w:rsidP="00CA4ABD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14:paraId="225746C9" w14:textId="77777777" w:rsidR="00445445" w:rsidRPr="002E27A1" w:rsidRDefault="00445445" w:rsidP="00CA4ABD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  <w:r w:rsidRPr="002E27A1">
        <w:rPr>
          <w:rFonts w:ascii="Century Gothic" w:hAnsi="Century Gothic"/>
          <w:b/>
          <w:sz w:val="21"/>
          <w:szCs w:val="21"/>
        </w:rPr>
        <w:t xml:space="preserve">Les organisations syndicales représentatives </w:t>
      </w:r>
    </w:p>
    <w:p w14:paraId="094364C4" w14:textId="77777777" w:rsidR="00445445" w:rsidRPr="002E27A1" w:rsidRDefault="00445445" w:rsidP="00CA4ABD">
      <w:pPr>
        <w:spacing w:after="0" w:line="240" w:lineRule="auto"/>
        <w:ind w:left="7788"/>
        <w:rPr>
          <w:rFonts w:ascii="Century Gothic" w:hAnsi="Century Gothic"/>
          <w:sz w:val="21"/>
          <w:szCs w:val="21"/>
        </w:rPr>
      </w:pPr>
      <w:r w:rsidRPr="002E27A1">
        <w:rPr>
          <w:rFonts w:ascii="Century Gothic" w:hAnsi="Century Gothic"/>
          <w:sz w:val="21"/>
          <w:szCs w:val="21"/>
        </w:rPr>
        <w:t>D’autre part</w:t>
      </w:r>
    </w:p>
    <w:p w14:paraId="2195863D" w14:textId="77777777" w:rsidR="00CA4ABD" w:rsidRPr="002E27A1" w:rsidRDefault="00CA4ABD" w:rsidP="00074833">
      <w:pPr>
        <w:jc w:val="both"/>
        <w:rPr>
          <w:rFonts w:ascii="Century Gothic" w:hAnsi="Century Gothic"/>
          <w:b/>
          <w:sz w:val="21"/>
          <w:szCs w:val="21"/>
        </w:rPr>
      </w:pPr>
    </w:p>
    <w:p w14:paraId="67D5584B" w14:textId="77777777" w:rsidR="00DB5673" w:rsidRPr="002E27A1" w:rsidRDefault="00DB5673" w:rsidP="00CA4ABD">
      <w:pPr>
        <w:spacing w:after="0" w:line="240" w:lineRule="auto"/>
        <w:jc w:val="both"/>
        <w:rPr>
          <w:rFonts w:ascii="Century Gothic" w:hAnsi="Century Gothic"/>
          <w:b/>
          <w:sz w:val="21"/>
          <w:szCs w:val="21"/>
        </w:rPr>
      </w:pPr>
      <w:r w:rsidRPr="002E27A1">
        <w:rPr>
          <w:rFonts w:ascii="Century Gothic" w:hAnsi="Century Gothic"/>
          <w:b/>
          <w:sz w:val="21"/>
          <w:szCs w:val="21"/>
        </w:rPr>
        <w:t>Préambule</w:t>
      </w:r>
    </w:p>
    <w:p w14:paraId="25430B58" w14:textId="77777777" w:rsidR="00CA4ABD" w:rsidRPr="002E27A1" w:rsidRDefault="00CA4ABD" w:rsidP="00CA4ABD">
      <w:pPr>
        <w:spacing w:after="0" w:line="240" w:lineRule="auto"/>
        <w:jc w:val="both"/>
        <w:rPr>
          <w:rFonts w:ascii="Century Gothic" w:hAnsi="Century Gothic"/>
          <w:b/>
          <w:sz w:val="21"/>
          <w:szCs w:val="21"/>
        </w:rPr>
      </w:pPr>
    </w:p>
    <w:p w14:paraId="0253967B" w14:textId="77777777" w:rsidR="00CF43FF" w:rsidRPr="002E27A1" w:rsidRDefault="00CF43FF" w:rsidP="00CF43FF">
      <w:pPr>
        <w:spacing w:after="0" w:line="240" w:lineRule="auto"/>
        <w:contextualSpacing/>
        <w:jc w:val="both"/>
        <w:rPr>
          <w:rFonts w:ascii="Century Gothic" w:hAnsi="Century Gothic"/>
          <w:sz w:val="21"/>
          <w:szCs w:val="21"/>
        </w:rPr>
      </w:pPr>
      <w:r w:rsidRPr="002E27A1">
        <w:rPr>
          <w:rFonts w:ascii="Century Gothic" w:hAnsi="Century Gothic"/>
          <w:sz w:val="21"/>
          <w:szCs w:val="21"/>
        </w:rPr>
        <w:t>Le Foyer Maison de Pénélope a été ouvert en 2015.</w:t>
      </w:r>
    </w:p>
    <w:p w14:paraId="2445AEF0" w14:textId="77777777" w:rsidR="00E347E2" w:rsidRPr="002E27A1" w:rsidRDefault="00445445" w:rsidP="00CA4ABD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E27A1">
        <w:rPr>
          <w:rFonts w:ascii="Century Gothic" w:hAnsi="Century Gothic"/>
          <w:sz w:val="21"/>
          <w:szCs w:val="21"/>
        </w:rPr>
        <w:t xml:space="preserve">Le présent accord a pour objectif </w:t>
      </w:r>
      <w:r w:rsidR="002D1D7E" w:rsidRPr="002E27A1">
        <w:rPr>
          <w:rFonts w:ascii="Century Gothic" w:hAnsi="Century Gothic"/>
          <w:sz w:val="21"/>
          <w:szCs w:val="21"/>
        </w:rPr>
        <w:t>de définir les modalités d’aménagement du temps de travail applicables dans cet établissement</w:t>
      </w:r>
      <w:r w:rsidR="00E347E2" w:rsidRPr="002E27A1">
        <w:rPr>
          <w:rFonts w:ascii="Century Gothic" w:hAnsi="Century Gothic"/>
          <w:sz w:val="21"/>
          <w:szCs w:val="21"/>
        </w:rPr>
        <w:t>.</w:t>
      </w:r>
    </w:p>
    <w:p w14:paraId="1816E931" w14:textId="77777777" w:rsidR="00CA4ABD" w:rsidRPr="002E27A1" w:rsidRDefault="00CA4ABD" w:rsidP="00CA4ABD">
      <w:pPr>
        <w:spacing w:after="0" w:line="240" w:lineRule="auto"/>
        <w:jc w:val="both"/>
        <w:rPr>
          <w:rFonts w:ascii="Century Gothic" w:hAnsi="Century Gothic"/>
          <w:color w:val="FF0000"/>
          <w:sz w:val="21"/>
          <w:szCs w:val="21"/>
        </w:rPr>
      </w:pPr>
    </w:p>
    <w:p w14:paraId="244E1FAF" w14:textId="79DA814C" w:rsidR="00277E46" w:rsidRPr="002E27A1" w:rsidRDefault="00277E46" w:rsidP="00CA4AB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color w:val="FF6600"/>
          <w:sz w:val="21"/>
          <w:szCs w:val="21"/>
        </w:rPr>
      </w:pPr>
      <w:r w:rsidRPr="002E27A1">
        <w:rPr>
          <w:rFonts w:ascii="Century Gothic" w:hAnsi="Century Gothic"/>
          <w:b/>
          <w:color w:val="FF6600"/>
          <w:sz w:val="21"/>
          <w:szCs w:val="21"/>
        </w:rPr>
        <w:t>Champ</w:t>
      </w:r>
      <w:r w:rsidR="00E347E2" w:rsidRPr="002E27A1">
        <w:rPr>
          <w:rFonts w:ascii="Century Gothic" w:hAnsi="Century Gothic"/>
          <w:b/>
          <w:color w:val="FF6600"/>
          <w:sz w:val="21"/>
          <w:szCs w:val="21"/>
        </w:rPr>
        <w:t xml:space="preserve"> </w:t>
      </w:r>
      <w:r w:rsidRPr="002E27A1">
        <w:rPr>
          <w:rFonts w:ascii="Century Gothic" w:hAnsi="Century Gothic"/>
          <w:b/>
          <w:color w:val="FF6600"/>
          <w:sz w:val="21"/>
          <w:szCs w:val="21"/>
        </w:rPr>
        <w:t xml:space="preserve">d’application </w:t>
      </w:r>
    </w:p>
    <w:p w14:paraId="41FCB572" w14:textId="77777777" w:rsidR="00CA4ABD" w:rsidRPr="002E27A1" w:rsidRDefault="00CA4ABD" w:rsidP="00CA4ABD">
      <w:pPr>
        <w:pStyle w:val="Paragraphedeliste"/>
        <w:spacing w:after="0" w:line="240" w:lineRule="auto"/>
        <w:jc w:val="both"/>
        <w:rPr>
          <w:rFonts w:ascii="Century Gothic" w:hAnsi="Century Gothic"/>
          <w:b/>
          <w:sz w:val="21"/>
          <w:szCs w:val="21"/>
        </w:rPr>
      </w:pPr>
    </w:p>
    <w:p w14:paraId="64224ED8" w14:textId="6CE85D9F" w:rsidR="00277E46" w:rsidRPr="002E27A1" w:rsidRDefault="00277E46" w:rsidP="00CA4ABD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E27A1">
        <w:rPr>
          <w:rFonts w:ascii="Century Gothic" w:hAnsi="Century Gothic"/>
          <w:sz w:val="21"/>
          <w:szCs w:val="21"/>
        </w:rPr>
        <w:t>Le présent accord s’applique à l’ensemble des</w:t>
      </w:r>
      <w:r w:rsidR="00B80222" w:rsidRPr="002E27A1">
        <w:rPr>
          <w:rFonts w:ascii="Century Gothic" w:hAnsi="Century Gothic"/>
          <w:sz w:val="21"/>
          <w:szCs w:val="21"/>
        </w:rPr>
        <w:t xml:space="preserve"> salariés du foyer </w:t>
      </w:r>
      <w:proofErr w:type="spellStart"/>
      <w:r w:rsidR="00D108A9" w:rsidRPr="002E27A1">
        <w:rPr>
          <w:rFonts w:ascii="Century Gothic" w:hAnsi="Century Gothic"/>
          <w:sz w:val="21"/>
          <w:szCs w:val="21"/>
        </w:rPr>
        <w:t>foyer</w:t>
      </w:r>
      <w:proofErr w:type="spellEnd"/>
      <w:r w:rsidR="00D108A9" w:rsidRPr="002E27A1">
        <w:rPr>
          <w:rFonts w:ascii="Century Gothic" w:hAnsi="Century Gothic"/>
          <w:sz w:val="21"/>
          <w:szCs w:val="21"/>
        </w:rPr>
        <w:t xml:space="preserve"> Maison de Pénélope</w:t>
      </w:r>
      <w:bookmarkStart w:id="0" w:name="_GoBack"/>
      <w:bookmarkEnd w:id="0"/>
      <w:r w:rsidRPr="002E27A1">
        <w:rPr>
          <w:rFonts w:ascii="Century Gothic" w:hAnsi="Century Gothic"/>
          <w:sz w:val="21"/>
          <w:szCs w:val="21"/>
        </w:rPr>
        <w:t>. Il concerne to</w:t>
      </w:r>
      <w:r w:rsidR="00B80222" w:rsidRPr="002E27A1">
        <w:rPr>
          <w:rFonts w:ascii="Century Gothic" w:hAnsi="Century Gothic"/>
          <w:sz w:val="21"/>
          <w:szCs w:val="21"/>
        </w:rPr>
        <w:t>us les salariés</w:t>
      </w:r>
      <w:r w:rsidRPr="002E27A1">
        <w:rPr>
          <w:rFonts w:ascii="Century Gothic" w:hAnsi="Century Gothic"/>
          <w:sz w:val="21"/>
          <w:szCs w:val="21"/>
        </w:rPr>
        <w:t xml:space="preserve">, qu’ils soient sous contrat de travail à durée indéterminée ou déterminée, peu importe leur statut et leur classification. </w:t>
      </w:r>
    </w:p>
    <w:p w14:paraId="16C9BC8B" w14:textId="77777777" w:rsidR="00CA4ABD" w:rsidRPr="002E27A1" w:rsidRDefault="00CA4ABD" w:rsidP="00CA4ABD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14:paraId="13379F3F" w14:textId="77777777" w:rsidR="001C644C" w:rsidRPr="002E27A1" w:rsidRDefault="00AF1CD9" w:rsidP="00DC2BD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color w:val="FF6600"/>
          <w:sz w:val="21"/>
          <w:szCs w:val="21"/>
        </w:rPr>
      </w:pPr>
      <w:r w:rsidRPr="002E27A1">
        <w:rPr>
          <w:rFonts w:ascii="Century Gothic" w:hAnsi="Century Gothic"/>
          <w:b/>
          <w:color w:val="FF6600"/>
          <w:sz w:val="21"/>
          <w:szCs w:val="21"/>
        </w:rPr>
        <w:t>Dispositions applicables</w:t>
      </w:r>
    </w:p>
    <w:p w14:paraId="5452EA13" w14:textId="77777777" w:rsidR="00CA4ABD" w:rsidRPr="002E27A1" w:rsidRDefault="00CA4ABD" w:rsidP="00CA4ABD">
      <w:pPr>
        <w:pStyle w:val="Paragraphedeliste"/>
        <w:spacing w:after="0" w:line="240" w:lineRule="auto"/>
        <w:jc w:val="both"/>
        <w:rPr>
          <w:rFonts w:ascii="Century Gothic" w:hAnsi="Century Gothic"/>
          <w:b/>
          <w:sz w:val="21"/>
          <w:szCs w:val="21"/>
        </w:rPr>
      </w:pPr>
    </w:p>
    <w:p w14:paraId="57E4E124" w14:textId="6B4FFFA1" w:rsidR="00AF1CD9" w:rsidRPr="002E27A1" w:rsidRDefault="00AF1CD9" w:rsidP="00DC2BDC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ascii="Century Gothic" w:hAnsi="Century Gothic"/>
          <w:b/>
          <w:color w:val="2E74B5" w:themeColor="accent1" w:themeShade="BF"/>
          <w:sz w:val="21"/>
          <w:szCs w:val="21"/>
        </w:rPr>
      </w:pPr>
      <w:r w:rsidRPr="002E27A1">
        <w:rPr>
          <w:rFonts w:ascii="Century Gothic" w:hAnsi="Century Gothic"/>
          <w:b/>
          <w:color w:val="2E74B5" w:themeColor="accent1" w:themeShade="BF"/>
          <w:sz w:val="21"/>
          <w:szCs w:val="21"/>
        </w:rPr>
        <w:t>Le personnel non cadre</w:t>
      </w:r>
    </w:p>
    <w:p w14:paraId="5E512D9E" w14:textId="77777777" w:rsidR="00DC2BDC" w:rsidRPr="002E27A1" w:rsidRDefault="00DC2BDC" w:rsidP="00DC2BDC">
      <w:pPr>
        <w:pStyle w:val="Paragraphedeliste"/>
        <w:spacing w:after="0" w:line="240" w:lineRule="auto"/>
        <w:ind w:left="420"/>
        <w:jc w:val="both"/>
        <w:rPr>
          <w:rFonts w:ascii="Century Gothic" w:hAnsi="Century Gothic"/>
          <w:b/>
          <w:color w:val="2E74B5" w:themeColor="accent1" w:themeShade="BF"/>
          <w:sz w:val="21"/>
          <w:szCs w:val="21"/>
        </w:rPr>
      </w:pPr>
    </w:p>
    <w:p w14:paraId="029E1732" w14:textId="77777777" w:rsidR="00AF1CD9" w:rsidRPr="002E27A1" w:rsidRDefault="00AF1CD9" w:rsidP="00CA4ABD">
      <w:pPr>
        <w:pStyle w:val="Listepuces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Century Gothic" w:hAnsi="Century Gothic"/>
          <w:sz w:val="21"/>
          <w:szCs w:val="21"/>
        </w:rPr>
      </w:pPr>
      <w:r w:rsidRPr="002E27A1">
        <w:rPr>
          <w:rFonts w:ascii="Century Gothic" w:hAnsi="Century Gothic"/>
          <w:sz w:val="21"/>
          <w:szCs w:val="21"/>
        </w:rPr>
        <w:t>La durée collective hebdomadaire du travail est de 35h.</w:t>
      </w:r>
    </w:p>
    <w:p w14:paraId="3AAD14D1" w14:textId="7F2D420E" w:rsidR="008F4CA7" w:rsidRPr="002E27A1" w:rsidRDefault="008F4CA7" w:rsidP="00CA4ABD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E27A1">
        <w:rPr>
          <w:rFonts w:ascii="Century Gothic" w:hAnsi="Century Gothic"/>
          <w:sz w:val="21"/>
          <w:szCs w:val="21"/>
        </w:rPr>
        <w:t>En application du chapitre 3 de l’accord de branche du 1</w:t>
      </w:r>
      <w:r w:rsidRPr="002E27A1">
        <w:rPr>
          <w:rFonts w:ascii="Century Gothic" w:hAnsi="Century Gothic"/>
          <w:sz w:val="21"/>
          <w:szCs w:val="21"/>
          <w:vertAlign w:val="superscript"/>
        </w:rPr>
        <w:t>er</w:t>
      </w:r>
      <w:r w:rsidRPr="002E27A1">
        <w:rPr>
          <w:rFonts w:ascii="Century Gothic" w:hAnsi="Century Gothic"/>
          <w:sz w:val="21"/>
          <w:szCs w:val="21"/>
        </w:rPr>
        <w:t xml:space="preserve"> avril 1999, le temps de travail </w:t>
      </w:r>
      <w:r w:rsidR="00D1337C" w:rsidRPr="002E27A1">
        <w:rPr>
          <w:rFonts w:ascii="Century Gothic" w:hAnsi="Century Gothic"/>
          <w:sz w:val="21"/>
          <w:szCs w:val="21"/>
        </w:rPr>
        <w:t xml:space="preserve">peut être </w:t>
      </w:r>
      <w:r w:rsidRPr="002E27A1">
        <w:rPr>
          <w:rFonts w:ascii="Century Gothic" w:hAnsi="Century Gothic"/>
          <w:sz w:val="21"/>
          <w:szCs w:val="21"/>
        </w:rPr>
        <w:t>organisé</w:t>
      </w:r>
      <w:r w:rsidR="00C8164B" w:rsidRPr="002E27A1">
        <w:rPr>
          <w:rFonts w:ascii="Century Gothic" w:hAnsi="Century Gothic"/>
          <w:sz w:val="21"/>
          <w:szCs w:val="21"/>
        </w:rPr>
        <w:t xml:space="preserve"> </w:t>
      </w:r>
      <w:r w:rsidRPr="002E27A1">
        <w:rPr>
          <w:rFonts w:ascii="Century Gothic" w:hAnsi="Century Gothic"/>
          <w:sz w:val="21"/>
          <w:szCs w:val="21"/>
        </w:rPr>
        <w:t xml:space="preserve">sur un cycle de </w:t>
      </w:r>
      <w:r w:rsidR="00E347E2" w:rsidRPr="002E27A1">
        <w:rPr>
          <w:rFonts w:ascii="Century Gothic" w:hAnsi="Century Gothic"/>
          <w:sz w:val="21"/>
          <w:szCs w:val="21"/>
        </w:rPr>
        <w:t>2 à 12</w:t>
      </w:r>
      <w:r w:rsidR="00675E17" w:rsidRPr="002E27A1">
        <w:rPr>
          <w:rFonts w:ascii="Century Gothic" w:hAnsi="Century Gothic"/>
          <w:sz w:val="21"/>
          <w:szCs w:val="21"/>
        </w:rPr>
        <w:t xml:space="preserve"> </w:t>
      </w:r>
      <w:r w:rsidRPr="002E27A1">
        <w:rPr>
          <w:rFonts w:ascii="Century Gothic" w:hAnsi="Century Gothic"/>
          <w:sz w:val="21"/>
          <w:szCs w:val="21"/>
        </w:rPr>
        <w:t>semaines.</w:t>
      </w:r>
      <w:r w:rsidR="002D1D7E" w:rsidRPr="002E27A1">
        <w:rPr>
          <w:rFonts w:ascii="Century Gothic" w:hAnsi="Century Gothic"/>
          <w:sz w:val="21"/>
          <w:szCs w:val="21"/>
        </w:rPr>
        <w:t xml:space="preserve"> </w:t>
      </w:r>
      <w:proofErr w:type="gramStart"/>
      <w:r w:rsidR="002D1D7E" w:rsidRPr="002E27A1">
        <w:rPr>
          <w:rFonts w:ascii="Century Gothic" w:hAnsi="Century Gothic"/>
          <w:sz w:val="21"/>
          <w:szCs w:val="21"/>
        </w:rPr>
        <w:t>Le</w:t>
      </w:r>
      <w:proofErr w:type="gramEnd"/>
      <w:r w:rsidR="002D1D7E" w:rsidRPr="002E27A1">
        <w:rPr>
          <w:rFonts w:ascii="Century Gothic" w:hAnsi="Century Gothic"/>
          <w:sz w:val="21"/>
          <w:szCs w:val="21"/>
        </w:rPr>
        <w:t xml:space="preserve"> CE et le CHSCT seront consultés sur la durée du cycle applicable à chacun des services.</w:t>
      </w:r>
    </w:p>
    <w:p w14:paraId="5E4F6796" w14:textId="77777777" w:rsidR="00AF1CD9" w:rsidRPr="002E27A1" w:rsidRDefault="00AF1CD9" w:rsidP="00CA4ABD">
      <w:pPr>
        <w:pStyle w:val="Listepuces"/>
        <w:numPr>
          <w:ilvl w:val="0"/>
          <w:numId w:val="0"/>
        </w:numPr>
        <w:spacing w:after="0" w:line="240" w:lineRule="auto"/>
        <w:ind w:left="360"/>
        <w:jc w:val="both"/>
        <w:rPr>
          <w:rFonts w:ascii="Century Gothic" w:hAnsi="Century Gothic"/>
          <w:sz w:val="21"/>
          <w:szCs w:val="21"/>
        </w:rPr>
      </w:pPr>
    </w:p>
    <w:p w14:paraId="2745DFFE" w14:textId="77777777" w:rsidR="00AF1CD9" w:rsidRPr="002E27A1" w:rsidRDefault="00AF1CD9" w:rsidP="00CA4ABD">
      <w:pPr>
        <w:spacing w:after="0" w:line="240" w:lineRule="auto"/>
        <w:jc w:val="both"/>
        <w:rPr>
          <w:rFonts w:ascii="Century Gothic" w:hAnsi="Century Gothic"/>
          <w:b/>
          <w:color w:val="2E74B5" w:themeColor="accent1" w:themeShade="BF"/>
          <w:sz w:val="21"/>
          <w:szCs w:val="21"/>
        </w:rPr>
      </w:pPr>
      <w:r w:rsidRPr="002E27A1">
        <w:rPr>
          <w:rFonts w:ascii="Century Gothic" w:hAnsi="Century Gothic"/>
          <w:b/>
          <w:color w:val="2E74B5" w:themeColor="accent1" w:themeShade="BF"/>
          <w:sz w:val="21"/>
          <w:szCs w:val="21"/>
        </w:rPr>
        <w:t>2.2.  Le personnel cadre</w:t>
      </w:r>
    </w:p>
    <w:p w14:paraId="3EAEDD27" w14:textId="77777777" w:rsidR="00AF1CD9" w:rsidRPr="002E27A1" w:rsidRDefault="00AF1CD9" w:rsidP="00CA4ABD">
      <w:pPr>
        <w:pStyle w:val="Listepuces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Century Gothic" w:hAnsi="Century Gothic"/>
          <w:b/>
          <w:sz w:val="21"/>
          <w:szCs w:val="21"/>
        </w:rPr>
      </w:pPr>
    </w:p>
    <w:p w14:paraId="5566FEC1" w14:textId="75777577" w:rsidR="00AF1CD9" w:rsidRPr="002E27A1" w:rsidRDefault="00AF1CD9" w:rsidP="00CA4ABD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E27A1">
        <w:rPr>
          <w:rFonts w:ascii="Century Gothic" w:hAnsi="Century Gothic"/>
          <w:sz w:val="21"/>
          <w:szCs w:val="21"/>
        </w:rPr>
        <w:t>Le personnel d’encadrement non soumis à horaires préalablement établis définis par l’employeur du fait de la nature de son emploi et de l’autonomie dont il dispose dans l’organisation de son temps de travail</w:t>
      </w:r>
      <w:r w:rsidR="00EB79AB" w:rsidRPr="002E27A1">
        <w:rPr>
          <w:rFonts w:ascii="Century Gothic" w:hAnsi="Century Gothic"/>
          <w:sz w:val="21"/>
          <w:szCs w:val="21"/>
        </w:rPr>
        <w:t>,</w:t>
      </w:r>
      <w:r w:rsidRPr="002E27A1">
        <w:rPr>
          <w:rFonts w:ascii="Century Gothic" w:hAnsi="Century Gothic"/>
          <w:sz w:val="21"/>
          <w:szCs w:val="21"/>
        </w:rPr>
        <w:t xml:space="preserve"> bénéficient de jours de réduction du temps de travail en application de l’article 13 de l’accord de branche du 1</w:t>
      </w:r>
      <w:r w:rsidRPr="002E27A1">
        <w:rPr>
          <w:rFonts w:ascii="Century Gothic" w:hAnsi="Century Gothic"/>
          <w:sz w:val="21"/>
          <w:szCs w:val="21"/>
          <w:vertAlign w:val="superscript"/>
        </w:rPr>
        <w:t>er</w:t>
      </w:r>
      <w:r w:rsidRPr="002E27A1">
        <w:rPr>
          <w:rFonts w:ascii="Century Gothic" w:hAnsi="Century Gothic"/>
          <w:sz w:val="21"/>
          <w:szCs w:val="21"/>
        </w:rPr>
        <w:t xml:space="preserve"> avril 1999. </w:t>
      </w:r>
    </w:p>
    <w:p w14:paraId="470E464B" w14:textId="77777777" w:rsidR="001B3FE9" w:rsidRPr="002E27A1" w:rsidRDefault="001B3FE9" w:rsidP="00CA4ABD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14:paraId="453EC9FA" w14:textId="74BF41E0" w:rsidR="006465AF" w:rsidRPr="002E27A1" w:rsidRDefault="00AF1CD9" w:rsidP="00CA4ABD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E27A1">
        <w:rPr>
          <w:rFonts w:ascii="Century Gothic" w:hAnsi="Century Gothic"/>
          <w:sz w:val="21"/>
          <w:szCs w:val="21"/>
        </w:rPr>
        <w:t>Les autres cadres sont soumis à l’horaire hebdomadaire de 35 heures</w:t>
      </w:r>
      <w:r w:rsidR="002D1D7E" w:rsidRPr="002E27A1">
        <w:rPr>
          <w:rFonts w:ascii="Century Gothic" w:hAnsi="Century Gothic"/>
          <w:sz w:val="21"/>
          <w:szCs w:val="21"/>
        </w:rPr>
        <w:t xml:space="preserve"> selon </w:t>
      </w:r>
      <w:r w:rsidR="00BD3381" w:rsidRPr="002E27A1">
        <w:rPr>
          <w:rFonts w:ascii="Century Gothic" w:hAnsi="Century Gothic"/>
          <w:sz w:val="21"/>
          <w:szCs w:val="21"/>
        </w:rPr>
        <w:t>les modalités définies ci-dessu</w:t>
      </w:r>
      <w:r w:rsidR="002D1D7E" w:rsidRPr="002E27A1">
        <w:rPr>
          <w:rFonts w:ascii="Century Gothic" w:hAnsi="Century Gothic"/>
          <w:sz w:val="21"/>
          <w:szCs w:val="21"/>
        </w:rPr>
        <w:t>s</w:t>
      </w:r>
      <w:r w:rsidRPr="002E27A1">
        <w:rPr>
          <w:rFonts w:ascii="Century Gothic" w:hAnsi="Century Gothic"/>
          <w:sz w:val="21"/>
          <w:szCs w:val="21"/>
        </w:rPr>
        <w:t xml:space="preserve">. </w:t>
      </w:r>
    </w:p>
    <w:p w14:paraId="7BCA27EC" w14:textId="77777777" w:rsidR="00CA4ABD" w:rsidRPr="002E27A1" w:rsidRDefault="00CA4ABD" w:rsidP="00CA4ABD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14:paraId="20D8047B" w14:textId="77777777" w:rsidR="00CA4ABD" w:rsidRPr="002E27A1" w:rsidRDefault="00CA4ABD" w:rsidP="00CA4ABD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  <w:sectPr w:rsidR="00CA4ABD" w:rsidRPr="002E27A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42E8E0" w14:textId="61C6C09C" w:rsidR="00CA4ABD" w:rsidRPr="002E27A1" w:rsidRDefault="00CA4ABD" w:rsidP="00CA4ABD">
      <w:pPr>
        <w:pStyle w:val="Listepuces"/>
        <w:numPr>
          <w:ilvl w:val="0"/>
          <w:numId w:val="0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14:paraId="14D75CDB" w14:textId="77777777" w:rsidR="006465AF" w:rsidRPr="002E27A1" w:rsidRDefault="006465AF" w:rsidP="00DC2BD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color w:val="FF6600"/>
          <w:sz w:val="21"/>
          <w:szCs w:val="21"/>
        </w:rPr>
      </w:pPr>
      <w:r w:rsidRPr="002E27A1">
        <w:rPr>
          <w:rFonts w:ascii="Century Gothic" w:hAnsi="Century Gothic"/>
          <w:b/>
          <w:color w:val="FF6600"/>
          <w:sz w:val="21"/>
          <w:szCs w:val="21"/>
        </w:rPr>
        <w:t>Dispositions finales</w:t>
      </w:r>
    </w:p>
    <w:p w14:paraId="156A7921" w14:textId="77777777" w:rsidR="00CA4ABD" w:rsidRPr="002E27A1" w:rsidRDefault="00CA4ABD" w:rsidP="00CA4ABD">
      <w:pPr>
        <w:pStyle w:val="Paragraphedeliste"/>
        <w:spacing w:after="0" w:line="240" w:lineRule="auto"/>
        <w:ind w:left="360"/>
        <w:jc w:val="both"/>
        <w:rPr>
          <w:rFonts w:ascii="Century Gothic" w:hAnsi="Century Gothic"/>
          <w:b/>
          <w:sz w:val="21"/>
          <w:szCs w:val="21"/>
        </w:rPr>
      </w:pPr>
    </w:p>
    <w:p w14:paraId="2511F9A7" w14:textId="7AC4C231" w:rsidR="00395A9E" w:rsidRPr="002E27A1" w:rsidRDefault="00074833" w:rsidP="00CA4ABD">
      <w:pPr>
        <w:spacing w:after="0" w:line="240" w:lineRule="auto"/>
        <w:jc w:val="both"/>
        <w:rPr>
          <w:rFonts w:ascii="Century Gothic" w:hAnsi="Century Gothic"/>
          <w:b/>
          <w:color w:val="2E74B5" w:themeColor="accent1" w:themeShade="BF"/>
          <w:sz w:val="21"/>
          <w:szCs w:val="21"/>
        </w:rPr>
      </w:pPr>
      <w:r w:rsidRPr="002E27A1">
        <w:rPr>
          <w:rFonts w:ascii="Century Gothic" w:hAnsi="Century Gothic"/>
          <w:b/>
          <w:color w:val="2E74B5" w:themeColor="accent1" w:themeShade="BF"/>
          <w:sz w:val="21"/>
          <w:szCs w:val="21"/>
        </w:rPr>
        <w:t>3</w:t>
      </w:r>
      <w:r w:rsidR="00AF1CD9" w:rsidRPr="002E27A1">
        <w:rPr>
          <w:rFonts w:ascii="Century Gothic" w:hAnsi="Century Gothic"/>
          <w:b/>
          <w:color w:val="2E74B5" w:themeColor="accent1" w:themeShade="BF"/>
          <w:sz w:val="21"/>
          <w:szCs w:val="21"/>
        </w:rPr>
        <w:t>.1</w:t>
      </w:r>
      <w:r w:rsidR="00395A9E" w:rsidRPr="002E27A1">
        <w:rPr>
          <w:rFonts w:ascii="Century Gothic" w:hAnsi="Century Gothic"/>
          <w:b/>
          <w:color w:val="2E74B5" w:themeColor="accent1" w:themeShade="BF"/>
          <w:sz w:val="21"/>
          <w:szCs w:val="21"/>
        </w:rPr>
        <w:t xml:space="preserve"> </w:t>
      </w:r>
      <w:r w:rsidR="006465AF" w:rsidRPr="002E27A1">
        <w:rPr>
          <w:rFonts w:ascii="Century Gothic" w:hAnsi="Century Gothic"/>
          <w:b/>
          <w:color w:val="2E74B5" w:themeColor="accent1" w:themeShade="BF"/>
          <w:sz w:val="21"/>
          <w:szCs w:val="21"/>
        </w:rPr>
        <w:t xml:space="preserve">Entrée en vigueur et durée de l’accord </w:t>
      </w:r>
    </w:p>
    <w:p w14:paraId="3DA34912" w14:textId="5257FA55" w:rsidR="001406C3" w:rsidRPr="002E27A1" w:rsidRDefault="006465AF" w:rsidP="00CA4ABD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E27A1">
        <w:rPr>
          <w:rFonts w:ascii="Century Gothic" w:hAnsi="Century Gothic"/>
          <w:sz w:val="21"/>
          <w:szCs w:val="21"/>
        </w:rPr>
        <w:t xml:space="preserve">Cet accord est conclu pour une durée de trois ans </w:t>
      </w:r>
      <w:r w:rsidR="00E347E2" w:rsidRPr="002E27A1">
        <w:rPr>
          <w:rFonts w:ascii="Century Gothic" w:hAnsi="Century Gothic"/>
          <w:sz w:val="21"/>
          <w:szCs w:val="21"/>
        </w:rPr>
        <w:t xml:space="preserve">à </w:t>
      </w:r>
      <w:r w:rsidR="002D1D7E" w:rsidRPr="002E27A1">
        <w:rPr>
          <w:rFonts w:ascii="Century Gothic" w:hAnsi="Century Gothic"/>
          <w:sz w:val="21"/>
          <w:szCs w:val="21"/>
        </w:rPr>
        <w:t xml:space="preserve">effet </w:t>
      </w:r>
      <w:r w:rsidRPr="002E27A1">
        <w:rPr>
          <w:rFonts w:ascii="Century Gothic" w:hAnsi="Century Gothic"/>
          <w:sz w:val="21"/>
          <w:szCs w:val="21"/>
        </w:rPr>
        <w:t xml:space="preserve">du </w:t>
      </w:r>
      <w:r w:rsidR="001406C3" w:rsidRPr="002E27A1">
        <w:rPr>
          <w:rFonts w:ascii="Century Gothic" w:hAnsi="Century Gothic"/>
          <w:sz w:val="21"/>
          <w:szCs w:val="21"/>
        </w:rPr>
        <w:t>1er octobre 2017.</w:t>
      </w:r>
    </w:p>
    <w:p w14:paraId="30B5AC26" w14:textId="77777777" w:rsidR="00CA4ABD" w:rsidRPr="002E27A1" w:rsidRDefault="00CA4ABD" w:rsidP="00CA4ABD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14:paraId="3C37035E" w14:textId="7C472832" w:rsidR="007D3F99" w:rsidRPr="002E27A1" w:rsidRDefault="00074833" w:rsidP="00CA4ABD">
      <w:pPr>
        <w:spacing w:after="0" w:line="240" w:lineRule="auto"/>
        <w:jc w:val="both"/>
        <w:rPr>
          <w:rFonts w:ascii="Century Gothic" w:hAnsi="Century Gothic"/>
          <w:b/>
          <w:color w:val="2E74B5" w:themeColor="accent1" w:themeShade="BF"/>
          <w:sz w:val="21"/>
          <w:szCs w:val="21"/>
        </w:rPr>
      </w:pPr>
      <w:r w:rsidRPr="002E27A1">
        <w:rPr>
          <w:rFonts w:ascii="Century Gothic" w:hAnsi="Century Gothic"/>
          <w:b/>
          <w:color w:val="2E74B5" w:themeColor="accent1" w:themeShade="BF"/>
          <w:sz w:val="21"/>
          <w:szCs w:val="21"/>
        </w:rPr>
        <w:t>3.2</w:t>
      </w:r>
      <w:r w:rsidR="007D3F99" w:rsidRPr="002E27A1">
        <w:rPr>
          <w:rFonts w:ascii="Century Gothic" w:hAnsi="Century Gothic"/>
          <w:b/>
          <w:color w:val="2E74B5" w:themeColor="accent1" w:themeShade="BF"/>
          <w:sz w:val="21"/>
          <w:szCs w:val="21"/>
        </w:rPr>
        <w:t xml:space="preserve"> Révision </w:t>
      </w:r>
    </w:p>
    <w:p w14:paraId="4499FA62" w14:textId="77777777" w:rsidR="00CA4ABD" w:rsidRPr="002E27A1" w:rsidRDefault="00CA4ABD" w:rsidP="00CA4ABD">
      <w:pPr>
        <w:spacing w:after="0" w:line="240" w:lineRule="auto"/>
        <w:jc w:val="both"/>
        <w:rPr>
          <w:rFonts w:ascii="Century Gothic" w:hAnsi="Century Gothic"/>
          <w:b/>
          <w:sz w:val="21"/>
          <w:szCs w:val="21"/>
        </w:rPr>
      </w:pPr>
    </w:p>
    <w:p w14:paraId="53E23A6C" w14:textId="6C2CB085" w:rsidR="00E347E2" w:rsidRPr="002E27A1" w:rsidRDefault="007D3F99" w:rsidP="00CA4ABD">
      <w:pPr>
        <w:spacing w:after="0" w:line="240" w:lineRule="auto"/>
        <w:jc w:val="both"/>
        <w:rPr>
          <w:rFonts w:ascii="Century Gothic" w:hAnsi="Century Gothic"/>
          <w:color w:val="FF0000"/>
          <w:sz w:val="21"/>
          <w:szCs w:val="21"/>
        </w:rPr>
      </w:pPr>
      <w:r w:rsidRPr="002E27A1">
        <w:rPr>
          <w:rFonts w:ascii="Century Gothic" w:hAnsi="Century Gothic"/>
          <w:sz w:val="21"/>
          <w:szCs w:val="21"/>
        </w:rPr>
        <w:t>Le présent accord est révisable totalement ou partiellement au gré des parties.</w:t>
      </w:r>
      <w:r w:rsidRPr="002E27A1">
        <w:rPr>
          <w:rFonts w:ascii="Century Gothic" w:hAnsi="Century Gothic"/>
          <w:color w:val="FF0000"/>
          <w:sz w:val="21"/>
          <w:szCs w:val="21"/>
        </w:rPr>
        <w:t xml:space="preserve"> </w:t>
      </w:r>
    </w:p>
    <w:p w14:paraId="62274D81" w14:textId="77777777" w:rsidR="00CA4ABD" w:rsidRPr="002E27A1" w:rsidRDefault="00CA4ABD" w:rsidP="00CA4ABD">
      <w:pPr>
        <w:spacing w:after="0" w:line="240" w:lineRule="auto"/>
        <w:jc w:val="both"/>
        <w:rPr>
          <w:rFonts w:ascii="Century Gothic" w:hAnsi="Century Gothic"/>
          <w:color w:val="FF0000"/>
          <w:sz w:val="21"/>
          <w:szCs w:val="21"/>
        </w:rPr>
      </w:pPr>
    </w:p>
    <w:p w14:paraId="13D5757C" w14:textId="71AEB331" w:rsidR="001406C3" w:rsidRPr="002E27A1" w:rsidRDefault="00074833" w:rsidP="00CA4ABD">
      <w:pPr>
        <w:spacing w:after="0" w:line="240" w:lineRule="auto"/>
        <w:jc w:val="both"/>
        <w:rPr>
          <w:rFonts w:ascii="Century Gothic" w:hAnsi="Century Gothic"/>
          <w:b/>
          <w:color w:val="2E74B5" w:themeColor="accent1" w:themeShade="BF"/>
          <w:sz w:val="21"/>
          <w:szCs w:val="21"/>
        </w:rPr>
      </w:pPr>
      <w:r w:rsidRPr="002E27A1">
        <w:rPr>
          <w:rFonts w:ascii="Century Gothic" w:hAnsi="Century Gothic"/>
          <w:b/>
          <w:color w:val="2E74B5" w:themeColor="accent1" w:themeShade="BF"/>
          <w:sz w:val="21"/>
          <w:szCs w:val="21"/>
        </w:rPr>
        <w:t>3.3</w:t>
      </w:r>
      <w:r w:rsidR="007D3F99" w:rsidRPr="002E27A1">
        <w:rPr>
          <w:rFonts w:ascii="Century Gothic" w:hAnsi="Century Gothic"/>
          <w:b/>
          <w:color w:val="2E74B5" w:themeColor="accent1" w:themeShade="BF"/>
          <w:sz w:val="21"/>
          <w:szCs w:val="21"/>
        </w:rPr>
        <w:t xml:space="preserve"> </w:t>
      </w:r>
      <w:r w:rsidR="006465AF" w:rsidRPr="002E27A1">
        <w:rPr>
          <w:rFonts w:ascii="Century Gothic" w:hAnsi="Century Gothic"/>
          <w:b/>
          <w:color w:val="2E74B5" w:themeColor="accent1" w:themeShade="BF"/>
          <w:sz w:val="21"/>
          <w:szCs w:val="21"/>
        </w:rPr>
        <w:t xml:space="preserve">Dépôt </w:t>
      </w:r>
    </w:p>
    <w:p w14:paraId="18D527C8" w14:textId="77777777" w:rsidR="00CA4ABD" w:rsidRPr="002E27A1" w:rsidRDefault="00CA4ABD" w:rsidP="00CA4ABD">
      <w:pPr>
        <w:spacing w:after="0" w:line="240" w:lineRule="auto"/>
        <w:jc w:val="both"/>
        <w:rPr>
          <w:rFonts w:ascii="Century Gothic" w:hAnsi="Century Gothic"/>
          <w:b/>
          <w:sz w:val="21"/>
          <w:szCs w:val="21"/>
        </w:rPr>
      </w:pPr>
    </w:p>
    <w:p w14:paraId="7F08C493" w14:textId="77777777" w:rsidR="006313CC" w:rsidRPr="002E27A1" w:rsidRDefault="006313CC" w:rsidP="00CA4ABD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E27A1">
        <w:rPr>
          <w:rFonts w:ascii="Century Gothic" w:hAnsi="Century Gothic"/>
          <w:sz w:val="21"/>
          <w:szCs w:val="21"/>
        </w:rPr>
        <w:t>Le présent accord sera notifié par la direction générale de l’Association à l’ensemble des organisations syndicales représentatives dans l’association. Il sera déposé auprès de la DIRECCTE Ile-de-France assorti de la liste des établissements et de leur adresse respective. Il sera déposé au greffe du conseil des Prud’hommes de Paris</w:t>
      </w:r>
      <w:r w:rsidR="00027F6F" w:rsidRPr="002E27A1">
        <w:rPr>
          <w:rFonts w:ascii="Century Gothic" w:hAnsi="Century Gothic"/>
          <w:sz w:val="21"/>
          <w:szCs w:val="21"/>
        </w:rPr>
        <w:t xml:space="preserve">. Il fera par ailleurs l’objet d’un affichage destiné à assurer l’information de l’ensemble du personnel. </w:t>
      </w:r>
    </w:p>
    <w:p w14:paraId="0E6A33E4" w14:textId="77777777" w:rsidR="00027F6F" w:rsidRPr="002E27A1" w:rsidRDefault="00027F6F" w:rsidP="00CA4ABD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14:paraId="1B55684E" w14:textId="7C0B20AE" w:rsidR="00027F6F" w:rsidRPr="002E27A1" w:rsidRDefault="00027F6F" w:rsidP="00CA4ABD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E27A1">
        <w:rPr>
          <w:rFonts w:ascii="Century Gothic" w:hAnsi="Century Gothic"/>
          <w:sz w:val="21"/>
          <w:szCs w:val="21"/>
        </w:rPr>
        <w:t xml:space="preserve">Fait à Paris, le </w:t>
      </w:r>
      <w:r w:rsidR="00FE230F" w:rsidRPr="002E27A1">
        <w:rPr>
          <w:rFonts w:ascii="Century Gothic" w:hAnsi="Century Gothic"/>
          <w:sz w:val="21"/>
          <w:szCs w:val="21"/>
        </w:rPr>
        <w:t>20 septembre 2017</w:t>
      </w:r>
    </w:p>
    <w:p w14:paraId="368F2DD6" w14:textId="77777777" w:rsidR="00027F6F" w:rsidRPr="002E27A1" w:rsidRDefault="00027F6F" w:rsidP="00CA4ABD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14:paraId="09555B26" w14:textId="77777777" w:rsidR="007A651C" w:rsidRPr="002E27A1" w:rsidRDefault="007A651C" w:rsidP="00CA4ABD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14:paraId="60560EAD" w14:textId="77777777" w:rsidR="00CA4ABD" w:rsidRPr="002E27A1" w:rsidRDefault="00CA4ABD" w:rsidP="00CA4ABD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E27A1">
        <w:rPr>
          <w:rFonts w:ascii="Century Gothic" w:hAnsi="Century Gothic"/>
          <w:sz w:val="21"/>
          <w:szCs w:val="21"/>
        </w:rPr>
        <w:t>Pour les organisations syndicales</w:t>
      </w:r>
    </w:p>
    <w:p w14:paraId="607DE5D4" w14:textId="77777777" w:rsidR="00CA4ABD" w:rsidRPr="002E27A1" w:rsidRDefault="00CA4ABD" w:rsidP="00CA4ABD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14:paraId="58E6CDD5" w14:textId="77777777" w:rsidR="00CA4ABD" w:rsidRPr="002E27A1" w:rsidRDefault="00CA4ABD" w:rsidP="00CA4ABD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tbl>
      <w:tblPr>
        <w:tblW w:w="9218" w:type="dxa"/>
        <w:tblLook w:val="04A0" w:firstRow="1" w:lastRow="0" w:firstColumn="1" w:lastColumn="0" w:noHBand="0" w:noVBand="1"/>
      </w:tblPr>
      <w:tblGrid>
        <w:gridCol w:w="2305"/>
        <w:gridCol w:w="2441"/>
        <w:gridCol w:w="4472"/>
      </w:tblGrid>
      <w:tr w:rsidR="00CA4ABD" w:rsidRPr="002E27A1" w14:paraId="74DC9272" w14:textId="77777777" w:rsidTr="002B3518">
        <w:trPr>
          <w:trHeight w:val="256"/>
        </w:trPr>
        <w:tc>
          <w:tcPr>
            <w:tcW w:w="2305" w:type="dxa"/>
            <w:shd w:val="clear" w:color="auto" w:fill="auto"/>
          </w:tcPr>
          <w:p w14:paraId="297339B9" w14:textId="77777777" w:rsidR="00CA4ABD" w:rsidRPr="002E27A1" w:rsidRDefault="00CA4ABD" w:rsidP="00CA4ABD">
            <w:pPr>
              <w:spacing w:after="0" w:line="24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2E27A1">
              <w:rPr>
                <w:rFonts w:ascii="Century Gothic" w:hAnsi="Century Gothic"/>
                <w:sz w:val="21"/>
                <w:szCs w:val="21"/>
              </w:rPr>
              <w:t>F.O. :</w:t>
            </w:r>
          </w:p>
        </w:tc>
        <w:tc>
          <w:tcPr>
            <w:tcW w:w="2441" w:type="dxa"/>
            <w:shd w:val="clear" w:color="auto" w:fill="auto"/>
          </w:tcPr>
          <w:p w14:paraId="447A43C6" w14:textId="6D579D11" w:rsidR="00CA4ABD" w:rsidRPr="002E27A1" w:rsidRDefault="002A41E8" w:rsidP="00CA4ABD">
            <w:pPr>
              <w:spacing w:after="0" w:line="24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Mme/ </w:t>
            </w:r>
            <w:r w:rsidR="00CA4ABD" w:rsidRPr="002E27A1">
              <w:rPr>
                <w:rFonts w:ascii="Century Gothic" w:hAnsi="Century Gothic"/>
                <w:sz w:val="21"/>
                <w:szCs w:val="21"/>
              </w:rPr>
              <w:t xml:space="preserve">M. </w:t>
            </w:r>
            <w:r>
              <w:rPr>
                <w:rFonts w:ascii="Century Gothic" w:hAnsi="Century Gothic"/>
                <w:sz w:val="21"/>
                <w:szCs w:val="21"/>
                <w:highlight w:val="lightGray"/>
              </w:rPr>
              <w:t>___________</w:t>
            </w:r>
          </w:p>
          <w:p w14:paraId="2186ED68" w14:textId="77777777" w:rsidR="00CA4ABD" w:rsidRPr="002E27A1" w:rsidRDefault="00CA4ABD" w:rsidP="00CA4ABD">
            <w:pPr>
              <w:spacing w:after="0" w:line="24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04E6687" w14:textId="77777777" w:rsidR="00CA4ABD" w:rsidRPr="002E27A1" w:rsidRDefault="00CA4ABD" w:rsidP="00CA4ABD">
            <w:pPr>
              <w:spacing w:after="0" w:line="24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AC02846" w14:textId="77777777" w:rsidR="00CA4ABD" w:rsidRPr="002E27A1" w:rsidRDefault="00CA4ABD" w:rsidP="00CA4ABD">
            <w:pPr>
              <w:spacing w:after="0" w:line="24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472" w:type="dxa"/>
            <w:shd w:val="clear" w:color="auto" w:fill="auto"/>
          </w:tcPr>
          <w:p w14:paraId="68D60076" w14:textId="77777777" w:rsidR="00CA4ABD" w:rsidRPr="002E27A1" w:rsidRDefault="00CA4ABD" w:rsidP="00DC2BDC">
            <w:pPr>
              <w:spacing w:after="0" w:line="240" w:lineRule="auto"/>
              <w:ind w:left="641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2E27A1">
              <w:rPr>
                <w:rFonts w:ascii="Century Gothic" w:hAnsi="Century Gothic"/>
                <w:sz w:val="21"/>
                <w:szCs w:val="21"/>
              </w:rPr>
              <w:t>Pour l’association</w:t>
            </w:r>
          </w:p>
        </w:tc>
      </w:tr>
      <w:tr w:rsidR="00CA4ABD" w:rsidRPr="002E27A1" w14:paraId="51B8437E" w14:textId="77777777" w:rsidTr="002B3518">
        <w:trPr>
          <w:trHeight w:val="256"/>
        </w:trPr>
        <w:tc>
          <w:tcPr>
            <w:tcW w:w="2305" w:type="dxa"/>
            <w:shd w:val="clear" w:color="auto" w:fill="auto"/>
          </w:tcPr>
          <w:p w14:paraId="4CEB089D" w14:textId="77777777" w:rsidR="00CA4ABD" w:rsidRPr="002E27A1" w:rsidRDefault="00CA4ABD" w:rsidP="00CA4ABD">
            <w:pPr>
              <w:spacing w:after="0" w:line="24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2E27A1">
              <w:rPr>
                <w:rFonts w:ascii="Century Gothic" w:hAnsi="Century Gothic"/>
                <w:sz w:val="21"/>
                <w:szCs w:val="21"/>
              </w:rPr>
              <w:t xml:space="preserve">C.G.T : </w:t>
            </w:r>
          </w:p>
          <w:p w14:paraId="6FB649C5" w14:textId="77777777" w:rsidR="00CA4ABD" w:rsidRPr="002E27A1" w:rsidRDefault="00CA4ABD" w:rsidP="00CA4ABD">
            <w:pPr>
              <w:spacing w:after="0" w:line="24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3F39097F" w14:textId="77777777" w:rsidR="00CA4ABD" w:rsidRPr="002E27A1" w:rsidRDefault="00CA4ABD" w:rsidP="00CA4ABD">
            <w:pPr>
              <w:spacing w:after="0" w:line="24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441" w:type="dxa"/>
            <w:shd w:val="clear" w:color="auto" w:fill="auto"/>
          </w:tcPr>
          <w:p w14:paraId="689BAECF" w14:textId="77777777" w:rsidR="002A41E8" w:rsidRPr="002E27A1" w:rsidRDefault="002A41E8" w:rsidP="002A41E8">
            <w:pPr>
              <w:spacing w:after="0" w:line="24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Mme/ </w:t>
            </w:r>
            <w:r w:rsidRPr="002E27A1">
              <w:rPr>
                <w:rFonts w:ascii="Century Gothic" w:hAnsi="Century Gothic"/>
                <w:sz w:val="21"/>
                <w:szCs w:val="21"/>
              </w:rPr>
              <w:t xml:space="preserve">M. </w:t>
            </w:r>
            <w:r>
              <w:rPr>
                <w:rFonts w:ascii="Century Gothic" w:hAnsi="Century Gothic"/>
                <w:sz w:val="21"/>
                <w:szCs w:val="21"/>
                <w:highlight w:val="lightGray"/>
              </w:rPr>
              <w:t>___________</w:t>
            </w:r>
          </w:p>
          <w:p w14:paraId="0A2E1B97" w14:textId="3EDD0909" w:rsidR="00CA4ABD" w:rsidRPr="002E27A1" w:rsidRDefault="00CA4ABD" w:rsidP="00CA4ABD">
            <w:pPr>
              <w:spacing w:after="0" w:line="24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5E52A27" w14:textId="77777777" w:rsidR="00CA4ABD" w:rsidRPr="002E27A1" w:rsidRDefault="00CA4ABD" w:rsidP="00CA4ABD">
            <w:pPr>
              <w:spacing w:after="0" w:line="24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38ED9C8" w14:textId="77777777" w:rsidR="00CA4ABD" w:rsidRPr="002E27A1" w:rsidRDefault="00CA4ABD" w:rsidP="00CA4ABD">
            <w:pPr>
              <w:spacing w:after="0" w:line="24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472" w:type="dxa"/>
            <w:shd w:val="clear" w:color="auto" w:fill="auto"/>
          </w:tcPr>
          <w:p w14:paraId="7A45AFA9" w14:textId="7B37487B" w:rsidR="00CA4ABD" w:rsidRPr="002E27A1" w:rsidRDefault="00DC2BDC" w:rsidP="002A41E8">
            <w:pPr>
              <w:spacing w:after="0" w:line="240" w:lineRule="auto"/>
              <w:ind w:left="641"/>
              <w:rPr>
                <w:rFonts w:ascii="Century Gothic" w:hAnsi="Century Gothic"/>
                <w:sz w:val="21"/>
                <w:szCs w:val="21"/>
              </w:rPr>
            </w:pPr>
            <w:r w:rsidRPr="002E27A1">
              <w:rPr>
                <w:rFonts w:ascii="Century Gothic" w:hAnsi="Century Gothic"/>
                <w:sz w:val="21"/>
                <w:szCs w:val="21"/>
              </w:rPr>
              <w:t>Le D</w:t>
            </w:r>
            <w:r w:rsidR="00CA4ABD" w:rsidRPr="002E27A1">
              <w:rPr>
                <w:rFonts w:ascii="Century Gothic" w:hAnsi="Century Gothic"/>
                <w:sz w:val="21"/>
                <w:szCs w:val="21"/>
              </w:rPr>
              <w:t>irecteur général</w:t>
            </w:r>
            <w:r w:rsidRPr="002E27A1">
              <w:rPr>
                <w:rFonts w:ascii="Century Gothic" w:hAnsi="Century Gothic"/>
                <w:sz w:val="21"/>
                <w:szCs w:val="21"/>
              </w:rPr>
              <w:t xml:space="preserve"> de l’association</w:t>
            </w:r>
          </w:p>
          <w:p w14:paraId="5E70D6B6" w14:textId="77777777" w:rsidR="00CA4ABD" w:rsidRPr="002E27A1" w:rsidRDefault="00CA4ABD" w:rsidP="00DC2BDC">
            <w:pPr>
              <w:spacing w:after="0" w:line="240" w:lineRule="auto"/>
              <w:ind w:left="641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9E9E8BF" w14:textId="77777777" w:rsidR="00CA4ABD" w:rsidRPr="002E27A1" w:rsidRDefault="00CA4ABD" w:rsidP="00DC2BDC">
            <w:pPr>
              <w:spacing w:after="0" w:line="240" w:lineRule="auto"/>
              <w:ind w:left="641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0D92BF0E" w14:textId="77777777" w:rsidR="00CA4ABD" w:rsidRPr="002E27A1" w:rsidRDefault="00CA4ABD" w:rsidP="00DC2BDC">
            <w:pPr>
              <w:spacing w:after="0" w:line="240" w:lineRule="auto"/>
              <w:ind w:left="641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A4ABD" w:rsidRPr="002E27A1" w14:paraId="0FF5DB6B" w14:textId="77777777" w:rsidTr="002B3518">
        <w:trPr>
          <w:trHeight w:val="256"/>
        </w:trPr>
        <w:tc>
          <w:tcPr>
            <w:tcW w:w="2305" w:type="dxa"/>
            <w:shd w:val="clear" w:color="auto" w:fill="auto"/>
          </w:tcPr>
          <w:p w14:paraId="25021696" w14:textId="77777777" w:rsidR="00CA4ABD" w:rsidRPr="002E27A1" w:rsidRDefault="00CA4ABD" w:rsidP="00CA4ABD">
            <w:pPr>
              <w:spacing w:after="0" w:line="24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2E27A1">
              <w:rPr>
                <w:rFonts w:ascii="Century Gothic" w:hAnsi="Century Gothic"/>
                <w:sz w:val="21"/>
                <w:szCs w:val="21"/>
              </w:rPr>
              <w:t xml:space="preserve">Sud Santé sociaux : </w:t>
            </w:r>
          </w:p>
        </w:tc>
        <w:tc>
          <w:tcPr>
            <w:tcW w:w="2441" w:type="dxa"/>
            <w:shd w:val="clear" w:color="auto" w:fill="auto"/>
          </w:tcPr>
          <w:p w14:paraId="5C293BDA" w14:textId="5B07EDCA" w:rsidR="00CA4ABD" w:rsidRPr="002E27A1" w:rsidRDefault="002A41E8" w:rsidP="00CA4ABD">
            <w:pPr>
              <w:spacing w:after="0" w:line="24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Mme/ </w:t>
            </w:r>
            <w:r w:rsidRPr="002E27A1">
              <w:rPr>
                <w:rFonts w:ascii="Century Gothic" w:hAnsi="Century Gothic"/>
                <w:sz w:val="21"/>
                <w:szCs w:val="21"/>
              </w:rPr>
              <w:t xml:space="preserve">M. </w:t>
            </w:r>
            <w:r>
              <w:rPr>
                <w:rFonts w:ascii="Century Gothic" w:hAnsi="Century Gothic"/>
                <w:sz w:val="21"/>
                <w:szCs w:val="21"/>
                <w:highlight w:val="lightGray"/>
              </w:rPr>
              <w:t>___________</w:t>
            </w:r>
          </w:p>
        </w:tc>
        <w:tc>
          <w:tcPr>
            <w:tcW w:w="4472" w:type="dxa"/>
            <w:shd w:val="clear" w:color="auto" w:fill="auto"/>
          </w:tcPr>
          <w:p w14:paraId="34E9FF59" w14:textId="087A1E23" w:rsidR="00CA4ABD" w:rsidRPr="002E27A1" w:rsidRDefault="002A41E8" w:rsidP="00DC2BDC">
            <w:pPr>
              <w:spacing w:after="0" w:line="240" w:lineRule="auto"/>
              <w:ind w:left="641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2A41E8">
              <w:rPr>
                <w:rFonts w:ascii="Century Gothic" w:hAnsi="Century Gothic"/>
                <w:sz w:val="21"/>
                <w:szCs w:val="21"/>
                <w:highlight w:val="lightGray"/>
              </w:rPr>
              <w:t>____________________</w:t>
            </w:r>
          </w:p>
        </w:tc>
      </w:tr>
    </w:tbl>
    <w:p w14:paraId="2A966BF7" w14:textId="77777777" w:rsidR="007A651C" w:rsidRPr="002E27A1" w:rsidRDefault="007A651C" w:rsidP="00CA4ABD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14:paraId="67B8AE2E" w14:textId="77777777" w:rsidR="007D3F99" w:rsidRPr="002E27A1" w:rsidRDefault="007D3F99" w:rsidP="001406C3">
      <w:pPr>
        <w:jc w:val="both"/>
        <w:rPr>
          <w:rFonts w:ascii="Century Gothic" w:hAnsi="Century Gothic"/>
          <w:sz w:val="21"/>
          <w:szCs w:val="21"/>
        </w:rPr>
      </w:pPr>
    </w:p>
    <w:p w14:paraId="32FF178B" w14:textId="77777777" w:rsidR="00277E46" w:rsidRPr="00CA4ABD" w:rsidRDefault="00277E46" w:rsidP="00277E46">
      <w:pPr>
        <w:jc w:val="both"/>
        <w:rPr>
          <w:rFonts w:ascii="Century Gothic" w:hAnsi="Century Gothic"/>
          <w:sz w:val="20"/>
        </w:rPr>
      </w:pPr>
    </w:p>
    <w:sectPr w:rsidR="00277E46" w:rsidRPr="00CA4A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93743" w14:textId="77777777" w:rsidR="00F9705F" w:rsidRDefault="00F9705F" w:rsidP="00035F14">
      <w:pPr>
        <w:spacing w:after="0" w:line="240" w:lineRule="auto"/>
      </w:pPr>
      <w:r>
        <w:separator/>
      </w:r>
    </w:p>
  </w:endnote>
  <w:endnote w:type="continuationSeparator" w:id="0">
    <w:p w14:paraId="11D2F68A" w14:textId="77777777" w:rsidR="00F9705F" w:rsidRDefault="00F9705F" w:rsidP="0003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8CF7" w14:textId="77777777" w:rsidR="00CA4ABD" w:rsidRPr="00CA4ABD" w:rsidRDefault="00CA4ABD" w:rsidP="00CA4ABD">
    <w:pPr>
      <w:pStyle w:val="Pieddepage"/>
      <w:jc w:val="center"/>
      <w:rPr>
        <w:rFonts w:ascii="Century Gothic" w:hAnsi="Century Gothic"/>
        <w:sz w:val="16"/>
      </w:rPr>
    </w:pPr>
    <w:r w:rsidRPr="00CA4ABD">
      <w:rPr>
        <w:rFonts w:ascii="Century Gothic" w:hAnsi="Century Gothic"/>
        <w:sz w:val="16"/>
      </w:rPr>
      <w:t xml:space="preserve">20, rue </w:t>
    </w:r>
    <w:proofErr w:type="spellStart"/>
    <w:r w:rsidRPr="00CA4ABD">
      <w:rPr>
        <w:rFonts w:ascii="Century Gothic" w:hAnsi="Century Gothic"/>
        <w:sz w:val="16"/>
      </w:rPr>
      <w:t>Ribéra</w:t>
    </w:r>
    <w:proofErr w:type="spellEnd"/>
    <w:r w:rsidRPr="00CA4ABD">
      <w:rPr>
        <w:rFonts w:ascii="Century Gothic" w:hAnsi="Century Gothic"/>
        <w:sz w:val="16"/>
      </w:rPr>
      <w:t xml:space="preserve">  75016 PARIS - Tél 01 42 24 91 79 - Fax 01 45 24 62 78 - </w:t>
    </w:r>
    <w:hyperlink r:id="rId1" w:history="1">
      <w:r w:rsidRPr="00CA4ABD">
        <w:rPr>
          <w:rStyle w:val="Lienhypertexte"/>
          <w:rFonts w:ascii="Century Gothic" w:hAnsi="Century Gothic"/>
          <w:sz w:val="16"/>
        </w:rPr>
        <w:t>ljh@lesjoursheureux.asso.fr</w:t>
      </w:r>
    </w:hyperlink>
  </w:p>
  <w:p w14:paraId="4D02CC60" w14:textId="5724A459" w:rsidR="00CA4ABD" w:rsidRPr="00CA4ABD" w:rsidRDefault="00CA4ABD" w:rsidP="00CA4ABD">
    <w:pPr>
      <w:pStyle w:val="Pieddepage"/>
      <w:jc w:val="center"/>
      <w:rPr>
        <w:rFonts w:ascii="Century Gothic" w:hAnsi="Century Gothic"/>
        <w:sz w:val="16"/>
      </w:rPr>
    </w:pPr>
    <w:r w:rsidRPr="00CA4ABD">
      <w:rPr>
        <w:rFonts w:ascii="Century Gothic" w:hAnsi="Century Gothic"/>
        <w:smallCaps/>
        <w:sz w:val="20"/>
      </w:rPr>
      <w:t>Association reconnue d’utilité publique</w:t>
    </w:r>
    <w:r w:rsidRPr="00CA4ABD">
      <w:rPr>
        <w:rFonts w:ascii="Century Gothic" w:hAnsi="Century Gothic"/>
        <w:sz w:val="20"/>
      </w:rPr>
      <w:t xml:space="preserve"> </w:t>
    </w:r>
    <w:r w:rsidRPr="00CA4ABD">
      <w:rPr>
        <w:rFonts w:ascii="Century Gothic" w:hAnsi="Century Gothic"/>
        <w:sz w:val="16"/>
      </w:rPr>
      <w:t xml:space="preserve">– </w:t>
    </w:r>
    <w:hyperlink r:id="rId2" w:history="1">
      <w:r w:rsidRPr="00CA4ABD">
        <w:rPr>
          <w:rStyle w:val="Lienhypertexte"/>
          <w:rFonts w:ascii="Century Gothic" w:hAnsi="Century Gothic"/>
          <w:sz w:val="16"/>
        </w:rPr>
        <w:t>www.lesjoursheureux.asso.fr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177B8" w14:textId="7C4AB278" w:rsidR="00CF43FF" w:rsidRPr="00CA4ABD" w:rsidRDefault="00CF43FF" w:rsidP="00CA4ABD">
    <w:pPr>
      <w:pStyle w:val="Pieddepage"/>
      <w:jc w:val="center"/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EEAE3" w14:textId="77777777" w:rsidR="00F9705F" w:rsidRDefault="00F9705F" w:rsidP="00035F14">
      <w:pPr>
        <w:spacing w:after="0" w:line="240" w:lineRule="auto"/>
      </w:pPr>
      <w:r>
        <w:separator/>
      </w:r>
    </w:p>
  </w:footnote>
  <w:footnote w:type="continuationSeparator" w:id="0">
    <w:p w14:paraId="235A9B8B" w14:textId="77777777" w:rsidR="00F9705F" w:rsidRDefault="00F9705F" w:rsidP="0003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67EEC" w14:textId="2D95CD82" w:rsidR="002A41E8" w:rsidRDefault="00CF43FF">
    <w:pPr>
      <w:pStyle w:val="En-tte"/>
      <w:rPr>
        <w:noProof/>
        <w:lang w:eastAsia="fr-FR"/>
      </w:rPr>
    </w:pPr>
    <w:r>
      <w:rPr>
        <w:noProof/>
        <w:lang w:eastAsia="fr-FR"/>
      </w:rPr>
      <w:drawing>
        <wp:inline distT="0" distB="0" distL="0" distR="0" wp14:anchorId="744D95AF" wp14:editId="29A9C965">
          <wp:extent cx="934720" cy="93921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295" cy="94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4BAE7" w14:textId="7853F2B6" w:rsidR="00CA4ABD" w:rsidRDefault="00CA4A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681F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DA797F"/>
    <w:multiLevelType w:val="multilevel"/>
    <w:tmpl w:val="CF84A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D527ED"/>
    <w:multiLevelType w:val="hybridMultilevel"/>
    <w:tmpl w:val="FABE01C2"/>
    <w:lvl w:ilvl="0" w:tplc="57DC2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1043"/>
    <w:multiLevelType w:val="hybridMultilevel"/>
    <w:tmpl w:val="A5647B40"/>
    <w:lvl w:ilvl="0" w:tplc="C7E8C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2956CB"/>
    <w:multiLevelType w:val="hybridMultilevel"/>
    <w:tmpl w:val="E2068074"/>
    <w:lvl w:ilvl="0" w:tplc="C3761D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1162C"/>
    <w:multiLevelType w:val="multilevel"/>
    <w:tmpl w:val="EE1A1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CB27A0F"/>
    <w:multiLevelType w:val="hybridMultilevel"/>
    <w:tmpl w:val="A61AB6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73"/>
    <w:rsid w:val="00027F6F"/>
    <w:rsid w:val="00035F14"/>
    <w:rsid w:val="00074833"/>
    <w:rsid w:val="000A23D9"/>
    <w:rsid w:val="001406C3"/>
    <w:rsid w:val="001B2602"/>
    <w:rsid w:val="001B3FE9"/>
    <w:rsid w:val="001C644C"/>
    <w:rsid w:val="001D619B"/>
    <w:rsid w:val="00246B02"/>
    <w:rsid w:val="00277E46"/>
    <w:rsid w:val="002A41E8"/>
    <w:rsid w:val="002A52F8"/>
    <w:rsid w:val="002C5AB4"/>
    <w:rsid w:val="002D1D7E"/>
    <w:rsid w:val="002E27A1"/>
    <w:rsid w:val="003141F6"/>
    <w:rsid w:val="00320F38"/>
    <w:rsid w:val="00370663"/>
    <w:rsid w:val="00395A9E"/>
    <w:rsid w:val="0043145B"/>
    <w:rsid w:val="00445445"/>
    <w:rsid w:val="004E5748"/>
    <w:rsid w:val="005635A8"/>
    <w:rsid w:val="00575176"/>
    <w:rsid w:val="006313CC"/>
    <w:rsid w:val="006465AF"/>
    <w:rsid w:val="00675E17"/>
    <w:rsid w:val="006F1AF1"/>
    <w:rsid w:val="007A651C"/>
    <w:rsid w:val="007D3F99"/>
    <w:rsid w:val="008320C5"/>
    <w:rsid w:val="008435F6"/>
    <w:rsid w:val="00892FB2"/>
    <w:rsid w:val="008E3EB4"/>
    <w:rsid w:val="008E466C"/>
    <w:rsid w:val="008E7DB7"/>
    <w:rsid w:val="008F4CA7"/>
    <w:rsid w:val="0098623A"/>
    <w:rsid w:val="009C577A"/>
    <w:rsid w:val="009F5ED2"/>
    <w:rsid w:val="00A05D4C"/>
    <w:rsid w:val="00A56596"/>
    <w:rsid w:val="00AF1CD9"/>
    <w:rsid w:val="00B80222"/>
    <w:rsid w:val="00BD3381"/>
    <w:rsid w:val="00C57587"/>
    <w:rsid w:val="00C71530"/>
    <w:rsid w:val="00C71BA8"/>
    <w:rsid w:val="00C8164B"/>
    <w:rsid w:val="00CA4ABD"/>
    <w:rsid w:val="00CD09C5"/>
    <w:rsid w:val="00CD649C"/>
    <w:rsid w:val="00CE16E7"/>
    <w:rsid w:val="00CF2EFE"/>
    <w:rsid w:val="00CF43FF"/>
    <w:rsid w:val="00D108A9"/>
    <w:rsid w:val="00D11174"/>
    <w:rsid w:val="00D1337C"/>
    <w:rsid w:val="00D211E3"/>
    <w:rsid w:val="00DB5673"/>
    <w:rsid w:val="00DB6A3A"/>
    <w:rsid w:val="00DC2BDC"/>
    <w:rsid w:val="00DD31A2"/>
    <w:rsid w:val="00DE2338"/>
    <w:rsid w:val="00E17241"/>
    <w:rsid w:val="00E21EA9"/>
    <w:rsid w:val="00E347E2"/>
    <w:rsid w:val="00E35AAA"/>
    <w:rsid w:val="00E610F7"/>
    <w:rsid w:val="00E6463E"/>
    <w:rsid w:val="00EB79AB"/>
    <w:rsid w:val="00EC7095"/>
    <w:rsid w:val="00ED047B"/>
    <w:rsid w:val="00F8176D"/>
    <w:rsid w:val="00F9705F"/>
    <w:rsid w:val="00FA1195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B5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7E4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AF1CD9"/>
    <w:pPr>
      <w:numPr>
        <w:numId w:val="6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D61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61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61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1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1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19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3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F14"/>
  </w:style>
  <w:style w:type="paragraph" w:styleId="Pieddepage">
    <w:name w:val="footer"/>
    <w:basedOn w:val="Normal"/>
    <w:link w:val="PieddepageCar"/>
    <w:unhideWhenUsed/>
    <w:rsid w:val="0003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35F14"/>
  </w:style>
  <w:style w:type="character" w:styleId="Lienhypertexte">
    <w:name w:val="Hyperlink"/>
    <w:rsid w:val="00CA4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7E4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AF1CD9"/>
    <w:pPr>
      <w:numPr>
        <w:numId w:val="6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D61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61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61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1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1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19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3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F14"/>
  </w:style>
  <w:style w:type="paragraph" w:styleId="Pieddepage">
    <w:name w:val="footer"/>
    <w:basedOn w:val="Normal"/>
    <w:link w:val="PieddepageCar"/>
    <w:unhideWhenUsed/>
    <w:rsid w:val="0003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35F14"/>
  </w:style>
  <w:style w:type="character" w:styleId="Lienhypertexte">
    <w:name w:val="Hyperlink"/>
    <w:rsid w:val="00CA4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sjoursheureux.asso.fr" TargetMode="External"/><Relationship Id="rId1" Type="http://schemas.openxmlformats.org/officeDocument/2006/relationships/hyperlink" Target="mailto:ljh@lesjoursheureux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8D4C-FAF6-4C3A-B619-E7BD7797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2017-08-21T08:02:00Z</cp:lastPrinted>
  <dcterms:created xsi:type="dcterms:W3CDTF">2017-07-07T13:42:00Z</dcterms:created>
  <dcterms:modified xsi:type="dcterms:W3CDTF">2017-10-17T12:51:00Z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12399489</vt:lpwstr>
  </property>
  <property fmtid="{D5CDD505-2E9C-101B-9397-08002B2CF9AE}" pid="3" name="adxRibbonCheckBoxElectionsVisible">
    <vt:lpwstr>N</vt:lpwstr>
  </property>
  <property fmtid="{D5CDD505-2E9C-101B-9397-08002B2CF9AE}" pid="4" name="FROMMODELE">
    <vt:lpwstr>N</vt:lpwstr>
  </property>
  <property fmtid="{D5CDD505-2E9C-101B-9397-08002B2CF9AE}" pid="5" name="FROMBIBLE">
    <vt:lpwstr>N</vt:lpwstr>
  </property>
  <property fmtid="{D5CDD505-2E9C-101B-9397-08002B2CF9AE}" pid="6" name="FROMDOCUMENT">
    <vt:lpwstr>O</vt:lpwstr>
  </property>
  <property fmtid="{D5CDD505-2E9C-101B-9397-08002B2CF9AE}" pid="7" name="adxRibbonMenuTrames">
    <vt:lpwstr>O</vt:lpwstr>
  </property>
  <property fmtid="{D5CDD505-2E9C-101B-9397-08002B2CF9AE}" pid="8" name="adxRibbonButtonInsertSignatures">
    <vt:lpwstr>O</vt:lpwstr>
  </property>
  <property fmtid="{D5CDD505-2E9C-101B-9397-08002B2CF9AE}" pid="9" name="adxRibbonCheckBoxLegifrance">
    <vt:lpwstr>O</vt:lpwstr>
  </property>
  <property fmtid="{D5CDD505-2E9C-101B-9397-08002B2CF9AE}" pid="10" name="adxRibbonCheckBoxLegifranceVisible">
    <vt:lpwstr>O</vt:lpwstr>
  </property>
  <property fmtid="{D5CDD505-2E9C-101B-9397-08002B2CF9AE}" pid="11" name="adxRibbonCheckBoxBibleJudiciaire">
    <vt:lpwstr>N</vt:lpwstr>
  </property>
  <property fmtid="{D5CDD505-2E9C-101B-9397-08002B2CF9AE}" pid="12" name="adxRibbonCheckBoxBibleJudiciaireVisible">
    <vt:lpwstr>N</vt:lpwstr>
  </property>
  <property fmtid="{D5CDD505-2E9C-101B-9397-08002B2CF9AE}" pid="13" name="adxRibbonButtonSaveIrys">
    <vt:lpwstr>O</vt:lpwstr>
  </property>
  <property fmtid="{D5CDD505-2E9C-101B-9397-08002B2CF9AE}" pid="14" name="adxRibbonButtonChemin">
    <vt:lpwstr>N</vt:lpwstr>
  </property>
</Properties>
</file>