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Gothic" w:hAnsi="Century Gothic" w:cs="Century Gothic"/>
          <w:sz w:val="18"/>
          <w:szCs w:val="18"/>
        </w:rPr>
      </w:pPr>
      <w:r>
        <w:rPr>
          <w:rFonts w:cs="Century Gothic" w:ascii="Century Gothic" w:hAnsi="Century Gothic"/>
          <w:sz w:val="18"/>
          <w:szCs w:val="18"/>
        </w:rPr>
        <w:t xml:space="preserve">Ref : </w:t>
      </w:r>
    </w:p>
    <w:p>
      <w:pPr>
        <w:pStyle w:val="Normal"/>
        <w:rPr>
          <w:rFonts w:ascii="Century Gothic" w:hAnsi="Century Gothic" w:cs="Century Gothic"/>
          <w:sz w:val="18"/>
          <w:szCs w:val="18"/>
        </w:rPr>
      </w:pPr>
      <w:r>
        <w:rPr>
          <w:rFonts w:cs="Century Gothic" w:ascii="Century Gothic" w:hAnsi="Century Gothic"/>
          <w:sz w:val="18"/>
          <w:szCs w:val="18"/>
        </w:rPr>
      </w:r>
    </w:p>
    <w:p>
      <w:pPr>
        <w:pStyle w:val="Normal"/>
        <w:rPr>
          <w:rFonts w:ascii="Century Gothic" w:hAnsi="Century Gothic" w:cs="Century Gothic"/>
          <w:sz w:val="6"/>
        </w:rPr>
      </w:pPr>
      <w:r>
        <w:rPr>
          <w:rFonts w:cs="Century Gothic" w:ascii="Century Gothic" w:hAnsi="Century Gothic"/>
          <w:sz w:val="6"/>
        </w:rPr>
      </w:r>
    </w:p>
    <w:p>
      <w:pPr>
        <w:pStyle w:val="Normal"/>
        <w:jc w:val="center"/>
        <w:rPr>
          <w:rFonts w:ascii="Century Gothic" w:hAnsi="Century Gothic" w:eastAsia="Calibri" w:cs="Century Gothic"/>
          <w:b/>
          <w:b/>
          <w:color w:val="FF6600"/>
          <w:sz w:val="32"/>
          <w:szCs w:val="32"/>
          <w:lang w:eastAsia="en-US"/>
        </w:rPr>
      </w:pPr>
      <w:r>
        <w:rPr>
          <w:rFonts w:eastAsia="Calibri" w:cs="Century Gothic" w:ascii="Century Gothic" w:hAnsi="Century Gothic"/>
          <w:b/>
          <w:color w:val="FF6600"/>
          <w:sz w:val="32"/>
          <w:szCs w:val="32"/>
          <w:lang w:eastAsia="en-US"/>
        </w:rPr>
        <w:t>ACCORD D’ENTREPRISE RELATIF AU MAINTIEN DE L’ANCIENNETE DURANT UN CONGE PARENTAL D’EDUCATION</w:t>
      </w:r>
    </w:p>
    <w:p>
      <w:pPr>
        <w:pStyle w:val="Normal"/>
        <w:jc w:val="both"/>
        <w:rPr>
          <w:rFonts w:ascii="Century Gothic" w:hAnsi="Century Gothic" w:eastAsia="Calibri" w:cs="Aharoni;Segoe UI Semibold"/>
          <w:b/>
          <w:b/>
          <w:color w:val="FF6600"/>
          <w:sz w:val="32"/>
          <w:szCs w:val="32"/>
          <w:lang w:eastAsia="en-US"/>
        </w:rPr>
      </w:pPr>
      <w:r>
        <w:rPr>
          <w:rFonts w:eastAsia="Calibri" w:cs="Aharoni;Segoe UI Semibold" w:ascii="Century Gothic" w:hAnsi="Century Gothic"/>
          <w:b/>
          <w:color w:val="FF6600"/>
          <w:sz w:val="32"/>
          <w:szCs w:val="32"/>
          <w:lang w:eastAsia="en-US"/>
        </w:rPr>
      </w:r>
    </w:p>
    <w:p>
      <w:pPr>
        <w:pStyle w:val="Normal"/>
        <w:jc w:val="both"/>
        <w:rPr>
          <w:rFonts w:ascii="Century Gothic" w:hAnsi="Century Gothic" w:cs="Aharoni;Segoe UI Semibold"/>
          <w:b/>
          <w:b/>
          <w:sz w:val="21"/>
          <w:szCs w:val="21"/>
        </w:rPr>
      </w:pPr>
      <w:r>
        <w:rPr>
          <w:rFonts w:cs="Aharoni;Segoe UI Semibold" w:ascii="Century Gothic" w:hAnsi="Century Gothic"/>
          <w:b/>
          <w:sz w:val="21"/>
          <w:szCs w:val="21"/>
        </w:rPr>
        <w:t>Préambule</w:t>
      </w:r>
    </w:p>
    <w:p>
      <w:pPr>
        <w:pStyle w:val="Normal"/>
        <w:jc w:val="both"/>
        <w:rPr>
          <w:rFonts w:ascii="Century Gothic" w:hAnsi="Century Gothic" w:cs="Century Gothic"/>
          <w:b/>
          <w:b/>
          <w:sz w:val="21"/>
          <w:szCs w:val="21"/>
        </w:rPr>
      </w:pPr>
      <w:r>
        <w:rPr>
          <w:rFonts w:cs="Century Gothic" w:ascii="Century Gothic" w:hAnsi="Century Gothic"/>
          <w:b/>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À la suite d’une naissance ou de l’adoption d’un enfant de moins de 16 ans, tout(e) salarié(e) peut bénéficier d’un congé parental d’éducation lui permettant d’interrompre ou de réduire son activité professionnelle pour élever cet enfant.</w:t>
      </w:r>
    </w:p>
    <w:p>
      <w:pPr>
        <w:pStyle w:val="Normal"/>
        <w:jc w:val="both"/>
        <w:rPr>
          <w:rFonts w:ascii="Century Gothic" w:hAnsi="Century Gothic" w:cs="Century Gothic"/>
          <w:sz w:val="21"/>
          <w:szCs w:val="21"/>
        </w:rPr>
      </w:pPr>
      <w:r>
        <w:rPr>
          <w:rFonts w:cs="Century Gothic" w:ascii="Century Gothic" w:hAnsi="Century Gothic"/>
          <w:sz w:val="21"/>
          <w:szCs w:val="21"/>
        </w:rPr>
        <w:t>Pour avoir droit à ce congé, l’intéressé(e) doit avoir un an d’ancienneté au minimum dans l’entreprise à la date de la naissance ou de l’arrivée au foyer de l’enfant adopté.</w:t>
      </w:r>
    </w:p>
    <w:p>
      <w:pPr>
        <w:pStyle w:val="Normal"/>
        <w:spacing w:before="0" w:after="120"/>
        <w:jc w:val="both"/>
        <w:rPr/>
      </w:pPr>
      <w:r>
        <w:rPr>
          <w:rFonts w:cs="Century Gothic" w:ascii="Century Gothic" w:hAnsi="Century Gothic"/>
          <w:sz w:val="21"/>
          <w:szCs w:val="21"/>
        </w:rPr>
        <w:t>Le congé parental d’éducation n’est pas rémunéré mais le salarié peut utiliser les droits acquis sur son </w:t>
      </w:r>
      <w:hyperlink r:id="rId2">
        <w:r>
          <w:rPr>
            <w:rStyle w:val="InternetLink"/>
            <w:rFonts w:cs="Century Gothic" w:ascii="Century Gothic" w:hAnsi="Century Gothic"/>
            <w:sz w:val="21"/>
            <w:szCs w:val="21"/>
          </w:rPr>
          <w:t>compte épargne temps</w:t>
        </w:r>
      </w:hyperlink>
      <w:r>
        <w:rPr>
          <w:rFonts w:cs="Century Gothic" w:ascii="Century Gothic" w:hAnsi="Century Gothic"/>
          <w:sz w:val="21"/>
          <w:szCs w:val="21"/>
        </w:rPr>
        <w:t> pour le « financer ».</w:t>
      </w:r>
    </w:p>
    <w:p>
      <w:pPr>
        <w:pStyle w:val="Normal"/>
        <w:spacing w:before="0" w:after="120"/>
        <w:jc w:val="both"/>
        <w:rPr>
          <w:rFonts w:ascii="Century Gothic" w:hAnsi="Century Gothic" w:cs="Century Gothic"/>
          <w:sz w:val="21"/>
          <w:szCs w:val="21"/>
        </w:rPr>
      </w:pPr>
      <w:r>
        <w:rPr>
          <w:rFonts w:cs="Century Gothic" w:ascii="Century Gothic" w:hAnsi="Century Gothic"/>
          <w:sz w:val="21"/>
          <w:szCs w:val="21"/>
        </w:rPr>
        <w:t>Pour calculer l'ancienneté du salarié, la durée du congé est prise en compte pour moitié.</w:t>
      </w:r>
    </w:p>
    <w:p>
      <w:pPr>
        <w:pStyle w:val="Normal"/>
        <w:spacing w:before="0" w:after="120"/>
        <w:jc w:val="both"/>
        <w:rPr>
          <w:rFonts w:ascii="Century Gothic" w:hAnsi="Century Gothic" w:cs="Century Gothic"/>
          <w:sz w:val="21"/>
          <w:szCs w:val="21"/>
        </w:rPr>
      </w:pPr>
      <w:r>
        <w:rPr>
          <w:rFonts w:cs="Century Gothic" w:ascii="Century Gothic" w:hAnsi="Century Gothic"/>
          <w:sz w:val="21"/>
          <w:szCs w:val="21"/>
        </w:rPr>
        <w:t>Au sein de l’association Les Jours Heureux, 100 % des congés parentaux d’éducation ont été pris par des femmes en 2014, 2015 et 2016. Ils ont concerné au total 50 femmes sur ces 3 années pour un total de 7110 jours.</w:t>
      </w:r>
    </w:p>
    <w:p>
      <w:pPr>
        <w:pStyle w:val="NormalWeb"/>
        <w:shd w:fill="FFFFFF" w:val="clear"/>
        <w:spacing w:before="0" w:after="0"/>
        <w:jc w:val="both"/>
        <w:rPr>
          <w:rFonts w:ascii="Century Gothic" w:hAnsi="Century Gothic" w:eastAsia="Times New Roman" w:cs="Century Gothic"/>
          <w:sz w:val="21"/>
          <w:szCs w:val="21"/>
        </w:rPr>
      </w:pPr>
      <w:r>
        <w:rPr>
          <w:rFonts w:eastAsia="Times New Roman" w:cs="Century Gothic" w:ascii="Century Gothic" w:hAnsi="Century Gothic"/>
          <w:sz w:val="21"/>
          <w:szCs w:val="21"/>
        </w:rPr>
        <w:t>Le présent accord s’inscrit dans une volonté de poursuivre les engagements pris lors de la signature de l’accord d’entreprise relatif à l’égalité entre les femmes et les hommes du 31 décembre 2010.</w:t>
      </w:r>
    </w:p>
    <w:p>
      <w:pPr>
        <w:pStyle w:val="Normal"/>
        <w:jc w:val="both"/>
        <w:rPr>
          <w:rFonts w:ascii="Century Gothic" w:hAnsi="Century Gothic" w:eastAsia="Times New Roman" w:cs="Century Gothic"/>
          <w:sz w:val="18"/>
          <w:szCs w:val="21"/>
        </w:rPr>
      </w:pPr>
      <w:r>
        <w:rPr>
          <w:rFonts w:eastAsia="Times New Roman" w:cs="Century Gothic" w:ascii="Century Gothic" w:hAnsi="Century Gothic"/>
          <w:sz w:val="18"/>
          <w:szCs w:val="21"/>
        </w:rPr>
      </w:r>
    </w:p>
    <w:p>
      <w:pPr>
        <w:pStyle w:val="Paragraphedeliste"/>
        <w:numPr>
          <w:ilvl w:val="0"/>
          <w:numId w:val="3"/>
        </w:numPr>
        <w:tabs>
          <w:tab w:val="left" w:pos="284" w:leader="none"/>
        </w:tabs>
        <w:spacing w:lineRule="auto" w:line="240" w:before="0" w:after="0"/>
        <w:ind w:left="426" w:hanging="360"/>
        <w:contextualSpacing/>
        <w:jc w:val="both"/>
        <w:rPr>
          <w:rFonts w:ascii="Century Gothic" w:hAnsi="Century Gothic" w:cs="Century Gothic"/>
          <w:b/>
          <w:b/>
          <w:color w:val="FF6600"/>
          <w:sz w:val="21"/>
          <w:szCs w:val="21"/>
        </w:rPr>
      </w:pPr>
      <w:r>
        <w:rPr>
          <w:rFonts w:cs="Century Gothic" w:ascii="Century Gothic" w:hAnsi="Century Gothic"/>
          <w:b/>
          <w:color w:val="FF6600"/>
          <w:sz w:val="21"/>
          <w:szCs w:val="21"/>
        </w:rPr>
        <w:t xml:space="preserve">Champs d’application </w:t>
      </w:r>
    </w:p>
    <w:p>
      <w:pPr>
        <w:pStyle w:val="Paragraphedeliste"/>
        <w:spacing w:before="0" w:after="0"/>
        <w:contextualSpacing/>
        <w:jc w:val="both"/>
        <w:rPr>
          <w:rFonts w:ascii="Century Gothic" w:hAnsi="Century Gothic" w:cs="Century Gothic"/>
          <w:b/>
          <w:b/>
          <w:color w:val="FF6600"/>
          <w:sz w:val="14"/>
          <w:szCs w:val="21"/>
        </w:rPr>
      </w:pPr>
      <w:r>
        <w:rPr>
          <w:rFonts w:cs="Century Gothic" w:ascii="Century Gothic" w:hAnsi="Century Gothic"/>
          <w:b/>
          <w:color w:val="FF6600"/>
          <w:sz w:val="14"/>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Le présent accord s’applique à l’ensemble des établissements de l’association Les Jours Heureux. Il concerne tous les salariés de l’association, qu’ils soient sous contrat de travail à durée indéterminée ou déterminée, peu importe leur statut et leur classification. </w:t>
      </w:r>
    </w:p>
    <w:p>
      <w:pPr>
        <w:pStyle w:val="Normal"/>
        <w:jc w:val="both"/>
        <w:rPr>
          <w:rFonts w:ascii="Century Gothic" w:hAnsi="Century Gothic" w:cs="Century Gothic"/>
          <w:sz w:val="16"/>
          <w:szCs w:val="21"/>
        </w:rPr>
      </w:pPr>
      <w:r>
        <w:rPr>
          <w:rFonts w:cs="Century Gothic" w:ascii="Century Gothic" w:hAnsi="Century Gothic"/>
          <w:sz w:val="16"/>
          <w:szCs w:val="21"/>
        </w:rPr>
      </w:r>
    </w:p>
    <w:p>
      <w:pPr>
        <w:pStyle w:val="Paragraphedeliste"/>
        <w:numPr>
          <w:ilvl w:val="0"/>
          <w:numId w:val="3"/>
        </w:numPr>
        <w:tabs>
          <w:tab w:val="left" w:pos="284" w:leader="none"/>
        </w:tabs>
        <w:spacing w:lineRule="auto" w:line="240" w:before="0" w:after="0"/>
        <w:ind w:left="426" w:hanging="360"/>
        <w:contextualSpacing/>
        <w:jc w:val="both"/>
        <w:rPr/>
      </w:pPr>
      <w:r>
        <w:rPr>
          <w:rFonts w:cs="Century Gothic" w:ascii="Century Gothic" w:hAnsi="Century Gothic"/>
          <w:b/>
          <w:color w:val="FF6600"/>
          <w:sz w:val="21"/>
          <w:szCs w:val="21"/>
        </w:rPr>
        <w:t>Le cadre légal</w:t>
      </w:r>
    </w:p>
    <w:p>
      <w:pPr>
        <w:pStyle w:val="Normal"/>
        <w:ind w:left="426" w:hanging="0"/>
        <w:jc w:val="both"/>
        <w:rPr>
          <w:rFonts w:ascii="Century Gothic" w:hAnsi="Century Gothic" w:cs="Century Gothic"/>
          <w:b/>
          <w:b/>
          <w:color w:val="FF6600"/>
          <w:sz w:val="14"/>
          <w:szCs w:val="21"/>
        </w:rPr>
      </w:pPr>
      <w:r>
        <w:rPr>
          <w:rFonts w:cs="Century Gothic" w:ascii="Century Gothic" w:hAnsi="Century Gothic"/>
          <w:b/>
          <w:color w:val="FF6600"/>
          <w:sz w:val="14"/>
          <w:szCs w:val="21"/>
        </w:rPr>
      </w:r>
    </w:p>
    <w:p>
      <w:pPr>
        <w:pStyle w:val="Normal"/>
        <w:shd w:fill="FFFFFF" w:val="clear"/>
        <w:rPr>
          <w:rFonts w:ascii="Century Gothic" w:hAnsi="Century Gothic" w:cs="Century Gothic"/>
          <w:sz w:val="21"/>
          <w:szCs w:val="21"/>
        </w:rPr>
      </w:pPr>
      <w:r>
        <w:rPr>
          <w:rFonts w:cs="Century Gothic" w:ascii="Century Gothic" w:hAnsi="Century Gothic"/>
          <w:sz w:val="21"/>
          <w:szCs w:val="21"/>
        </w:rPr>
        <w:t>Deux modalités de congé parental existent :</w:t>
      </w:r>
    </w:p>
    <w:p>
      <w:pPr>
        <w:pStyle w:val="Normal"/>
        <w:numPr>
          <w:ilvl w:val="0"/>
          <w:numId w:val="2"/>
        </w:numPr>
        <w:shd w:fill="FFFFFF" w:val="clear"/>
        <w:rPr>
          <w:rFonts w:ascii="Century Gothic" w:hAnsi="Century Gothic" w:cs="Century Gothic"/>
          <w:sz w:val="21"/>
          <w:szCs w:val="21"/>
        </w:rPr>
      </w:pPr>
      <w:r>
        <w:rPr>
          <w:rFonts w:cs="Century Gothic" w:ascii="Century Gothic" w:hAnsi="Century Gothic"/>
          <w:sz w:val="21"/>
          <w:szCs w:val="21"/>
        </w:rPr>
        <w:t>le congé total, durant lequel le contrat de travail est suspendu ;</w:t>
      </w:r>
    </w:p>
    <w:p>
      <w:pPr>
        <w:pStyle w:val="Normal"/>
        <w:numPr>
          <w:ilvl w:val="0"/>
          <w:numId w:val="2"/>
        </w:numPr>
        <w:shd w:fill="FFFFFF" w:val="clear"/>
        <w:rPr>
          <w:rFonts w:ascii="Century Gothic" w:hAnsi="Century Gothic" w:cs="Century Gothic"/>
          <w:sz w:val="21"/>
          <w:szCs w:val="21"/>
        </w:rPr>
      </w:pPr>
      <w:r>
        <w:rPr>
          <w:rFonts w:cs="Century Gothic" w:ascii="Century Gothic" w:hAnsi="Century Gothic"/>
          <w:sz w:val="21"/>
          <w:szCs w:val="21"/>
        </w:rPr>
        <w:t>le travail à temps partiel : la durée doit être d’au moins 16 heures par semaine. Le (la) salarié(e) peut choisir la durée du travail qui lui convient ; en revanche, la répartition des horaires doit être fixée en accord avec l’employeur (à défaut d’accord, cette répartition relève du pouvoir de direction de l’employeur).</w:t>
      </w:r>
    </w:p>
    <w:p>
      <w:pPr>
        <w:pStyle w:val="Normal"/>
        <w:shd w:fill="FFFFFF" w:val="clear"/>
        <w:ind w:left="714" w:hanging="0"/>
        <w:rPr>
          <w:rFonts w:ascii="Century Gothic" w:hAnsi="Century Gothic" w:cs="Century Gothic"/>
          <w:sz w:val="14"/>
          <w:szCs w:val="21"/>
        </w:rPr>
      </w:pPr>
      <w:r>
        <w:rPr>
          <w:rFonts w:cs="Century Gothic" w:ascii="Century Gothic" w:hAnsi="Century Gothic"/>
          <w:sz w:val="14"/>
          <w:szCs w:val="21"/>
        </w:rPr>
      </w:r>
    </w:p>
    <w:p>
      <w:pPr>
        <w:pStyle w:val="Normal"/>
        <w:jc w:val="both"/>
        <w:rPr>
          <w:rFonts w:ascii="Century Gothic" w:hAnsi="Century Gothic" w:cs="Century Gothic"/>
          <w:sz w:val="21"/>
          <w:szCs w:val="21"/>
        </w:rPr>
      </w:pPr>
      <w:r>
        <w:rPr>
          <w:rFonts w:cs="Century Gothic" w:ascii="Century Gothic" w:hAnsi="Century Gothic"/>
          <w:sz w:val="21"/>
          <w:szCs w:val="21"/>
        </w:rPr>
        <w:t>Le congé parental a une durée initiale d’un an au maximum. Il peut être prolongé 2 fois, sans toutefois excéder la date du troisième anniversaire de l’enfant.</w:t>
      </w:r>
    </w:p>
    <w:p>
      <w:pPr>
        <w:pStyle w:val="Normal"/>
        <w:jc w:val="both"/>
        <w:rPr>
          <w:rFonts w:ascii="Century Gothic" w:hAnsi="Century Gothic" w:cs="Century Gothic"/>
          <w:sz w:val="21"/>
          <w:szCs w:val="21"/>
        </w:rPr>
      </w:pPr>
      <w:r>
        <w:rPr>
          <w:rFonts w:cs="Century Gothic" w:ascii="Century Gothic" w:hAnsi="Century Gothic"/>
          <w:sz w:val="21"/>
          <w:szCs w:val="21"/>
        </w:rPr>
        <w:t>En cas de naissances multiples, le congé parental d’éducation peut être prolongé jusqu’à l’entrée à l’école maternelle des enfants. Pour les naissances multiples d’au moins trois enfants ou les arrivées simultanées d’au moins trois enfants adoptés ou confiés en vue d’adoption, il peut être prolongé cinq fois pour prendre fin au plus tard au sixième anniversaire des enfants (cette disposition, issue de la loi du 4 août 2014 citée en référence, s’applique aux enfants nés ou adoptés à partir du 1er octobre 2014).</w:t>
      </w:r>
    </w:p>
    <w:p>
      <w:pPr>
        <w:pStyle w:val="Normal"/>
        <w:jc w:val="right"/>
        <w:rPr>
          <w:rFonts w:ascii="Century Gothic" w:hAnsi="Century Gothic" w:cs="Century Gothic"/>
          <w:sz w:val="21"/>
          <w:szCs w:val="21"/>
        </w:rPr>
      </w:pPr>
      <w:r>
        <w:rPr>
          <w:rFonts w:cs="Century Gothic" w:ascii="Century Gothic" w:hAnsi="Century Gothic"/>
          <w:sz w:val="21"/>
          <w:szCs w:val="21"/>
        </w:rPr>
      </w:r>
    </w:p>
    <w:p>
      <w:pPr>
        <w:pStyle w:val="Normal"/>
        <w:jc w:val="right"/>
        <w:rPr>
          <w:rFonts w:ascii="Century Gothic" w:hAnsi="Century Gothic" w:cs="Century Gothic"/>
          <w:sz w:val="21"/>
          <w:szCs w:val="21"/>
        </w:rPr>
      </w:pPr>
      <w:r>
        <w:rPr>
          <w:rFonts w:eastAsia="Century Gothic" w:cs="Century Gothic" w:ascii="Century Gothic" w:hAnsi="Century Gothic"/>
          <w:sz w:val="21"/>
          <w:szCs w:val="21"/>
        </w:rPr>
        <w:t>…</w:t>
      </w:r>
      <w:r>
        <w:rPr>
          <w:rFonts w:cs="Century Gothic" w:ascii="Century Gothic" w:hAnsi="Century Gothic"/>
          <w:sz w:val="21"/>
          <w:szCs w:val="21"/>
        </w:rPr>
        <w:t>./…</w:t>
      </w:r>
    </w:p>
    <w:p>
      <w:pPr>
        <w:sectPr>
          <w:headerReference w:type="default" r:id="rId3"/>
          <w:headerReference w:type="first" r:id="rId4"/>
          <w:footerReference w:type="default" r:id="rId5"/>
          <w:footerReference w:type="first" r:id="rId6"/>
          <w:type w:val="nextPage"/>
          <w:pgSz w:w="11906" w:h="16838"/>
          <w:pgMar w:left="1418" w:right="1418" w:header="284" w:top="1134" w:footer="567" w:bottom="1418" w:gutter="0"/>
          <w:pgNumType w:fmt="decimal"/>
          <w:formProt w:val="false"/>
          <w:titlePg/>
          <w:textDirection w:val="lrTb"/>
          <w:docGrid w:type="default" w:linePitch="272" w:charSpace="0"/>
        </w:sect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En cas d’adoption, le congé ne peut dépasser :</w:t>
      </w:r>
    </w:p>
    <w:p>
      <w:pPr>
        <w:pStyle w:val="Normal"/>
        <w:numPr>
          <w:ilvl w:val="0"/>
          <w:numId w:val="4"/>
        </w:numPr>
        <w:jc w:val="both"/>
        <w:rPr>
          <w:rFonts w:ascii="Century Gothic" w:hAnsi="Century Gothic" w:cs="Century Gothic"/>
          <w:sz w:val="21"/>
          <w:szCs w:val="21"/>
        </w:rPr>
      </w:pPr>
      <w:r>
        <w:rPr>
          <w:rFonts w:cs="Century Gothic" w:ascii="Century Gothic" w:hAnsi="Century Gothic"/>
          <w:sz w:val="21"/>
          <w:szCs w:val="21"/>
        </w:rPr>
        <w:t>une durée de 3 ans, si l’enfant était âgé de moins de 3 ans à son arrivée au foyer ;</w:t>
      </w:r>
    </w:p>
    <w:p>
      <w:pPr>
        <w:pStyle w:val="Normal"/>
        <w:numPr>
          <w:ilvl w:val="0"/>
          <w:numId w:val="4"/>
        </w:numPr>
        <w:jc w:val="both"/>
        <w:rPr>
          <w:rFonts w:ascii="Century Gothic" w:hAnsi="Century Gothic" w:cs="Century Gothic"/>
          <w:sz w:val="21"/>
          <w:szCs w:val="21"/>
        </w:rPr>
      </w:pPr>
      <w:r>
        <w:rPr>
          <w:rFonts w:cs="Century Gothic" w:ascii="Century Gothic" w:hAnsi="Century Gothic"/>
          <w:sz w:val="21"/>
          <w:szCs w:val="21"/>
        </w:rPr>
        <w:t>une durée d’un an, si l’enfant était âgé de plus de 3 ans et n’a pas encore atteint l’âge de 16 ans révolus.</w:t>
      </w:r>
    </w:p>
    <w:p>
      <w:pPr>
        <w:pStyle w:val="Normal"/>
        <w:jc w:val="both"/>
        <w:rPr>
          <w:rFonts w:ascii="Century Gothic" w:hAnsi="Century Gothic" w:cs="Century Gothic"/>
          <w:sz w:val="21"/>
          <w:szCs w:val="21"/>
        </w:rPr>
      </w:pPr>
      <w:r>
        <w:rPr>
          <w:rFonts w:cs="Century Gothic" w:ascii="Century Gothic" w:hAnsi="Century Gothic"/>
          <w:sz w:val="21"/>
          <w:szCs w:val="21"/>
        </w:rPr>
        <w:t>En cas de maladie, d’accident ou de handicap graves de l’enfant, la durée du congé parental ou de la période d’activité à temps partiel peut être prolongée d’un an.</w:t>
      </w:r>
    </w:p>
    <w:p>
      <w:pPr>
        <w:pStyle w:val="Normal"/>
        <w:jc w:val="both"/>
        <w:rPr>
          <w:rFonts w:ascii="Century Gothic" w:hAnsi="Century Gothic" w:cs="Century Gothic"/>
          <w:sz w:val="21"/>
          <w:szCs w:val="21"/>
        </w:rPr>
      </w:pPr>
      <w:r>
        <w:rPr>
          <w:rFonts w:cs="Century Gothic" w:ascii="Century Gothic" w:hAnsi="Century Gothic"/>
          <w:sz w:val="21"/>
          <w:szCs w:val="21"/>
        </w:rPr>
        <w:t>À chaque renouvellement, le (la) salarié(e) peut transformer son congé parental en activité à temps partiel ou son activité en temps partiel en congé parental.</w:t>
      </w:r>
    </w:p>
    <w:p>
      <w:pPr>
        <w:pStyle w:val="Normal"/>
        <w:jc w:val="both"/>
        <w:rPr>
          <w:rFonts w:ascii="Century Gothic" w:hAnsi="Century Gothic" w:cs="Century Gothic"/>
          <w:b/>
          <w:b/>
          <w:sz w:val="21"/>
          <w:szCs w:val="21"/>
        </w:rPr>
      </w:pPr>
      <w:r>
        <w:rPr>
          <w:rFonts w:cs="Century Gothic" w:ascii="Century Gothic" w:hAnsi="Century Gothic"/>
          <w:b/>
          <w:sz w:val="21"/>
          <w:szCs w:val="21"/>
        </w:rPr>
      </w:r>
    </w:p>
    <w:p>
      <w:pPr>
        <w:pStyle w:val="Normal"/>
        <w:rPr>
          <w:rFonts w:ascii="Century Gothic" w:hAnsi="Century Gothic" w:eastAsia="Calibri" w:cs="Century Gothic"/>
          <w:b/>
          <w:b/>
          <w:color w:val="365F91"/>
          <w:sz w:val="21"/>
          <w:szCs w:val="21"/>
          <w:lang w:eastAsia="en-US"/>
        </w:rPr>
      </w:pPr>
      <w:r>
        <w:rPr>
          <w:rFonts w:eastAsia="Calibri" w:cs="Century Gothic" w:ascii="Century Gothic" w:hAnsi="Century Gothic"/>
          <w:b/>
          <w:color w:val="365F91"/>
          <w:sz w:val="21"/>
          <w:szCs w:val="21"/>
          <w:lang w:eastAsia="en-US"/>
        </w:rPr>
        <w:t>Maintien</w:t>
      </w:r>
      <w:r>
        <w:rPr>
          <w:rFonts w:cs="Aharoni;Segoe UI Semibold" w:ascii="Century Gothic" w:hAnsi="Century Gothic"/>
          <w:b/>
          <w:sz w:val="21"/>
          <w:szCs w:val="21"/>
        </w:rPr>
        <w:t xml:space="preserve"> </w:t>
      </w:r>
      <w:r>
        <w:rPr>
          <w:rFonts w:eastAsia="Calibri" w:cs="Century Gothic" w:ascii="Century Gothic" w:hAnsi="Century Gothic"/>
          <w:b/>
          <w:color w:val="365F91"/>
          <w:sz w:val="21"/>
          <w:szCs w:val="21"/>
          <w:lang w:eastAsia="en-US"/>
        </w:rPr>
        <w:t>de l’ancienneté à 100%</w:t>
      </w:r>
    </w:p>
    <w:p>
      <w:pPr>
        <w:pStyle w:val="Paragraphedeliste"/>
        <w:spacing w:before="0" w:after="0"/>
        <w:ind w:left="0" w:hanging="0"/>
        <w:contextualSpacing/>
        <w:jc w:val="both"/>
        <w:rPr>
          <w:rFonts w:ascii="Century Gothic" w:hAnsi="Century Gothic" w:eastAsia="Times New Roman" w:cs="Century Gothic"/>
          <w:sz w:val="21"/>
          <w:szCs w:val="21"/>
          <w:lang w:eastAsia="fr-FR"/>
        </w:rPr>
      </w:pPr>
      <w:r>
        <w:rPr>
          <w:rFonts w:eastAsia="Times New Roman" w:cs="Century Gothic" w:ascii="Century Gothic" w:hAnsi="Century Gothic"/>
          <w:sz w:val="21"/>
          <w:szCs w:val="21"/>
          <w:lang w:eastAsia="fr-FR"/>
        </w:rPr>
        <w:t>Lorsqu’un(e) salarié(e) sera en congé parental d’éducation sous la forme d’un congé total durant lequel le contrat de travail est suspendu, la totalité de la durée du congé sera prise pour le calcul de l’ancienneté de l’intéressé(e).</w:t>
      </w:r>
    </w:p>
    <w:p>
      <w:pPr>
        <w:pStyle w:val="Paragraphedeliste"/>
        <w:spacing w:before="0" w:after="0"/>
        <w:ind w:left="0" w:hanging="0"/>
        <w:contextualSpacing/>
        <w:jc w:val="both"/>
        <w:rPr>
          <w:rFonts w:ascii="Century Gothic" w:hAnsi="Century Gothic" w:eastAsia="Times New Roman" w:cs="Century Gothic"/>
          <w:sz w:val="14"/>
          <w:szCs w:val="21"/>
          <w:lang w:eastAsia="fr-FR"/>
        </w:rPr>
      </w:pPr>
      <w:r>
        <w:rPr>
          <w:rFonts w:eastAsia="Times New Roman" w:cs="Century Gothic" w:ascii="Century Gothic" w:hAnsi="Century Gothic"/>
          <w:sz w:val="14"/>
          <w:szCs w:val="21"/>
          <w:lang w:eastAsia="fr-FR"/>
        </w:rPr>
      </w:r>
    </w:p>
    <w:p>
      <w:pPr>
        <w:pStyle w:val="Paragraphedeliste"/>
        <w:numPr>
          <w:ilvl w:val="0"/>
          <w:numId w:val="3"/>
        </w:numPr>
        <w:tabs>
          <w:tab w:val="left" w:pos="284" w:leader="none"/>
        </w:tabs>
        <w:spacing w:lineRule="auto" w:line="240" w:before="0" w:after="0"/>
        <w:ind w:left="426" w:hanging="360"/>
        <w:contextualSpacing/>
        <w:jc w:val="both"/>
        <w:rPr>
          <w:rFonts w:ascii="Century Gothic" w:hAnsi="Century Gothic" w:cs="Century Gothic"/>
          <w:b/>
          <w:b/>
          <w:color w:val="FF6600"/>
          <w:sz w:val="21"/>
          <w:szCs w:val="21"/>
        </w:rPr>
      </w:pPr>
      <w:r>
        <w:rPr>
          <w:rFonts w:cs="Century Gothic" w:ascii="Century Gothic" w:hAnsi="Century Gothic"/>
          <w:b/>
          <w:color w:val="FF6600"/>
          <w:sz w:val="21"/>
          <w:szCs w:val="21"/>
        </w:rPr>
        <w:t>Dispositions finales</w:t>
      </w:r>
    </w:p>
    <w:p>
      <w:pPr>
        <w:pStyle w:val="Normal"/>
        <w:ind w:left="720" w:hanging="0"/>
        <w:jc w:val="both"/>
        <w:rPr>
          <w:rFonts w:ascii="Century Gothic" w:hAnsi="Century Gothic" w:cs="Aharoni;Segoe UI Semibold"/>
          <w:b/>
          <w:b/>
          <w:color w:val="FF6600"/>
          <w:sz w:val="21"/>
          <w:szCs w:val="21"/>
        </w:rPr>
      </w:pPr>
      <w:r>
        <w:rPr>
          <w:rFonts w:cs="Aharoni;Segoe UI Semibold" w:ascii="Century Gothic" w:hAnsi="Century Gothic"/>
          <w:b/>
          <w:color w:val="FF6600"/>
          <w:sz w:val="21"/>
          <w:szCs w:val="21"/>
        </w:rPr>
      </w:r>
    </w:p>
    <w:p>
      <w:pPr>
        <w:pStyle w:val="Normal"/>
        <w:tabs>
          <w:tab w:val="left" w:pos="426" w:leader="none"/>
        </w:tabs>
        <w:ind w:left="709" w:hanging="709"/>
        <w:rPr/>
      </w:pPr>
      <w:r>
        <w:rPr>
          <w:rFonts w:eastAsia="Calibri" w:cs="Century Gothic" w:ascii="Century Gothic" w:hAnsi="Century Gothic"/>
          <w:b/>
          <w:color w:val="365F91"/>
          <w:sz w:val="21"/>
          <w:szCs w:val="21"/>
          <w:lang w:eastAsia="en-US"/>
        </w:rPr>
        <w:t xml:space="preserve">3.1 </w:t>
        <w:tab/>
        <w:t>Bilan annuel</w:t>
      </w:r>
    </w:p>
    <w:p>
      <w:pPr>
        <w:pStyle w:val="Normal"/>
        <w:jc w:val="both"/>
        <w:rPr/>
      </w:pPr>
      <w:r>
        <w:rPr>
          <w:rFonts w:cs="Century Gothic" w:ascii="Century Gothic" w:hAnsi="Century Gothic"/>
          <w:sz w:val="21"/>
          <w:szCs w:val="21"/>
        </w:rPr>
        <w:t xml:space="preserve">Afin de suivre le fonctionnement de ce dispositif, un bilan sera réalisé une fois par an auprès des Organisation Syndicales signataires en même temps que le bilan annuel de l’accord relatif à l’égalité entre les femmes et les hommes. </w:t>
      </w:r>
    </w:p>
    <w:p>
      <w:pPr>
        <w:pStyle w:val="Normal"/>
        <w:tabs>
          <w:tab w:val="left" w:pos="1220" w:leader="none"/>
        </w:tabs>
        <w:jc w:val="both"/>
        <w:rPr>
          <w:rFonts w:ascii="Century Gothic" w:hAnsi="Century Gothic" w:cs="Century Gothic"/>
          <w:sz w:val="21"/>
          <w:szCs w:val="21"/>
        </w:rPr>
      </w:pPr>
      <w:r>
        <w:rPr>
          <w:rFonts w:cs="Century Gothic" w:ascii="Century Gothic" w:hAnsi="Century Gothic"/>
          <w:sz w:val="21"/>
          <w:szCs w:val="21"/>
        </w:rPr>
        <w:tab/>
      </w:r>
    </w:p>
    <w:p>
      <w:pPr>
        <w:pStyle w:val="Normal"/>
        <w:tabs>
          <w:tab w:val="left" w:pos="426" w:leader="none"/>
        </w:tabs>
        <w:ind w:left="709" w:hanging="709"/>
        <w:rPr/>
      </w:pPr>
      <w:r>
        <w:rPr>
          <w:rFonts w:eastAsia="Calibri" w:cs="Century Gothic" w:ascii="Century Gothic" w:hAnsi="Century Gothic"/>
          <w:b/>
          <w:color w:val="365F91"/>
          <w:sz w:val="21"/>
          <w:szCs w:val="21"/>
          <w:lang w:eastAsia="en-US"/>
        </w:rPr>
        <w:t>3.2</w:t>
        <w:tab/>
        <w:t xml:space="preserve">Entrée en vigueur et durée de l’accord </w:t>
      </w:r>
    </w:p>
    <w:p>
      <w:pPr>
        <w:pStyle w:val="Normal"/>
        <w:jc w:val="both"/>
        <w:rPr/>
      </w:pPr>
      <w:r>
        <w:rPr>
          <w:rFonts w:cs="Century Gothic" w:ascii="Century Gothic" w:hAnsi="Century Gothic"/>
          <w:sz w:val="21"/>
          <w:szCs w:val="21"/>
        </w:rPr>
        <w:t>Cet accord est conclu pour une durée de trois ans. Le dispositif sera opérationnel à compter du 1er octobre 2017.</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tabs>
          <w:tab w:val="left" w:pos="426" w:leader="none"/>
        </w:tabs>
        <w:ind w:left="709" w:hanging="709"/>
        <w:rPr>
          <w:rFonts w:ascii="Century Gothic" w:hAnsi="Century Gothic" w:eastAsia="Calibri" w:cs="Century Gothic"/>
          <w:b/>
          <w:b/>
          <w:color w:val="365F91"/>
          <w:sz w:val="21"/>
          <w:szCs w:val="21"/>
          <w:lang w:eastAsia="en-US"/>
        </w:rPr>
      </w:pPr>
      <w:r>
        <w:rPr>
          <w:rFonts w:eastAsia="Calibri" w:cs="Century Gothic" w:ascii="Century Gothic" w:hAnsi="Century Gothic"/>
          <w:b/>
          <w:color w:val="365F91"/>
          <w:sz w:val="21"/>
          <w:szCs w:val="21"/>
          <w:lang w:eastAsia="en-US"/>
        </w:rPr>
        <w:t>3.3</w:t>
        <w:tab/>
        <w:t xml:space="preserve">Révision </w:t>
      </w:r>
    </w:p>
    <w:p>
      <w:pPr>
        <w:pStyle w:val="Normal"/>
        <w:jc w:val="both"/>
        <w:rPr>
          <w:rFonts w:ascii="Century Gothic" w:hAnsi="Century Gothic" w:cs="Century Gothic"/>
          <w:sz w:val="21"/>
          <w:szCs w:val="21"/>
        </w:rPr>
      </w:pPr>
      <w:r>
        <w:rPr>
          <w:rFonts w:cs="Century Gothic" w:ascii="Century Gothic" w:hAnsi="Century Gothic"/>
          <w:sz w:val="21"/>
          <w:szCs w:val="21"/>
        </w:rPr>
        <w:t xml:space="preserve">Le présent accord est révisable totalement ou partiellement au gré des parties. L’accord peut être à tout moment dénoncé avec un préavis de 3 mois. Toute dénonciation par l’une des parties signataires est obligatoirement notifiée par lettre recommandée avec accusé de réception ou contre décharge à chacune des autres parties.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tabs>
          <w:tab w:val="left" w:pos="426" w:leader="none"/>
        </w:tabs>
        <w:ind w:left="709" w:hanging="709"/>
        <w:rPr>
          <w:rFonts w:ascii="Century Gothic" w:hAnsi="Century Gothic" w:eastAsia="Calibri" w:cs="Century Gothic"/>
          <w:b/>
          <w:b/>
          <w:color w:val="365F91"/>
          <w:sz w:val="21"/>
          <w:szCs w:val="21"/>
          <w:lang w:eastAsia="en-US"/>
        </w:rPr>
      </w:pPr>
      <w:r>
        <w:rPr>
          <w:rFonts w:eastAsia="Calibri" w:cs="Century Gothic" w:ascii="Century Gothic" w:hAnsi="Century Gothic"/>
          <w:b/>
          <w:color w:val="365F91"/>
          <w:sz w:val="21"/>
          <w:szCs w:val="21"/>
          <w:lang w:eastAsia="en-US"/>
        </w:rPr>
        <w:t>3.4</w:t>
        <w:tab/>
        <w:t xml:space="preserve">Dépôt </w:t>
      </w:r>
    </w:p>
    <w:p>
      <w:pPr>
        <w:pStyle w:val="Normal"/>
        <w:jc w:val="both"/>
        <w:rPr>
          <w:rFonts w:ascii="Century Gothic" w:hAnsi="Century Gothic" w:cs="Century Gothic"/>
          <w:sz w:val="21"/>
          <w:szCs w:val="21"/>
        </w:rPr>
      </w:pPr>
      <w:r>
        <w:rPr>
          <w:rFonts w:cs="Century Gothic" w:ascii="Century Gothic" w:hAnsi="Century Gothic"/>
          <w:sz w:val="21"/>
          <w:szCs w:val="21"/>
        </w:rPr>
        <w:t xml:space="preserve">Le présent accord sera notifié par la direction générale de l’Association à l’ensemble des organisations syndicales représentatives dans l’association. Il sera déposé auprès de la DIRECCTE Ile-de-France assorti de la liste des établissements et de leur adresse respective. Il sera déposé au greffe du conseil des Prud’hommes de Paris. Il fera par ailleurs l’objet d’un affichage destiné à assurer l’information de l’ensemble du personnel.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Fait à Paris, le 20 septembre 2017</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Pour les organisations syndicales</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bl>
      <w:tblPr>
        <w:tblW w:w="9218" w:type="dxa"/>
        <w:jc w:val="left"/>
        <w:tblInd w:w="0" w:type="dxa"/>
        <w:tblBorders/>
        <w:tblCellMar>
          <w:top w:w="0" w:type="dxa"/>
          <w:left w:w="108" w:type="dxa"/>
          <w:bottom w:w="0" w:type="dxa"/>
          <w:right w:w="108" w:type="dxa"/>
        </w:tblCellMar>
      </w:tblPr>
      <w:tblGrid>
        <w:gridCol w:w="2305"/>
        <w:gridCol w:w="3048"/>
        <w:gridCol w:w="3865"/>
      </w:tblGrid>
      <w:tr>
        <w:trPr>
          <w:trHeight w:val="256" w:hRule="atLeast"/>
        </w:trPr>
        <w:tc>
          <w:tcPr>
            <w:tcW w:w="2305"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F.O. :</w:t>
            </w:r>
          </w:p>
        </w:tc>
        <w:tc>
          <w:tcPr>
            <w:tcW w:w="3048"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 xml:space="preserve">Mme/M. </w:t>
            </w:r>
            <w:r>
              <w:rPr>
                <w:rFonts w:cs="Century Gothic" w:ascii="Century Gothic" w:hAnsi="Century Gothic"/>
                <w:sz w:val="21"/>
                <w:szCs w:val="21"/>
                <w:highlight w:val="lightGray"/>
              </w:rPr>
              <w:t>_______________</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c>
          <w:tcPr>
            <w:tcW w:w="3865" w:type="dxa"/>
            <w:tcBorders/>
            <w:shd w:fill="auto" w:val="clear"/>
          </w:tcPr>
          <w:p>
            <w:pPr>
              <w:pStyle w:val="Normal"/>
              <w:ind w:left="459" w:hanging="0"/>
              <w:jc w:val="both"/>
              <w:rPr>
                <w:rFonts w:ascii="Century Gothic" w:hAnsi="Century Gothic" w:cs="Century Gothic"/>
                <w:sz w:val="21"/>
                <w:szCs w:val="21"/>
              </w:rPr>
            </w:pPr>
            <w:r>
              <w:rPr>
                <w:rFonts w:cs="Century Gothic" w:ascii="Century Gothic" w:hAnsi="Century Gothic"/>
                <w:sz w:val="21"/>
                <w:szCs w:val="21"/>
              </w:rPr>
              <w:t>Pour l’association</w:t>
            </w:r>
          </w:p>
        </w:tc>
      </w:tr>
      <w:tr>
        <w:trPr>
          <w:trHeight w:val="256" w:hRule="atLeast"/>
        </w:trPr>
        <w:tc>
          <w:tcPr>
            <w:tcW w:w="2305"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 xml:space="preserve">C.G.T :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c>
          <w:tcPr>
            <w:tcW w:w="3048"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 xml:space="preserve">Mme/M. </w:t>
            </w:r>
            <w:r>
              <w:rPr>
                <w:rFonts w:cs="Century Gothic" w:ascii="Century Gothic" w:hAnsi="Century Gothic"/>
                <w:sz w:val="21"/>
                <w:szCs w:val="21"/>
                <w:highlight w:val="lightGray"/>
              </w:rPr>
              <w:t>_______________</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c>
          <w:tcPr>
            <w:tcW w:w="3865" w:type="dxa"/>
            <w:tcBorders/>
            <w:shd w:fill="auto" w:val="clear"/>
          </w:tcPr>
          <w:p>
            <w:pPr>
              <w:pStyle w:val="Normal"/>
              <w:ind w:left="459" w:hanging="0"/>
              <w:jc w:val="both"/>
              <w:rPr>
                <w:rFonts w:ascii="Century Gothic" w:hAnsi="Century Gothic" w:cs="Century Gothic"/>
                <w:sz w:val="21"/>
                <w:szCs w:val="21"/>
              </w:rPr>
            </w:pPr>
            <w:r>
              <w:rPr>
                <w:rFonts w:cs="Century Gothic" w:ascii="Century Gothic" w:hAnsi="Century Gothic"/>
                <w:sz w:val="21"/>
                <w:szCs w:val="21"/>
              </w:rPr>
              <w:t>Le directeur général</w:t>
            </w:r>
          </w:p>
          <w:p>
            <w:pPr>
              <w:pStyle w:val="Normal"/>
              <w:ind w:left="459" w:hanging="0"/>
              <w:jc w:val="both"/>
              <w:rPr>
                <w:rFonts w:ascii="Century Gothic" w:hAnsi="Century Gothic" w:cs="Century Gothic"/>
                <w:sz w:val="21"/>
                <w:szCs w:val="21"/>
              </w:rPr>
            </w:pPr>
            <w:r>
              <w:rPr>
                <w:rFonts w:cs="Century Gothic" w:ascii="Century Gothic" w:hAnsi="Century Gothic"/>
                <w:sz w:val="21"/>
                <w:szCs w:val="21"/>
              </w:rPr>
            </w:r>
          </w:p>
          <w:p>
            <w:pPr>
              <w:pStyle w:val="Normal"/>
              <w:ind w:left="459" w:hanging="0"/>
              <w:jc w:val="both"/>
              <w:rPr>
                <w:rFonts w:ascii="Century Gothic" w:hAnsi="Century Gothic" w:cs="Century Gothic"/>
                <w:sz w:val="21"/>
                <w:szCs w:val="21"/>
              </w:rPr>
            </w:pPr>
            <w:r>
              <w:rPr>
                <w:rFonts w:cs="Century Gothic" w:ascii="Century Gothic" w:hAnsi="Century Gothic"/>
                <w:sz w:val="21"/>
                <w:szCs w:val="21"/>
              </w:rPr>
            </w:r>
          </w:p>
          <w:p>
            <w:pPr>
              <w:pStyle w:val="Normal"/>
              <w:ind w:left="459" w:hanging="0"/>
              <w:jc w:val="both"/>
              <w:rPr>
                <w:rFonts w:ascii="Century Gothic" w:hAnsi="Century Gothic" w:cs="Century Gothic"/>
                <w:sz w:val="21"/>
                <w:szCs w:val="21"/>
              </w:rPr>
            </w:pPr>
            <w:r>
              <w:rPr>
                <w:rFonts w:cs="Century Gothic" w:ascii="Century Gothic" w:hAnsi="Century Gothic"/>
                <w:sz w:val="21"/>
                <w:szCs w:val="21"/>
              </w:rPr>
            </w:r>
          </w:p>
        </w:tc>
      </w:tr>
      <w:tr>
        <w:trPr>
          <w:trHeight w:val="256" w:hRule="atLeast"/>
        </w:trPr>
        <w:tc>
          <w:tcPr>
            <w:tcW w:w="2305"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 xml:space="preserve">Sud Santé sociaux : </w:t>
            </w:r>
          </w:p>
        </w:tc>
        <w:tc>
          <w:tcPr>
            <w:tcW w:w="3048"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 xml:space="preserve">Mme/M. </w:t>
            </w:r>
            <w:r>
              <w:rPr>
                <w:rFonts w:cs="Century Gothic" w:ascii="Century Gothic" w:hAnsi="Century Gothic"/>
                <w:sz w:val="21"/>
                <w:szCs w:val="21"/>
                <w:highlight w:val="lightGray"/>
              </w:rPr>
              <w:t>_______________</w:t>
            </w:r>
          </w:p>
        </w:tc>
        <w:tc>
          <w:tcPr>
            <w:tcW w:w="3865" w:type="dxa"/>
            <w:tcBorders/>
            <w:shd w:fill="auto" w:val="clear"/>
          </w:tcPr>
          <w:p>
            <w:pPr>
              <w:pStyle w:val="Normal"/>
              <w:jc w:val="both"/>
              <w:rPr>
                <w:rFonts w:ascii="Century Gothic" w:hAnsi="Century Gothic" w:cs="Century Gothic"/>
                <w:sz w:val="21"/>
                <w:szCs w:val="21"/>
              </w:rPr>
            </w:pPr>
            <w:r>
              <w:rPr>
                <w:rFonts w:eastAsia="Century Gothic" w:cs="Century Gothic" w:ascii="Century Gothic" w:hAnsi="Century Gothic"/>
                <w:sz w:val="21"/>
                <w:szCs w:val="21"/>
              </w:rPr>
              <w:t xml:space="preserve">        </w:t>
            </w:r>
            <w:r>
              <w:rPr>
                <w:rFonts w:cs="Century Gothic" w:ascii="Century Gothic" w:hAnsi="Century Gothic"/>
                <w:sz w:val="21"/>
                <w:szCs w:val="21"/>
              </w:rPr>
              <w:t xml:space="preserve">Mme/M. </w:t>
            </w:r>
            <w:r>
              <w:rPr>
                <w:rFonts w:cs="Century Gothic" w:ascii="Century Gothic" w:hAnsi="Century Gothic"/>
                <w:sz w:val="21"/>
                <w:szCs w:val="21"/>
                <w:highlight w:val="lightGray"/>
              </w:rPr>
              <w:t>_______________</w:t>
            </w:r>
          </w:p>
        </w:tc>
      </w:tr>
    </w:tbl>
    <w:p>
      <w:pPr>
        <w:pStyle w:val="Normal"/>
        <w:jc w:val="both"/>
        <w:rPr>
          <w:rFonts w:ascii="Century Gothic" w:hAnsi="Century Gothic" w:cs="Century Gothic"/>
          <w:sz w:val="21"/>
          <w:szCs w:val="21"/>
        </w:rPr>
      </w:pPr>
      <w:r>
        <w:rPr>
          <w:rFonts w:cs="Century Gothic" w:ascii="Century Gothic" w:hAnsi="Century Gothic"/>
          <w:sz w:val="21"/>
          <w:szCs w:val="21"/>
        </w:rPr>
      </w:r>
    </w:p>
    <w:sectPr>
      <w:headerReference w:type="default" r:id="rId7"/>
      <w:headerReference w:type="first" r:id="rId8"/>
      <w:footerReference w:type="default" r:id="rId9"/>
      <w:footerReference w:type="first" r:id="rId10"/>
      <w:type w:val="nextPage"/>
      <w:pgSz w:w="11906" w:h="16838"/>
      <w:pgMar w:left="1418" w:right="1418" w:header="284" w:top="851" w:footer="567" w:bottom="851"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0"/>
    <w:family w:val="roman"/>
    <w:pitch w:val="variable"/>
  </w:font>
  <w:font w:name="Arial Narrow">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Aharoni">
    <w:altName w:val="Segoe UI Semibold"/>
    <w:charset w:val="00"/>
    <w:family w:val="auto"/>
    <w:pitch w:val="variable"/>
  </w:font>
  <w:font w:name="Liberation Sans">
    <w:altName w:val="Arial"/>
    <w:charset w:val="01"/>
    <w:family w:val="swiss"/>
    <w:pitch w:val="variable"/>
  </w:font>
  <w:font w:name="Tahoma">
    <w:charset w:val="00"/>
    <w:family w:val="swiss"/>
    <w:pitch w:val="variable"/>
  </w:font>
  <w:font w:name="Century Gothi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b w:val="false"/>
        <w:b w:val="false"/>
        <w:sz w:val="20"/>
      </w:rPr>
    </w:pPr>
    <w:r>
      <w:rPr>
        <w:b w:val="false"/>
        <w:sz w:val="20"/>
      </w:rPr>
      <w:t>20, rue Ribéra  75016 PARIS - Tél 01 42 24 91 79 - Fax 01 45 24 62 78 - ljh@lesjoursheureux.asso.fr</w:t>
    </w:r>
  </w:p>
  <w:p>
    <w:pPr>
      <w:pStyle w:val="Footer"/>
      <w:rPr>
        <w:b w:val="false"/>
        <w:b w:val="false"/>
        <w:sz w:val="20"/>
      </w:rPr>
    </w:pPr>
    <w:r>
      <w:rPr>
        <w:b w:val="false"/>
        <w:smallCaps/>
        <w:sz w:val="22"/>
      </w:rPr>
      <w:t>Association reconnue d’utilité publique</w:t>
    </w:r>
    <w:r>
      <w:rPr>
        <w:b w:val="false"/>
        <w:sz w:val="22"/>
      </w:rPr>
      <w:t xml:space="preserve"> </w:t>
    </w:r>
    <w:r>
      <w:rPr>
        <w:b w:val="false"/>
        <w:sz w:val="20"/>
      </w:rPr>
      <w:t>– www.lesjoursheureux.asso.fr</w:t>
    </w:r>
  </w:p>
  <w:p>
    <w:pPr>
      <w:pStyle w:val="Footer"/>
      <w:rPr>
        <w:b w:val="false"/>
        <w:b w:val="false"/>
        <w:sz w:val="20"/>
      </w:rPr>
    </w:pPr>
    <w:r>
      <w:rPr>
        <w:b w:val="false"/>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b w:val="false"/>
        <w:b w:val="false"/>
        <w:sz w:val="20"/>
      </w:rPr>
    </w:pPr>
    <w:r>
      <w:rPr>
        <w:b w:val="false"/>
        <w:sz w:val="20"/>
      </w:rPr>
    </w:r>
  </w:p>
  <w:p>
    <w:pPr>
      <w:pStyle w:val="Footer"/>
      <w:rPr>
        <w:b w:val="false"/>
        <w:b w:val="false"/>
        <w:sz w:val="20"/>
      </w:rPr>
    </w:pPr>
    <w:r>
      <w:rPr>
        <w:b w:val="false"/>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32"/>
      </w:rPr>
    </w:pPr>
    <w:r>
      <w:rPr>
        <w:sz w:val="32"/>
      </w:rPr>
      <w:drawing>
        <wp:inline distT="0" distB="0" distL="0" distR="0">
          <wp:extent cx="1015365" cy="1022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015365" cy="102235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decimal"/>
      <w:lvlText w:val="%1."/>
      <w:lvlJc w:val="left"/>
      <w:pPr>
        <w:ind w:left="720" w:hanging="360"/>
      </w:pPr>
      <w:rPr>
        <w:sz w:val="22"/>
        <w:i w:val="false"/>
        <w:b/>
        <w:szCs w:val="21"/>
        <w:rFonts w:ascii="Aharoni;Segoe UI Semibold" w:hAnsi="Aharoni;Segoe UI Semibold" w:cs="Aharoni;Segoe UI Semibold"/>
        <w:color w:val="E36C0A"/>
      </w:rPr>
    </w:lvl>
  </w:abstractNum>
  <w:abstractNum w:abstractNumId="4">
    <w:lvl w:ilvl="0">
      <w:numFmt w:val="bullet"/>
      <w:lvlText w:val="-"/>
      <w:lvlJc w:val="left"/>
      <w:pPr>
        <w:ind w:left="720" w:hanging="360"/>
      </w:pPr>
      <w:rPr>
        <w:rFonts w:ascii="Calibri" w:hAnsi="Calibri" w:cs="Calibri" w:hint="default"/>
        <w:rFonts w:cs="Calibri"/>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ind w:left="3828" w:hanging="0"/>
      <w:outlineLvl w:val="0"/>
      <w:outlineLvl w:val="0"/>
    </w:pPr>
    <w:rPr>
      <w:sz w:val="24"/>
      <w:szCs w:val="24"/>
    </w:rPr>
  </w:style>
  <w:style w:type="paragraph" w:styleId="Heading2">
    <w:name w:val="Heading 2"/>
    <w:basedOn w:val="Normal"/>
    <w:next w:val="Normal"/>
    <w:qFormat/>
    <w:pPr>
      <w:keepNext/>
      <w:numPr>
        <w:ilvl w:val="1"/>
        <w:numId w:val="1"/>
      </w:numPr>
      <w:ind w:left="4253" w:hanging="0"/>
      <w:outlineLvl w:val="1"/>
      <w:outlineLvl w:val="1"/>
    </w:pPr>
    <w:rPr>
      <w:sz w:val="24"/>
      <w:szCs w:val="24"/>
    </w:rPr>
  </w:style>
  <w:style w:type="paragraph" w:styleId="Heading3">
    <w:name w:val="Heading 3"/>
    <w:basedOn w:val="Normal"/>
    <w:next w:val="Normal"/>
    <w:qFormat/>
    <w:pPr>
      <w:keepNext/>
      <w:numPr>
        <w:ilvl w:val="2"/>
        <w:numId w:val="1"/>
      </w:numPr>
      <w:outlineLvl w:val="2"/>
      <w:outlineLvl w:val="2"/>
    </w:pPr>
    <w:rPr>
      <w:rFonts w:ascii="Bookman Old Style" w:hAnsi="Bookman Old Style" w:cs="Bookman Old Style"/>
      <w:b/>
      <w:sz w:val="24"/>
    </w:rPr>
  </w:style>
  <w:style w:type="character" w:styleId="WW8Num1z0">
    <w:name w:val="WW8Num1z0"/>
    <w:qFormat/>
    <w:rPr>
      <w:rFonts w:ascii="Arial Narrow" w:hAnsi="Arial Narrow"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Narrow" w:hAnsi="Arial Narrow" w:cs="Arial Narrow"/>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Narrow" w:hAnsi="Arial Narrow"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Narrow" w:hAnsi="Arial Narrow"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Arial Narrow" w:hAnsi="Arial Narrow"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alibri" w:hAnsi="Calibri" w:eastAsia="Times New Roman" w:cs="Calibri"/>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6z0">
    <w:name w:val="WW8Num16z0"/>
    <w:qFormat/>
    <w:rPr>
      <w:rFonts w:ascii="Arial Narrow" w:hAnsi="Arial Narrow"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20z0">
    <w:name w:val="WW8Num20z0"/>
    <w:qFormat/>
    <w:rPr>
      <w:rFonts w:ascii="Aharoni;Segoe UI Semibold" w:hAnsi="Aharoni;Segoe UI Semibold" w:cs="Aharoni;Segoe UI Semibold"/>
      <w:sz w:val="2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Arial Narrow" w:hAnsi="Arial Narrow"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4z0">
    <w:name w:val="WW8Num24z0"/>
    <w:qFormat/>
    <w:rPr>
      <w:rFonts w:ascii="Arial Narrow" w:hAnsi="Arial Narrow"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Narrow" w:hAnsi="Arial Narrow"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style>
  <w:style w:type="character" w:styleId="WW8Num26z1">
    <w:name w:val="WW8Num26z1"/>
    <w:qFormat/>
    <w:rPr>
      <w:rFonts w:ascii="Aharoni;Segoe UI Semibold" w:hAnsi="Aharoni;Segoe UI Semibold" w:cs="Aharoni;Segoe UI Semibold"/>
      <w:sz w:val="40"/>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9z0">
    <w:name w:val="WW8Num29z0"/>
    <w:qFormat/>
    <w:rPr>
      <w:rFonts w:ascii="Aharoni;Segoe UI Semibold" w:hAnsi="Aharoni;Segoe UI Semibold" w:cs="Aharoni;Segoe UI Semibold"/>
      <w:b/>
      <w:i w:val="false"/>
      <w:color w:val="E36C0A"/>
      <w:sz w:val="22"/>
      <w:szCs w:val="21"/>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rFonts w:ascii="Aharoni;Segoe UI Semibold" w:hAnsi="Aharoni;Segoe UI Semibold" w:cs="Aharoni;Segoe UI Semibold"/>
      <w:sz w:val="32"/>
    </w:rPr>
  </w:style>
  <w:style w:type="character" w:styleId="WW8Num32z0">
    <w:name w:val="WW8Num32z0"/>
    <w:qFormat/>
    <w:rPr>
      <w:rFonts w:ascii="Arial Narrow" w:hAnsi="Arial Narrow" w:cs="Arial Narrow"/>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Calibri" w:hAnsi="Calibri" w:eastAsia="Calibri" w:cs="Calibri"/>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Calibri" w:hAnsi="Calibri" w:eastAsia="Times New Roman" w:cs="Calibri"/>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Symbol" w:hAnsi="Symbol" w:eastAsia="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WW8Num39z0">
    <w:name w:val="WW8Num39z0"/>
    <w:qFormat/>
    <w:rPr>
      <w:rFonts w:ascii="Arial Narrow" w:hAnsi="Arial Narrow" w:eastAsia="Times New Roman" w:cs="Times New Roman"/>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Calibri" w:hAnsi="Calibri" w:eastAsia="Calibri" w:cs="Times New Roman"/>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style>
  <w:style w:type="character" w:styleId="WW8Num41z1">
    <w:name w:val="WW8Num41z1"/>
    <w:qFormat/>
    <w:rPr>
      <w:rFonts w:ascii="Wingdings" w:hAnsi="Wingdings" w:cs="Wingdings"/>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Arial Narrow" w:hAnsi="Arial Narrow" w:cs="Arial Narrow"/>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rFonts w:ascii="Arial Narrow" w:hAnsi="Arial Narrow" w:eastAsia="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PieddepageCar">
    <w:name w:val="Pied de page Car"/>
    <w:qFormat/>
    <w:rPr>
      <w:rFonts w:ascii="Arial Narrow" w:hAnsi="Arial Narrow" w:cs="Arial Narrow"/>
      <w:b/>
      <w:sz w:val="18"/>
      <w:szCs w:val="18"/>
    </w:rPr>
  </w:style>
  <w:style w:type="character" w:styleId="Retraitcorpsdetexte2Car">
    <w:name w:val="Retrait corps de texte 2 Car"/>
    <w:qFormat/>
    <w:rPr>
      <w:spacing w:val="-2"/>
      <w:sz w:val="22"/>
    </w:rPr>
  </w:style>
  <w:style w:type="character" w:styleId="Pol">
    <w:name w:val="pol"/>
    <w:qFormat/>
    <w:rPr/>
  </w:style>
  <w:style w:type="character" w:styleId="Appleconvertedspace">
    <w:name w:val="apple-converted-space"/>
    <w:qFormat/>
    <w:rPr/>
  </w:style>
  <w:style w:type="character" w:styleId="DfinitionHTML">
    <w:name w:val="Définition HTML"/>
    <w:qFormat/>
    <w:rPr>
      <w:i/>
      <w:i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jc w:val="center"/>
    </w:pPr>
    <w:rPr>
      <w:rFonts w:ascii="Arial Narrow" w:hAnsi="Arial Narrow" w:cs="Arial Narrow"/>
      <w:b/>
      <w:sz w:val="18"/>
      <w:szCs w:val="18"/>
    </w:rPr>
  </w:style>
  <w:style w:type="paragraph" w:styleId="Explorateurdedocuments">
    <w:name w:val="Explorateur de documents"/>
    <w:basedOn w:val="Normal"/>
    <w:qFormat/>
    <w:pPr>
      <w:shd w:fill="000080" w:val="clear"/>
    </w:pPr>
    <w:rPr>
      <w:rFonts w:ascii="Tahoma" w:hAnsi="Tahoma" w:cs="Tahoma"/>
    </w:rPr>
  </w:style>
  <w:style w:type="paragraph" w:styleId="Textedebulles">
    <w:name w:val="Texte de bulles"/>
    <w:basedOn w:val="Normal"/>
    <w:qFormat/>
    <w:pPr/>
    <w:rPr>
      <w:rFonts w:ascii="Tahoma" w:hAnsi="Tahoma" w:cs="Tahoma"/>
      <w:sz w:val="16"/>
      <w:szCs w:val="16"/>
    </w:rPr>
  </w:style>
  <w:style w:type="paragraph" w:styleId="Signet">
    <w:name w:val="Signet"/>
    <w:basedOn w:val="Normal"/>
    <w:qFormat/>
    <w:pPr>
      <w:tabs>
        <w:tab w:val="center" w:pos="7088" w:leader="none"/>
      </w:tabs>
    </w:pPr>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Calibri"/>
      <w:sz w:val="22"/>
      <w:szCs w:val="22"/>
    </w:rPr>
  </w:style>
  <w:style w:type="paragraph" w:styleId="Retraitcorpsdetexte2">
    <w:name w:val="Retrait corps de texte 2"/>
    <w:basedOn w:val="Normal"/>
    <w:qFormat/>
    <w:pPr>
      <w:widowControl w:val="false"/>
      <w:tabs>
        <w:tab w:val="left" w:pos="-1440" w:leader="none"/>
        <w:tab w:val="left" w:pos="-720" w:leader="none"/>
        <w:tab w:val="left" w:pos="0" w:leader="none"/>
        <w:tab w:val="left" w:pos="331"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ind w:hanging="720"/>
      <w:jc w:val="both"/>
    </w:pPr>
    <w:rPr>
      <w:spacing w:val="-2"/>
      <w:sz w:val="22"/>
    </w:rPr>
  </w:style>
  <w:style w:type="paragraph" w:styleId="NormalWeb">
    <w:name w:val="Normal (Web)"/>
    <w:basedOn w:val="Normal"/>
    <w:qFormat/>
    <w:pPr>
      <w:spacing w:before="100" w:after="10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ravail-emploi.gouv.fr/droit-du-travail/temps-de-travail-et-conges/conges-et-absences/article/le-compte-epargne-temps-ce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LETTRE MF2.dot</Template>
  <TotalTime>175</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2017-05-29T18:08:00Z</cp:lastPrinted>
  <dcterms:created xsi:type="dcterms:W3CDTF">2017-05-29T17:13:00Z</dcterms:created>
  <dcterms:modified xsi:type="dcterms:W3CDTF">2017-10-17T13:54:00Z</dcterms:modified>
</cp:coreProperties>
</file>