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29" w:type="dxa"/>
        <w:jc w:val="left"/>
        <w:tblInd w:w="-5" w:type="dxa"/>
        <w:tblBorders>
          <w:top w:val="double" w:sz="4" w:space="0" w:color="000000"/>
          <w:left w:val="double" w:sz="4" w:space="0" w:color="000000"/>
          <w:bottom w:val="single" w:sz="4" w:space="0" w:color="000000"/>
          <w:insideH w:val="single" w:sz="4" w:space="0" w:color="000000"/>
        </w:tblBorders>
        <w:tblCellMar>
          <w:top w:w="0" w:type="dxa"/>
          <w:left w:w="55" w:type="dxa"/>
          <w:bottom w:w="0" w:type="dxa"/>
          <w:right w:w="70" w:type="dxa"/>
        </w:tblCellMar>
      </w:tblPr>
      <w:tblGrid>
        <w:gridCol w:w="952"/>
        <w:gridCol w:w="1164"/>
        <w:gridCol w:w="1543"/>
        <w:gridCol w:w="1623"/>
        <w:gridCol w:w="850"/>
        <w:gridCol w:w="742"/>
        <w:gridCol w:w="1843"/>
        <w:gridCol w:w="1712"/>
      </w:tblGrid>
      <w:tr>
        <w:trPr>
          <w:trHeight w:val="460" w:hRule="atLeast"/>
        </w:trPr>
        <w:tc>
          <w:tcPr>
            <w:tcW w:w="952" w:type="dxa"/>
            <w:tcBorders>
              <w:top w:val="double" w:sz="4" w:space="0" w:color="000000"/>
              <w:left w:val="double" w:sz="4" w:space="0" w:color="000000"/>
              <w:bottom w:val="single" w:sz="4" w:space="0" w:color="000000"/>
              <w:insideH w:val="single" w:sz="4" w:space="0" w:color="000000"/>
            </w:tcBorders>
            <w:shd w:fill="F3F3F3" w:val="clear"/>
            <w:tcMar>
              <w:left w:w="55" w:type="dxa"/>
            </w:tcMar>
            <w:vAlign w:val="center"/>
          </w:tcPr>
          <w:p>
            <w:pPr>
              <w:pStyle w:val="Normal"/>
              <w:rPr>
                <w:b/>
                <w:b/>
                <w:sz w:val="20"/>
                <w:szCs w:val="20"/>
              </w:rPr>
            </w:pPr>
            <w:r>
              <w:rPr>
                <w:b/>
                <w:sz w:val="20"/>
                <w:szCs w:val="20"/>
              </w:rPr>
              <w:t>DATE</w:t>
            </w:r>
          </w:p>
        </w:tc>
        <w:tc>
          <w:tcPr>
            <w:tcW w:w="1164" w:type="dxa"/>
            <w:tcBorders>
              <w:top w:val="doub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rPr>
                <w:sz w:val="20"/>
                <w:szCs w:val="20"/>
              </w:rPr>
            </w:pPr>
            <w:r>
              <w:rPr>
                <w:sz w:val="20"/>
                <w:szCs w:val="20"/>
              </w:rPr>
              <w:t>20181218</w:t>
            </w:r>
          </w:p>
        </w:tc>
        <w:tc>
          <w:tcPr>
            <w:tcW w:w="1543" w:type="dxa"/>
            <w:tcBorders>
              <w:top w:val="double" w:sz="4" w:space="0" w:color="000000"/>
              <w:left w:val="single" w:sz="4" w:space="0" w:color="000000"/>
              <w:bottom w:val="single" w:sz="4" w:space="0" w:color="000000"/>
              <w:insideH w:val="single" w:sz="4" w:space="0" w:color="000000"/>
            </w:tcBorders>
            <w:shd w:fill="F3F3F3" w:val="clear"/>
            <w:tcMar>
              <w:left w:w="65" w:type="dxa"/>
            </w:tcMar>
            <w:vAlign w:val="center"/>
          </w:tcPr>
          <w:p>
            <w:pPr>
              <w:pStyle w:val="Normal"/>
              <w:rPr>
                <w:b/>
                <w:b/>
                <w:sz w:val="20"/>
                <w:szCs w:val="20"/>
              </w:rPr>
            </w:pPr>
            <w:r>
              <w:rPr>
                <w:b/>
                <w:sz w:val="20"/>
                <w:szCs w:val="20"/>
              </w:rPr>
              <w:t>HORAIRES</w:t>
            </w:r>
          </w:p>
        </w:tc>
        <w:tc>
          <w:tcPr>
            <w:tcW w:w="1623" w:type="dxa"/>
            <w:tcBorders>
              <w:top w:val="doub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rPr>
                <w:sz w:val="20"/>
                <w:szCs w:val="20"/>
              </w:rPr>
            </w:pPr>
            <w:r>
              <w:rPr>
                <w:sz w:val="20"/>
                <w:szCs w:val="20"/>
              </w:rPr>
              <w:t>Début 10 :00</w:t>
            </w:r>
          </w:p>
        </w:tc>
        <w:tc>
          <w:tcPr>
            <w:tcW w:w="850" w:type="dxa"/>
            <w:tcBorders>
              <w:top w:val="double" w:sz="4" w:space="0" w:color="000000"/>
              <w:left w:val="single" w:sz="4" w:space="0" w:color="000000"/>
              <w:bottom w:val="single" w:sz="4" w:space="0" w:color="000000"/>
              <w:insideH w:val="single" w:sz="4" w:space="0" w:color="000000"/>
            </w:tcBorders>
            <w:shd w:fill="F3F3F3" w:val="clear"/>
            <w:tcMar>
              <w:left w:w="65" w:type="dxa"/>
            </w:tcMar>
            <w:vAlign w:val="center"/>
          </w:tcPr>
          <w:p>
            <w:pPr>
              <w:pStyle w:val="Normal"/>
              <w:rPr>
                <w:b/>
                <w:b/>
                <w:sz w:val="20"/>
                <w:szCs w:val="20"/>
              </w:rPr>
            </w:pPr>
            <w:r>
              <w:rPr>
                <w:b/>
                <w:sz w:val="20"/>
                <w:szCs w:val="20"/>
              </w:rPr>
              <w:t>LIEU</w:t>
            </w:r>
          </w:p>
        </w:tc>
        <w:tc>
          <w:tcPr>
            <w:tcW w:w="4297" w:type="dxa"/>
            <w:gridSpan w:val="3"/>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Mar>
              <w:left w:w="65" w:type="dxa"/>
            </w:tcMar>
            <w:vAlign w:val="center"/>
          </w:tcPr>
          <w:p>
            <w:pPr>
              <w:pStyle w:val="Normal"/>
              <w:rPr>
                <w:sz w:val="20"/>
                <w:szCs w:val="20"/>
              </w:rPr>
            </w:pPr>
            <w:r>
              <w:rPr>
                <w:sz w:val="20"/>
                <w:szCs w:val="20"/>
              </w:rPr>
              <w:t>BONNE SOURCE</w:t>
            </w:r>
          </w:p>
        </w:tc>
      </w:tr>
      <w:tr>
        <w:trPr>
          <w:trHeight w:val="510" w:hRule="atLeast"/>
          <w:cantSplit w:val="true"/>
        </w:trPr>
        <w:tc>
          <w:tcPr>
            <w:tcW w:w="952" w:type="dxa"/>
            <w:tcBorders>
              <w:top w:val="single" w:sz="4" w:space="0" w:color="000000"/>
              <w:left w:val="double" w:sz="4" w:space="0" w:color="000000"/>
              <w:bottom w:val="single" w:sz="4" w:space="0" w:color="000000"/>
              <w:insideH w:val="single" w:sz="4" w:space="0" w:color="000000"/>
            </w:tcBorders>
            <w:shd w:fill="F3F3F3" w:val="clear"/>
            <w:tcMar>
              <w:left w:w="55" w:type="dxa"/>
            </w:tcMar>
            <w:vAlign w:val="center"/>
          </w:tcPr>
          <w:p>
            <w:pPr>
              <w:pStyle w:val="Normal"/>
              <w:spacing w:lineRule="auto" w:line="360"/>
              <w:rPr>
                <w:b/>
                <w:b/>
                <w:sz w:val="20"/>
                <w:szCs w:val="20"/>
              </w:rPr>
            </w:pPr>
            <w:r>
              <w:rPr>
                <w:b/>
                <w:sz w:val="20"/>
                <w:szCs w:val="20"/>
              </w:rPr>
              <w:t>OBJET</w:t>
            </w:r>
          </w:p>
        </w:tc>
        <w:tc>
          <w:tcPr>
            <w:tcW w:w="5922" w:type="dxa"/>
            <w:gridSpan w:val="5"/>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rPr>
                <w:sz w:val="20"/>
                <w:szCs w:val="20"/>
              </w:rPr>
            </w:pPr>
            <w:r>
              <w:rPr>
                <w:sz w:val="20"/>
                <w:szCs w:val="20"/>
              </w:rPr>
              <w:t>Commission d’interprétation</w:t>
            </w:r>
          </w:p>
        </w:tc>
        <w:tc>
          <w:tcPr>
            <w:tcW w:w="1843" w:type="dxa"/>
            <w:tcBorders>
              <w:top w:val="single" w:sz="4" w:space="0" w:color="000000"/>
              <w:left w:val="single" w:sz="4" w:space="0" w:color="000000"/>
              <w:bottom w:val="single" w:sz="4" w:space="0" w:color="000000"/>
              <w:insideH w:val="single" w:sz="4" w:space="0" w:color="000000"/>
            </w:tcBorders>
            <w:shd w:fill="F3F3F3" w:val="clear"/>
            <w:tcMar>
              <w:left w:w="65" w:type="dxa"/>
            </w:tcMar>
            <w:vAlign w:val="center"/>
          </w:tcPr>
          <w:p>
            <w:pPr>
              <w:pStyle w:val="Heading3"/>
              <w:numPr>
                <w:ilvl w:val="2"/>
                <w:numId w:val="1"/>
              </w:numPr>
              <w:spacing w:lineRule="auto" w:line="360"/>
              <w:rPr>
                <w:sz w:val="20"/>
                <w:szCs w:val="20"/>
              </w:rPr>
            </w:pPr>
            <w:r>
              <w:rPr>
                <w:b/>
                <w:bCs/>
                <w:sz w:val="20"/>
                <w:szCs w:val="20"/>
              </w:rPr>
              <w:t>ORDRE DU JOUR</w:t>
            </w:r>
          </w:p>
        </w:tc>
        <w:tc>
          <w:tcPr>
            <w:tcW w:w="1712"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Mar>
              <w:left w:w="65" w:type="dxa"/>
            </w:tcMar>
            <w:vAlign w:val="center"/>
          </w:tcPr>
          <w:p>
            <w:pPr>
              <w:pStyle w:val="Heading3"/>
              <w:numPr>
                <w:ilvl w:val="2"/>
                <w:numId w:val="1"/>
              </w:numPr>
              <w:spacing w:lineRule="auto" w:line="360"/>
              <w:rPr>
                <w:sz w:val="20"/>
                <w:szCs w:val="20"/>
              </w:rPr>
            </w:pPr>
            <w:r>
              <w:rPr>
                <w:sz w:val="20"/>
                <w:szCs w:val="20"/>
              </w:rPr>
              <w:t>/</w:t>
            </w:r>
          </w:p>
        </w:tc>
      </w:tr>
      <w:tr>
        <w:trPr>
          <w:trHeight w:val="353" w:hRule="atLeast"/>
          <w:cantSplit w:val="true"/>
        </w:trPr>
        <w:tc>
          <w:tcPr>
            <w:tcW w:w="2116" w:type="dxa"/>
            <w:gridSpan w:val="2"/>
            <w:tcBorders>
              <w:top w:val="single" w:sz="4" w:space="0" w:color="000000"/>
              <w:left w:val="double" w:sz="4" w:space="0" w:color="000000"/>
              <w:bottom w:val="single" w:sz="4" w:space="0" w:color="000000"/>
              <w:insideH w:val="single" w:sz="4" w:space="0" w:color="000000"/>
            </w:tcBorders>
            <w:shd w:fill="F3F3F3" w:val="clear"/>
            <w:tcMar>
              <w:left w:w="55" w:type="dxa"/>
            </w:tcMar>
            <w:vAlign w:val="center"/>
          </w:tcPr>
          <w:p>
            <w:pPr>
              <w:pStyle w:val="Normal"/>
              <w:spacing w:lineRule="auto" w:line="360"/>
              <w:rPr>
                <w:b/>
                <w:b/>
                <w:sz w:val="20"/>
                <w:szCs w:val="20"/>
              </w:rPr>
            </w:pPr>
            <w:r>
              <w:rPr>
                <w:b/>
                <w:sz w:val="20"/>
                <w:szCs w:val="20"/>
              </w:rPr>
              <w:t>ANIMATEUR</w:t>
            </w:r>
          </w:p>
        </w:tc>
        <w:tc>
          <w:tcPr>
            <w:tcW w:w="4758" w:type="dxa"/>
            <w:gridSpan w:val="4"/>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rPr>
                <w:sz w:val="20"/>
                <w:szCs w:val="20"/>
              </w:rPr>
            </w:pPr>
            <w:r>
              <w:rPr>
                <w:sz w:val="20"/>
                <w:szCs w:val="20"/>
              </w:rPr>
              <w:t>‘</w:t>
            </w:r>
            <w:r>
              <w:rPr>
                <w:sz w:val="20"/>
                <w:szCs w:val="20"/>
              </w:rPr>
              <w:t>/</w:t>
            </w:r>
          </w:p>
        </w:tc>
        <w:tc>
          <w:tcPr>
            <w:tcW w:w="1843" w:type="dxa"/>
            <w:tcBorders>
              <w:top w:val="single" w:sz="4" w:space="0" w:color="000000"/>
              <w:left w:val="single" w:sz="4" w:space="0" w:color="000000"/>
              <w:bottom w:val="single" w:sz="4" w:space="0" w:color="000000"/>
              <w:insideH w:val="single" w:sz="4" w:space="0" w:color="000000"/>
            </w:tcBorders>
            <w:shd w:fill="F3F3F3" w:val="clear"/>
            <w:tcMar>
              <w:left w:w="65" w:type="dxa"/>
            </w:tcMar>
            <w:vAlign w:val="center"/>
          </w:tcPr>
          <w:p>
            <w:pPr>
              <w:pStyle w:val="Normal"/>
              <w:spacing w:lineRule="auto" w:line="360"/>
              <w:rPr>
                <w:b/>
                <w:b/>
                <w:bCs/>
                <w:sz w:val="20"/>
                <w:szCs w:val="20"/>
              </w:rPr>
            </w:pPr>
            <w:r>
              <w:rPr>
                <w:b/>
                <w:bCs/>
                <w:sz w:val="20"/>
                <w:szCs w:val="20"/>
              </w:rPr>
              <w:t>REDACTEUR</w:t>
            </w:r>
          </w:p>
        </w:tc>
        <w:tc>
          <w:tcPr>
            <w:tcW w:w="1712"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Mar>
              <w:left w:w="65" w:type="dxa"/>
            </w:tcMar>
            <w:vAlign w:val="center"/>
          </w:tcPr>
          <w:p>
            <w:pPr>
              <w:pStyle w:val="Normal"/>
              <w:snapToGrid w:val="false"/>
              <w:spacing w:lineRule="auto" w:line="360"/>
              <w:ind w:left="110" w:hanging="0"/>
              <w:rPr>
                <w:b/>
                <w:b/>
                <w:bCs/>
                <w:sz w:val="20"/>
                <w:szCs w:val="20"/>
              </w:rPr>
            </w:pPr>
            <w:r>
              <w:rPr>
                <w:b/>
                <w:bCs/>
                <w:sz w:val="20"/>
                <w:szCs w:val="20"/>
              </w:rPr>
            </w:r>
          </w:p>
        </w:tc>
      </w:tr>
      <w:tr>
        <w:trPr>
          <w:trHeight w:val="397" w:hRule="atLeast"/>
          <w:cantSplit w:val="true"/>
        </w:trPr>
        <w:tc>
          <w:tcPr>
            <w:tcW w:w="2116" w:type="dxa"/>
            <w:gridSpan w:val="2"/>
            <w:tcBorders>
              <w:top w:val="single" w:sz="4" w:space="0" w:color="000000"/>
              <w:left w:val="double" w:sz="4" w:space="0" w:color="000000"/>
              <w:bottom w:val="double" w:sz="4" w:space="0" w:color="000000"/>
              <w:insideH w:val="double" w:sz="4" w:space="0" w:color="000000"/>
            </w:tcBorders>
            <w:shd w:fill="F3F3F3" w:val="clear"/>
            <w:tcMar>
              <w:left w:w="55" w:type="dxa"/>
            </w:tcMar>
            <w:vAlign w:val="center"/>
          </w:tcPr>
          <w:p>
            <w:pPr>
              <w:pStyle w:val="Normal"/>
              <w:rPr>
                <w:b/>
                <w:b/>
                <w:sz w:val="20"/>
                <w:szCs w:val="20"/>
              </w:rPr>
            </w:pPr>
            <w:r>
              <w:rPr>
                <w:b/>
                <w:sz w:val="20"/>
                <w:szCs w:val="20"/>
              </w:rPr>
              <w:t>PARTICIPANTS</w:t>
            </w:r>
          </w:p>
          <w:p>
            <w:pPr>
              <w:pStyle w:val="Normal"/>
              <w:jc w:val="center"/>
              <w:rPr>
                <w:b/>
                <w:b/>
                <w:sz w:val="20"/>
                <w:szCs w:val="20"/>
              </w:rPr>
            </w:pPr>
            <w:r>
              <w:rPr>
                <w:b/>
                <w:sz w:val="20"/>
                <w:szCs w:val="20"/>
              </w:rPr>
              <w:t>(Fiche de présence complétée)</w:t>
            </w:r>
          </w:p>
        </w:tc>
        <w:tc>
          <w:tcPr>
            <w:tcW w:w="4758" w:type="dxa"/>
            <w:gridSpan w:val="4"/>
            <w:tcBorders>
              <w:top w:val="single" w:sz="4" w:space="0" w:color="000000"/>
              <w:left w:val="single" w:sz="4" w:space="0" w:color="000000"/>
              <w:bottom w:val="double" w:sz="4" w:space="0" w:color="000000"/>
              <w:insideH w:val="double" w:sz="4" w:space="0" w:color="000000"/>
            </w:tcBorders>
            <w:shd w:fill="auto" w:val="clear"/>
            <w:tcMar>
              <w:left w:w="65" w:type="dxa"/>
            </w:tcMar>
            <w:vAlign w:val="center"/>
          </w:tcPr>
          <w:p>
            <w:pPr>
              <w:pStyle w:val="Normal"/>
              <w:rPr/>
            </w:pPr>
            <w:r>
              <w:rPr>
                <w:sz w:val="20"/>
                <w:szCs w:val="20"/>
              </w:rPr>
              <w:t xml:space="preserve">… </w:t>
            </w:r>
            <w:r>
              <w:rPr>
                <w:sz w:val="20"/>
                <w:szCs w:val="20"/>
              </w:rPr>
              <w:t>(DS UNSA)</w:t>
            </w:r>
          </w:p>
          <w:p>
            <w:pPr>
              <w:pStyle w:val="Normal"/>
              <w:rPr/>
            </w:pPr>
            <w:r>
              <w:rPr>
                <w:sz w:val="20"/>
                <w:szCs w:val="20"/>
              </w:rPr>
              <w:t xml:space="preserve">… </w:t>
            </w:r>
            <w:r>
              <w:rPr>
                <w:sz w:val="20"/>
                <w:szCs w:val="20"/>
              </w:rPr>
              <w:t>(RRH)</w:t>
            </w:r>
          </w:p>
          <w:p>
            <w:pPr>
              <w:pStyle w:val="Normal"/>
              <w:rPr>
                <w:sz w:val="20"/>
                <w:szCs w:val="20"/>
              </w:rPr>
            </w:pPr>
            <w:r>
              <w:rPr>
                <w:sz w:val="20"/>
                <w:szCs w:val="20"/>
              </w:rPr>
              <w:t xml:space="preserve">… </w:t>
            </w:r>
            <w:r>
              <w:rPr>
                <w:sz w:val="20"/>
                <w:szCs w:val="20"/>
              </w:rPr>
              <w:t>(représenté par …)</w:t>
            </w:r>
          </w:p>
        </w:tc>
        <w:tc>
          <w:tcPr>
            <w:tcW w:w="1843" w:type="dxa"/>
            <w:tcBorders>
              <w:top w:val="single" w:sz="4" w:space="0" w:color="000000"/>
              <w:left w:val="single" w:sz="4" w:space="0" w:color="000000"/>
              <w:bottom w:val="double" w:sz="4" w:space="0" w:color="000000"/>
              <w:insideH w:val="double" w:sz="4" w:space="0" w:color="000000"/>
            </w:tcBorders>
            <w:shd w:fill="F3F3F3" w:val="clear"/>
            <w:tcMar>
              <w:left w:w="65" w:type="dxa"/>
            </w:tcMar>
            <w:vAlign w:val="center"/>
          </w:tcPr>
          <w:p>
            <w:pPr>
              <w:pStyle w:val="Normal"/>
              <w:jc w:val="both"/>
              <w:rPr>
                <w:b/>
                <w:b/>
                <w:bCs/>
                <w:sz w:val="20"/>
                <w:szCs w:val="20"/>
              </w:rPr>
            </w:pPr>
            <w:r>
              <w:rPr>
                <w:b/>
                <w:bCs/>
                <w:sz w:val="20"/>
                <w:szCs w:val="20"/>
              </w:rPr>
              <w:t>DIFFUSION</w:t>
            </w:r>
          </w:p>
        </w:tc>
        <w:tc>
          <w:tcPr>
            <w:tcW w:w="1712"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tcMar>
              <w:left w:w="65" w:type="dxa"/>
            </w:tcMar>
            <w:vAlign w:val="center"/>
          </w:tcPr>
          <w:p>
            <w:pPr>
              <w:pStyle w:val="Normal"/>
              <w:rPr>
                <w:sz w:val="20"/>
                <w:szCs w:val="20"/>
              </w:rPr>
            </w:pPr>
            <w:r>
              <w:rPr>
                <w:sz w:val="20"/>
                <w:szCs w:val="20"/>
              </w:rPr>
              <w:t>Participants</w:t>
            </w:r>
          </w:p>
          <w:p>
            <w:pPr>
              <w:pStyle w:val="Normal"/>
              <w:rPr>
                <w:sz w:val="20"/>
                <w:szCs w:val="20"/>
              </w:rPr>
            </w:pPr>
            <w:r>
              <w:rPr>
                <w:sz w:val="20"/>
                <w:szCs w:val="20"/>
              </w:rPr>
              <w:t>Gérants</w:t>
            </w:r>
          </w:p>
        </w:tc>
      </w:tr>
    </w:tbl>
    <w:p>
      <w:pPr>
        <w:pStyle w:val="Textebrut"/>
        <w:rPr>
          <w:rFonts w:ascii="Trebuchet MS" w:hAnsi="Trebuchet MS" w:cs="Trebuchet MS"/>
          <w:sz w:val="20"/>
          <w:szCs w:val="20"/>
          <w:lang w:val="fr-FR"/>
        </w:rPr>
      </w:pPr>
      <w:r>
        <w:rPr>
          <w:rFonts w:cs="Trebuchet MS" w:ascii="Trebuchet MS" w:hAnsi="Trebuchet MS"/>
          <w:sz w:val="20"/>
          <w:szCs w:val="20"/>
          <w:lang w:val="fr-FR"/>
        </w:rPr>
      </w:r>
    </w:p>
    <w:p>
      <w:pPr>
        <w:pStyle w:val="Textebrut"/>
        <w:rPr>
          <w:sz w:val="20"/>
          <w:szCs w:val="20"/>
          <w:lang w:val="fr-FR"/>
        </w:rPr>
      </w:pPr>
      <w:r>
        <w:rPr>
          <w:rFonts w:cs="Trebuchet MS" w:ascii="Trebuchet MS" w:hAnsi="Trebuchet MS"/>
          <w:sz w:val="20"/>
          <w:szCs w:val="20"/>
          <w:lang w:val="fr-FR"/>
        </w:rPr>
        <w:t xml:space="preserve">Objet : </w:t>
      </w:r>
      <w:r>
        <w:rPr>
          <w:sz w:val="20"/>
          <w:szCs w:val="20"/>
        </w:rPr>
        <w:t>Commission d’interprétation</w:t>
      </w:r>
      <w:r>
        <w:rPr>
          <w:sz w:val="20"/>
          <w:szCs w:val="20"/>
          <w:lang w:val="fr-FR"/>
        </w:rPr>
        <w:t xml:space="preserve"> NAO 2018.</w:t>
      </w:r>
    </w:p>
    <w:p>
      <w:pPr>
        <w:pStyle w:val="Textebrut"/>
        <w:rPr>
          <w:sz w:val="20"/>
          <w:szCs w:val="20"/>
          <w:lang w:val="fr-FR"/>
        </w:rPr>
      </w:pPr>
      <w:r>
        <w:rPr>
          <w:sz w:val="20"/>
          <w:szCs w:val="20"/>
          <w:lang w:val="fr-FR"/>
        </w:rPr>
      </w:r>
    </w:p>
    <w:p>
      <w:pPr>
        <w:pStyle w:val="Textebrut"/>
        <w:rPr>
          <w:sz w:val="20"/>
          <w:szCs w:val="20"/>
          <w:lang w:val="fr-FR"/>
        </w:rPr>
      </w:pPr>
      <w:r>
        <w:rPr>
          <w:sz w:val="20"/>
          <w:szCs w:val="20"/>
          <w:lang w:val="fr-FR"/>
        </w:rPr>
        <w:t>Le Dr … a transmis un pouvoir exceptionnel à Mr … pour le représenter dans le cadre de cette commission d’interprétation. ……, DS, était présente lors de cette transmission de pouvoir.</w:t>
      </w:r>
    </w:p>
    <w:p>
      <w:pPr>
        <w:pStyle w:val="Textebrut"/>
        <w:rPr>
          <w:sz w:val="20"/>
          <w:szCs w:val="20"/>
          <w:lang w:val="fr-FR"/>
        </w:rPr>
      </w:pPr>
      <w:r>
        <w:rPr>
          <w:sz w:val="20"/>
          <w:szCs w:val="20"/>
          <w:lang w:val="fr-FR"/>
        </w:rPr>
      </w:r>
    </w:p>
    <w:p>
      <w:pPr>
        <w:pStyle w:val="Textebrut"/>
        <w:rPr>
          <w:sz w:val="20"/>
          <w:szCs w:val="20"/>
          <w:lang w:val="fr-FR"/>
        </w:rPr>
      </w:pPr>
      <w:r>
        <w:rPr>
          <w:sz w:val="20"/>
          <w:szCs w:val="20"/>
          <w:lang w:val="fr-FR"/>
        </w:rPr>
        <w:t xml:space="preserve">La réunion débute à 10h00. </w:t>
      </w:r>
    </w:p>
    <w:p>
      <w:pPr>
        <w:pStyle w:val="Textebrut"/>
        <w:rPr>
          <w:rFonts w:ascii="Trebuchet MS" w:hAnsi="Trebuchet MS" w:cs="Trebuchet MS"/>
          <w:sz w:val="20"/>
          <w:szCs w:val="20"/>
          <w:lang w:val="fr-FR"/>
        </w:rPr>
      </w:pPr>
      <w:r>
        <w:rPr>
          <w:sz w:val="20"/>
          <w:szCs w:val="20"/>
          <w:lang w:val="fr-FR"/>
        </w:rPr>
        <w:t xml:space="preserve">Les 4 accords sont passés en revue :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b/>
          <w:b/>
          <w:sz w:val="20"/>
          <w:szCs w:val="20"/>
          <w:lang w:val="fr-FR"/>
        </w:rPr>
      </w:pPr>
      <w:r>
        <w:rPr>
          <w:rFonts w:cs="Trebuchet MS" w:ascii="Trebuchet MS" w:hAnsi="Trebuchet MS"/>
          <w:b/>
          <w:sz w:val="20"/>
          <w:szCs w:val="20"/>
          <w:lang w:val="fr-FR"/>
        </w:rPr>
        <w:t>Accord collectif aménagement du temps de travail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Pas de remarque concernant cet accord.</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pPr>
      <w:r>
        <w:rPr>
          <w:rFonts w:cs="Trebuchet MS" w:ascii="Trebuchet MS" w:hAnsi="Trebuchet MS"/>
          <w:b/>
          <w:sz w:val="20"/>
          <w:szCs w:val="20"/>
          <w:lang w:val="fr-FR"/>
        </w:rPr>
        <w:t>Accord collectif égalité professionnelle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Pas de remarque concernant cet accord.</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pPr>
      <w:r>
        <w:rPr>
          <w:rFonts w:cs="Trebuchet MS" w:ascii="Trebuchet MS" w:hAnsi="Trebuchet MS"/>
          <w:b/>
          <w:sz w:val="20"/>
          <w:szCs w:val="20"/>
          <w:lang w:val="fr-FR"/>
        </w:rPr>
        <w:t>Accord d’intéressement période 2019-2021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 xml:space="preserve">Le nouvel accord a reçu un avis favorable.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La DS nous informe de réflexions sur la mise en œuvre de projet de motivation.</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 xml:space="preserve">Ce point sera traité en CE.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pPr>
      <w:r>
        <w:rPr>
          <w:rFonts w:cs="Trebuchet MS" w:ascii="Trebuchet MS" w:hAnsi="Trebuchet MS"/>
          <w:b/>
          <w:sz w:val="20"/>
          <w:szCs w:val="20"/>
          <w:lang w:val="fr-FR"/>
        </w:rPr>
        <w:t xml:space="preserve">Accord collectif classification-rémunération : </w:t>
      </w:r>
    </w:p>
    <w:p>
      <w:pPr>
        <w:pStyle w:val="Textebrut"/>
        <w:jc w:val="both"/>
        <w:rPr/>
      </w:pPr>
      <w:r>
        <w:rPr>
          <w:rFonts w:cs="Trebuchet MS" w:ascii="Trebuchet MS" w:hAnsi="Trebuchet MS"/>
          <w:sz w:val="20"/>
          <w:szCs w:val="20"/>
          <w:lang w:val="fr-FR"/>
        </w:rPr>
        <w:t>Conformément à l’article 4 de l’accord, nous nous réunissons aujourd’hui afin d’étudier les cas particuliers des personnes ayant contesté l’application à titre individuel de cet accord.</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En préambule, il est rappelé les différentes décisions de l’accord. (Augmentation, disparition des primes,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 xml:space="preserve">La direction souligne qu’une simple information individuelle suffisait pour la mise en œuvre de cet accord collectif. Mais il a été décidé de rencontrer individuellement et de présenter un avenant au contrat de travail à tous les salariés directement impactés par les mesures (suppression prime,…). Cela concerne uniquement les manipulateurs.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pPr>
      <w:r>
        <w:rPr>
          <w:rFonts w:cs="Trebuchet MS" w:ascii="Trebuchet MS" w:hAnsi="Trebuchet MS"/>
          <w:sz w:val="20"/>
          <w:szCs w:val="20"/>
          <w:lang w:val="fr-FR"/>
        </w:rPr>
        <w:t xml:space="preserve">Il est précisé que les pratiques liées à l’indemnité différentielle et à l’outil ouvrant la possibilité d’utilisation de 20% de l’indemnité différentielle étaient mises en œuvre depuis 2014 pour plusieurs manipulateurs. La décision ou non d’application de cet outil dépendra des futures négociations et augmentations associées.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 xml:space="preserve">En résumé, malgré plusieurs réticences liées à l’insatisfaction des accords collectifs signés entre la DS UNSA et l’entreprise (augmentation trop faible, pas de prime pour tous, …) tous les salariés, à qui un avenant a été présenté, l’ont rendu signé, validant ainsi la prise de connaissance.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pPr>
      <w:r>
        <w:rPr>
          <w:rFonts w:cs="Trebuchet MS" w:ascii="Trebuchet MS" w:hAnsi="Trebuchet MS"/>
          <w:sz w:val="20"/>
          <w:szCs w:val="20"/>
          <w:lang w:val="fr-FR"/>
        </w:rPr>
        <w:t>8 salariés manipulateurs(trices) (noms transmis à la DS) ont demandé une étude individuelle de leur dossier dans le cadre de la conformité d’application de l’accord collectif à leur situation particulière, ce qui nous rassemble aujourd’hui. Depuis l’organisation de cette commission, les 8 salariés ont remis un avis favorable à la Direction. La réunion étant fixée, il est décidé d’examiner la situation de l’ensemble des manipulateurs.</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pPr>
      <w:r>
        <w:rPr>
          <w:rFonts w:cs="Trebuchet MS" w:ascii="Trebuchet MS" w:hAnsi="Trebuchet MS"/>
          <w:sz w:val="20"/>
          <w:szCs w:val="20"/>
          <w:lang w:val="fr-FR"/>
        </w:rPr>
        <w:t>Après un examen des situations, il apparait que les éléments sont conformes à l’application de l’accord collectif portant sur les primes, indemnités et la classification du 30/10/2018.</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 xml:space="preserve">Voici le compte-rendu des situations portant sur les 8 salariés ayant demandé une analyse de leur situation puis rendu un accord sur leur dossier. Pour assurer la confidentialité des données, le nom des personnes ne sont pas retranscrivent dans ce procès-verbal.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ind w:left="720" w:hanging="0"/>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ind w:left="720" w:hanging="0"/>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ind w:left="720" w:hanging="0"/>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numPr>
          <w:ilvl w:val="0"/>
          <w:numId w:val="3"/>
        </w:numPr>
        <w:jc w:val="both"/>
        <w:rPr>
          <w:rFonts w:ascii="Trebuchet MS" w:hAnsi="Trebuchet MS" w:cs="Trebuchet MS"/>
          <w:sz w:val="20"/>
          <w:szCs w:val="20"/>
          <w:lang w:val="fr-FR"/>
        </w:rPr>
      </w:pPr>
      <w:r>
        <w:rPr>
          <w:rFonts w:cs="Trebuchet MS" w:ascii="Trebuchet MS" w:hAnsi="Trebuchet MS"/>
          <w:sz w:val="20"/>
          <w:szCs w:val="20"/>
          <w:lang w:val="fr-FR"/>
        </w:rPr>
        <w:t>Salariés 1 à 4: Dans le cas de l’application de l’accord et de la suppression de la prime de technicité 100%, certaines situations (maladie, modif astreinte, ….) pouvaient entraîner une baisse de rémunération pour les salariés concernés par décision de l’entreprise. Il a été apporté des garanties contractuelles à ces salariés d’un maintien de salaire sur les situations conséquentes de choix de l’entreprise.</w:t>
      </w:r>
    </w:p>
    <w:p>
      <w:pPr>
        <w:pStyle w:val="Textebrut"/>
        <w:ind w:left="720" w:hanging="0"/>
        <w:jc w:val="both"/>
        <w:rPr>
          <w:rFonts w:ascii="Trebuchet MS" w:hAnsi="Trebuchet MS" w:eastAsia="Trebuchet MS" w:cs="Trebuchet MS"/>
          <w:sz w:val="20"/>
          <w:szCs w:val="20"/>
          <w:lang w:val="fr-FR"/>
        </w:rPr>
      </w:pPr>
      <w:r>
        <w:rPr>
          <w:rFonts w:eastAsia="Trebuchet MS" w:cs="Trebuchet MS" w:ascii="Trebuchet MS" w:hAnsi="Trebuchet MS"/>
          <w:sz w:val="20"/>
          <w:szCs w:val="20"/>
          <w:lang w:val="fr-FR"/>
        </w:rPr>
        <w:t xml:space="preserve"> </w:t>
      </w:r>
    </w:p>
    <w:p>
      <w:pPr>
        <w:pStyle w:val="Textebrut"/>
        <w:numPr>
          <w:ilvl w:val="0"/>
          <w:numId w:val="3"/>
        </w:numPr>
        <w:jc w:val="both"/>
        <w:rPr/>
      </w:pPr>
      <w:r>
        <w:rPr>
          <w:rFonts w:cs="Trebuchet MS" w:ascii="Trebuchet MS" w:hAnsi="Trebuchet MS"/>
          <w:sz w:val="20"/>
          <w:szCs w:val="20"/>
          <w:lang w:val="fr-FR"/>
        </w:rPr>
        <w:t>Salarié 5 : Reconnaissance de la polyvalence. Le point de la polyvalence avait été traité en juin 2018. Dans le présent accord, aucune mention à la polyvalence n’a été traitée, en s’appuyant sur le fait que tous les manipulateurs à diplôme égal sont susceptibles de réaliser les mêmes missions. L’accord collectif s’applique de manière conforme.</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numPr>
          <w:ilvl w:val="0"/>
          <w:numId w:val="3"/>
        </w:numPr>
        <w:jc w:val="both"/>
        <w:rPr/>
      </w:pPr>
      <w:r>
        <w:rPr>
          <w:rFonts w:cs="Trebuchet MS" w:ascii="Trebuchet MS" w:hAnsi="Trebuchet MS"/>
          <w:sz w:val="20"/>
          <w:szCs w:val="20"/>
          <w:lang w:val="fr-FR"/>
        </w:rPr>
        <w:t>Salarié 6 : Crainte de gel des salaires lié à l’utilisation des 20% sur l’indemnité différentielle.  Les règles de l’indemnité différentielle sont identiques pour tous les salariés. Celles-ci sont appliquées depuis 2014. Son application pourra être négociée lors de futures négociations. L’accord collectif s’applique de manière conforme.</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numPr>
          <w:ilvl w:val="0"/>
          <w:numId w:val="3"/>
        </w:numPr>
        <w:jc w:val="both"/>
        <w:rPr/>
      </w:pPr>
      <w:r>
        <w:rPr>
          <w:rFonts w:cs="Trebuchet MS" w:ascii="Trebuchet MS" w:hAnsi="Trebuchet MS"/>
          <w:sz w:val="20"/>
          <w:szCs w:val="20"/>
          <w:lang w:val="fr-FR"/>
        </w:rPr>
        <w:t>Salarié 7 : Le salarié était dans l’attente de l’obtention d’une prime par rapport à une affectation particulière. L’accord collectif supprimant cette prime, le salarié n’a pu en bénéficier, celle-ci ayant été dénoncée avant que le salarié puisse y prétendre. L’accord collectif s’applique de manière conforme.</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numPr>
          <w:ilvl w:val="0"/>
          <w:numId w:val="3"/>
        </w:numPr>
        <w:jc w:val="both"/>
        <w:rPr>
          <w:rFonts w:ascii="Trebuchet MS" w:hAnsi="Trebuchet MS" w:cs="Trebuchet MS"/>
          <w:sz w:val="20"/>
          <w:szCs w:val="20"/>
          <w:lang w:val="fr-FR"/>
        </w:rPr>
      </w:pPr>
      <w:r>
        <w:rPr>
          <w:rFonts w:cs="Trebuchet MS" w:ascii="Trebuchet MS" w:hAnsi="Trebuchet MS"/>
          <w:sz w:val="20"/>
          <w:szCs w:val="20"/>
          <w:lang w:val="fr-FR"/>
        </w:rPr>
        <w:t>Salarié 8 : Le salarié a démarré en octobre 2018 une activité pouvant donner lieu à terme  (6 à 12 mois) à une prime de technicité suivant les anciens accords. L’accord collectif supprimant cette prime, le salarié n’a pu bénéficier de cette prime. L’accord collectif s’applique de manière conforme.</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Tous les cas ont été discutés et l’accord collectif s’applique sans adaptation à l’ensemble des personnels, les éléments étant conformes aux dispositions négociées.</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 xml:space="preserve">A compter de cette date, si des revendications salariales ou des propositions d’amélioration salariales devaient être réalisées, celles-ci suivraient les instances officielles en étant émises sur les ordres du jour des réunions DP ou CE jusqu’à l’ouverture des prochaines NAO.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Les NAO 2018 sont clôturées.</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Fin de la réunion.</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pPr>
      <w:r>
        <w:rPr>
          <w:rFonts w:cs="Trebuchet MS" w:ascii="Trebuchet MS" w:hAnsi="Trebuchet MS"/>
          <w:sz w:val="20"/>
          <w:szCs w:val="20"/>
          <w:lang w:val="fr-FR"/>
        </w:rPr>
        <w:t>Pour la SCM NARBOSCAN</w:t>
        <w:tab/>
        <w:tab/>
        <w:tab/>
        <w:tab/>
        <w:tab/>
        <w:t>Pour l’UNSA</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eastAsia="Trebuchet MS" w:cs="Trebuchet MS" w:ascii="Trebuchet MS" w:hAnsi="Trebuchet MS"/>
          <w:sz w:val="20"/>
          <w:szCs w:val="20"/>
          <w:lang w:val="fr-FR"/>
        </w:rPr>
        <w:t>…</w:t>
      </w:r>
      <w:r>
        <w:rPr>
          <w:rFonts w:cs="Trebuchet MS" w:ascii="Trebuchet MS" w:hAnsi="Trebuchet MS"/>
          <w:sz w:val="20"/>
          <w:szCs w:val="20"/>
          <w:lang w:val="fr-FR"/>
        </w:rPr>
        <w:t>.</w:t>
        <w:tab/>
        <w:tab/>
        <w:tab/>
        <w:tab/>
        <w:tab/>
        <w:tab/>
        <w:tab/>
        <w:t xml:space="preserve">                  ….</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t>Gérant-Radiologue</w:t>
        <w:tab/>
        <w:tab/>
        <w:tab/>
        <w:tab/>
        <w:tab/>
        <w:tab/>
        <w:t>Déléguée Syndicale</w:t>
      </w:r>
    </w:p>
    <w:p>
      <w:pPr>
        <w:pStyle w:val="Textebrut"/>
        <w:jc w:val="both"/>
        <w:rPr>
          <w:rFonts w:ascii="Trebuchet MS" w:hAnsi="Trebuchet MS" w:cs="Trebuchet MS"/>
          <w:sz w:val="20"/>
          <w:szCs w:val="20"/>
          <w:lang w:val="fr-FR"/>
        </w:rPr>
      </w:pPr>
      <w:r>
        <w:rPr>
          <w:rFonts w:cs="Trebuchet MS" w:ascii="Trebuchet MS" w:hAnsi="Trebuchet MS"/>
          <w:sz w:val="20"/>
          <w:szCs w:val="20"/>
          <w:lang w:val="fr-FR"/>
        </w:rPr>
      </w:r>
    </w:p>
    <w:sectPr>
      <w:headerReference w:type="default" r:id="rId2"/>
      <w:footerReference w:type="default" r:id="rId3"/>
      <w:type w:val="nextPage"/>
      <w:pgSz w:w="11906" w:h="16838"/>
      <w:pgMar w:left="851" w:right="851" w:header="567"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Symbol">
    <w:charset w:val="01"/>
    <w:family w:val="roman"/>
    <w:pitch w:val="variable"/>
  </w:font>
  <w:font w:name="Trebuchet MS">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Calibr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68" w:type="dxa"/>
      <w:jc w:val="left"/>
      <w:tblInd w:w="0" w:type="dxa"/>
      <w:tblBorders/>
      <w:tblCellMar>
        <w:top w:w="0" w:type="dxa"/>
        <w:left w:w="108" w:type="dxa"/>
        <w:bottom w:w="0" w:type="dxa"/>
        <w:right w:w="108" w:type="dxa"/>
      </w:tblCellMar>
    </w:tblPr>
    <w:tblGrid>
      <w:gridCol w:w="1188"/>
      <w:gridCol w:w="8100"/>
      <w:gridCol w:w="1080"/>
    </w:tblGrid>
    <w:tr>
      <w:trPr/>
      <w:tc>
        <w:tcPr>
          <w:tcW w:w="1188" w:type="dxa"/>
          <w:tcBorders/>
          <w:shd w:fill="auto" w:val="clear"/>
        </w:tcPr>
        <w:p>
          <w:pPr>
            <w:pStyle w:val="Footer"/>
            <w:tabs>
              <w:tab w:val="left" w:pos="-630" w:leader="none"/>
              <w:tab w:val="center" w:pos="4860" w:leader="none"/>
              <w:tab w:val="right" w:pos="10260" w:leader="none"/>
            </w:tabs>
            <w:snapToGrid w:val="false"/>
            <w:rPr>
              <w:sz w:val="18"/>
              <w:szCs w:val="18"/>
              <w:lang w:val="en-GB" w:eastAsia="en-GB"/>
            </w:rPr>
          </w:pPr>
          <w:r>
            <w:rPr>
              <w:sz w:val="18"/>
              <w:szCs w:val="18"/>
              <w:lang w:val="en-GB" w:eastAsia="en-GB"/>
            </w:rPr>
          </w:r>
        </w:p>
      </w:tc>
      <w:tc>
        <w:tcPr>
          <w:tcW w:w="8100" w:type="dxa"/>
          <w:tcBorders/>
          <w:shd w:fill="auto" w:val="clear"/>
        </w:tcPr>
        <w:p>
          <w:pPr>
            <w:pStyle w:val="Footer"/>
            <w:tabs>
              <w:tab w:val="left" w:pos="-630" w:leader="none"/>
              <w:tab w:val="center" w:pos="4860" w:leader="none"/>
              <w:tab w:val="right" w:pos="10260" w:leader="none"/>
            </w:tabs>
            <w:snapToGrid w:val="false"/>
            <w:jc w:val="center"/>
            <w:rPr>
              <w:sz w:val="18"/>
              <w:szCs w:val="18"/>
              <w:lang w:val="en-GB" w:eastAsia="en-GB"/>
            </w:rPr>
          </w:pPr>
          <w:r>
            <w:rPr>
              <w:sz w:val="18"/>
              <w:szCs w:val="18"/>
              <w:lang w:val="en-GB" w:eastAsia="en-GB"/>
            </w:rPr>
          </w:r>
        </w:p>
        <w:p>
          <w:pPr>
            <w:pStyle w:val="Footer"/>
            <w:tabs>
              <w:tab w:val="left" w:pos="-630" w:leader="none"/>
              <w:tab w:val="center" w:pos="4860" w:leader="none"/>
              <w:tab w:val="right" w:pos="10260" w:leader="none"/>
            </w:tabs>
            <w:jc w:val="center"/>
            <w:rPr/>
          </w:pPr>
          <w:r>
            <w:rPr>
              <w:sz w:val="18"/>
              <w:szCs w:val="18"/>
              <w:lang w:val="en-GB" w:eastAsia="en-GB"/>
            </w:rPr>
            <w:t>Ce document est la propriété de la SCM NARBOSCAN et ne peut être reproduit sans son accord</w:t>
          </w:r>
        </w:p>
      </w:tc>
      <w:tc>
        <w:tcPr>
          <w:tcW w:w="1080" w:type="dxa"/>
          <w:tcBorders/>
          <w:shd w:fill="auto" w:val="clear"/>
        </w:tcPr>
        <w:p>
          <w:pPr>
            <w:pStyle w:val="Footer"/>
            <w:tabs>
              <w:tab w:val="left" w:pos="-630" w:leader="none"/>
              <w:tab w:val="center" w:pos="4860" w:leader="none"/>
              <w:tab w:val="right" w:pos="10260" w:leader="none"/>
            </w:tabs>
            <w:jc w:val="right"/>
            <w:rPr>
              <w:rStyle w:val="PageNumber"/>
              <w:sz w:val="18"/>
              <w:szCs w:val="18"/>
              <w:lang w:val="en-GB" w:eastAsia="en-GB"/>
            </w:rPr>
          </w:pPr>
          <w:r>
            <w:rPr>
              <w:sz w:val="18"/>
              <w:szCs w:val="18"/>
              <w:lang w:val="en-GB" w:eastAsia="en-GB"/>
            </w:rPr>
            <w:t xml:space="preserve">Page </w:t>
          </w:r>
          <w:r>
            <w:rPr>
              <w:rStyle w:val="PageNumber"/>
              <w:sz w:val="18"/>
              <w:szCs w:val="18"/>
            </w:rPr>
            <w:fldChar w:fldCharType="begin"/>
          </w:r>
          <w:r>
            <w:instrText> PAGE </w:instrText>
          </w:r>
          <w:r>
            <w:fldChar w:fldCharType="separate"/>
          </w:r>
          <w:r>
            <w:t>2</w:t>
          </w:r>
          <w:r>
            <w:fldChar w:fldCharType="end"/>
          </w:r>
          <w:r>
            <w:rPr>
              <w:rStyle w:val="PageNumber"/>
              <w:sz w:val="18"/>
              <w:szCs w:val="18"/>
            </w:rPr>
            <w:t>/</w:t>
          </w:r>
          <w:r>
            <w:rPr>
              <w:rStyle w:val="PageNumber"/>
              <w:sz w:val="18"/>
              <w:szCs w:val="18"/>
            </w:rPr>
            <w:fldChar w:fldCharType="begin"/>
          </w:r>
          <w:r>
            <w:instrText> NUMPAGES \* ARABIC </w:instrText>
          </w:r>
          <w:r>
            <w:fldChar w:fldCharType="separate"/>
          </w:r>
          <w:r>
            <w:t>2</w:t>
          </w:r>
          <w:r>
            <w:fldChar w:fldCharType="end"/>
          </w:r>
        </w:p>
      </w:tc>
    </w:tr>
  </w:tbl>
  <w:p>
    <w:pPr>
      <w:pStyle w:val="Footer"/>
      <w:tabs>
        <w:tab w:val="center" w:pos="4536" w:leader="none"/>
        <w:tab w:val="right" w:pos="10260" w:leader="none"/>
      </w:tabs>
      <w:rPr>
        <w:sz w:val="4"/>
        <w:szCs w:val="20"/>
      </w:rPr>
    </w:pPr>
    <w:r>
      <w:rPr>
        <w:sz w:val="4"/>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429" w:type="dxa"/>
      <w:jc w:val="left"/>
      <w:tblInd w:w="-5" w:type="dxa"/>
      <w:tblBorders>
        <w:top w:val="double" w:sz="4" w:space="0" w:color="000000"/>
        <w:left w:val="double" w:sz="4" w:space="0" w:color="000000"/>
        <w:bottom w:val="single" w:sz="4" w:space="0" w:color="000000"/>
        <w:insideH w:val="single" w:sz="4" w:space="0" w:color="000000"/>
      </w:tblBorders>
      <w:tblCellMar>
        <w:top w:w="0" w:type="dxa"/>
        <w:left w:w="55" w:type="dxa"/>
        <w:bottom w:w="0" w:type="dxa"/>
        <w:right w:w="70" w:type="dxa"/>
      </w:tblCellMar>
    </w:tblPr>
    <w:tblGrid>
      <w:gridCol w:w="3039"/>
      <w:gridCol w:w="4771"/>
      <w:gridCol w:w="2619"/>
    </w:tblGrid>
    <w:tr>
      <w:trPr>
        <w:trHeight w:val="650" w:hRule="atLeast"/>
        <w:cantSplit w:val="true"/>
      </w:trPr>
      <w:tc>
        <w:tcPr>
          <w:tcW w:w="3039" w:type="dxa"/>
          <w:vMerge w:val="restart"/>
          <w:tcBorders>
            <w:top w:val="double" w:sz="4" w:space="0" w:color="000000"/>
            <w:left w:val="double" w:sz="4" w:space="0" w:color="000000"/>
            <w:bottom w:val="single" w:sz="4" w:space="0" w:color="000000"/>
            <w:insideH w:val="single" w:sz="4" w:space="0" w:color="000000"/>
          </w:tcBorders>
          <w:shd w:fill="auto" w:val="clear"/>
          <w:tcMar>
            <w:left w:w="55" w:type="dxa"/>
          </w:tcMar>
          <w:vAlign w:val="center"/>
        </w:tcPr>
        <w:p>
          <w:pPr>
            <w:pStyle w:val="Header"/>
            <w:jc w:val="center"/>
            <w:rPr/>
          </w:pPr>
          <w:r>
            <w:rPr/>
            <w:drawing>
              <wp:inline distT="0" distB="0" distL="0" distR="0">
                <wp:extent cx="859155" cy="8439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859155" cy="843915"/>
                        </a:xfrm>
                        <a:prstGeom prst="rect">
                          <a:avLst/>
                        </a:prstGeom>
                      </pic:spPr>
                    </pic:pic>
                  </a:graphicData>
                </a:graphic>
              </wp:inline>
            </w:drawing>
          </w:r>
        </w:p>
      </w:tc>
      <w:tc>
        <w:tcPr>
          <w:tcW w:w="4771" w:type="dxa"/>
          <w:tcBorders>
            <w:top w:val="double" w:sz="4" w:space="0" w:color="000000"/>
            <w:left w:val="single" w:sz="4" w:space="0" w:color="000000"/>
          </w:tcBorders>
          <w:shd w:fill="auto" w:val="clear"/>
          <w:tcMar>
            <w:left w:w="65" w:type="dxa"/>
          </w:tcMar>
          <w:vAlign w:val="center"/>
        </w:tcPr>
        <w:p>
          <w:pPr>
            <w:pStyle w:val="Normal"/>
            <w:spacing w:lineRule="auto" w:line="360"/>
            <w:jc w:val="center"/>
            <w:rPr>
              <w:b/>
              <w:b/>
              <w:sz w:val="36"/>
            </w:rPr>
          </w:pPr>
          <w:r>
            <w:rPr>
              <w:b/>
              <w:sz w:val="36"/>
            </w:rPr>
            <w:t>Commission d’interprétation</w:t>
          </w:r>
        </w:p>
      </w:tc>
      <w:tc>
        <w:tcPr>
          <w:tcW w:w="2619"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Mar>
            <w:left w:w="65" w:type="dxa"/>
          </w:tcMar>
          <w:vAlign w:val="center"/>
        </w:tcPr>
        <w:p>
          <w:pPr>
            <w:pStyle w:val="Normal"/>
            <w:snapToGrid w:val="false"/>
            <w:spacing w:lineRule="auto" w:line="360"/>
            <w:rPr>
              <w:b/>
              <w:b/>
              <w:sz w:val="36"/>
            </w:rPr>
          </w:pPr>
          <w:r>
            <w:rPr>
              <w:b/>
              <w:sz w:val="36"/>
            </w:rPr>
          </w:r>
        </w:p>
      </w:tc>
    </w:tr>
    <w:tr>
      <w:trPr>
        <w:trHeight w:val="650" w:hRule="atLeast"/>
        <w:cantSplit w:val="true"/>
      </w:trPr>
      <w:tc>
        <w:tcPr>
          <w:tcW w:w="3039" w:type="dxa"/>
          <w:vMerge w:val="continue"/>
          <w:tcBorders>
            <w:top w:val="single" w:sz="4" w:space="0" w:color="000000"/>
            <w:left w:val="double" w:sz="4" w:space="0" w:color="000000"/>
            <w:bottom w:val="double" w:sz="4" w:space="0" w:color="000000"/>
            <w:insideH w:val="double" w:sz="4" w:space="0" w:color="000000"/>
          </w:tcBorders>
          <w:shd w:fill="auto" w:val="clear"/>
          <w:tcMar>
            <w:left w:w="55" w:type="dxa"/>
          </w:tcMar>
        </w:tcPr>
        <w:p>
          <w:pPr>
            <w:pStyle w:val="Normal"/>
            <w:snapToGrid w:val="false"/>
            <w:rPr/>
          </w:pPr>
          <w:r>
            <w:rPr/>
          </w:r>
        </w:p>
      </w:tc>
      <w:tc>
        <w:tcPr>
          <w:tcW w:w="4771" w:type="dxa"/>
          <w:tcBorders>
            <w:left w:val="single" w:sz="4" w:space="0" w:color="000000"/>
            <w:bottom w:val="double" w:sz="4" w:space="0" w:color="000000"/>
            <w:insideH w:val="double" w:sz="4" w:space="0" w:color="000000"/>
          </w:tcBorders>
          <w:shd w:fill="auto" w:val="clear"/>
          <w:tcMar>
            <w:left w:w="65" w:type="dxa"/>
          </w:tcMar>
          <w:vAlign w:val="center"/>
        </w:tcPr>
        <w:p>
          <w:pPr>
            <w:pStyle w:val="Normal"/>
            <w:spacing w:lineRule="auto" w:line="360"/>
            <w:jc w:val="center"/>
            <w:rPr>
              <w:b/>
              <w:b/>
              <w:bCs/>
              <w:sz w:val="32"/>
              <w:szCs w:val="32"/>
            </w:rPr>
          </w:pPr>
          <w:r>
            <w:rPr>
              <w:b/>
              <w:bCs/>
              <w:sz w:val="32"/>
              <w:szCs w:val="32"/>
            </w:rPr>
            <w:t>NAO 2018</w:t>
          </w:r>
        </w:p>
      </w:tc>
      <w:tc>
        <w:tcPr>
          <w:tcW w:w="2619"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tcMar>
            <w:left w:w="65" w:type="dxa"/>
          </w:tcMar>
          <w:vAlign w:val="center"/>
        </w:tcPr>
        <w:p>
          <w:pPr>
            <w:pStyle w:val="Normal"/>
            <w:spacing w:lineRule="auto" w:line="360"/>
            <w:rPr/>
          </w:pPr>
          <w:r>
            <w:rPr/>
            <w:t>Réf : 20181218</w:t>
          </w:r>
        </w:p>
      </w:tc>
    </w:tr>
  </w:tbl>
  <w:p>
    <w:pPr>
      <w:pStyle w:val="Header"/>
      <w:jc w:val="center"/>
      <w:rPr>
        <w:sz w:val="4"/>
      </w:rPr>
    </w:pPr>
    <w:r>
      <w:rPr>
        <w:sz w:val="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numFmt w:val="bullet"/>
      <w:lvlText w:val=""/>
      <w:lvlJc w:val="left"/>
      <w:pPr>
        <w:ind w:left="720" w:hanging="360"/>
      </w:pPr>
      <w:rPr>
        <w:rFonts w:ascii="Wingdings" w:hAnsi="Wingdings" w:cs="Wingdings" w:hint="default"/>
        <w:sz w:val="20"/>
        <w:szCs w:val="20"/>
        <w:rFonts w:cs="Times New Roman"/>
        <w:lang w:val="fr-FR"/>
      </w:rPr>
    </w:lvl>
  </w:abstractNum>
  <w:abstractNum w:abstractNumId="4">
    <w:lvl w:ilvl="0">
      <w:start w:val="1"/>
      <w:numFmt w:val="bullet"/>
      <w:lvlText w:val=""/>
      <w:lvlJc w:val="left"/>
      <w:pPr>
        <w:tabs>
          <w:tab w:val="num" w:pos="360"/>
        </w:tabs>
        <w:ind w:left="340" w:hanging="34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Cambria" w:hAnsi="Cambria" w:cs="Cambria"/>
      <w:b/>
      <w:bCs/>
      <w:sz w:val="32"/>
      <w:szCs w:val="32"/>
      <w:lang w:val="en-GB"/>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outlineLvl w:val="2"/>
      <w:outlineLvl w:val="2"/>
    </w:pPr>
    <w:rPr/>
  </w:style>
  <w:style w:type="character" w:styleId="WW8Num1z0">
    <w:name w:val="WW8Num1z0"/>
    <w:qFormat/>
    <w:rPr>
      <w:rFonts w:ascii="Symbol" w:hAnsi="Symbol" w:cs="Symbol"/>
    </w:rPr>
  </w:style>
  <w:style w:type="character" w:styleId="WW8Num2z0">
    <w:name w:val="WW8Num2z0"/>
    <w:qFormat/>
    <w:rPr>
      <w:rFonts w:ascii="Symbol" w:hAnsi="Symbol" w:cs="OpenSymbol"/>
    </w:rPr>
  </w:style>
  <w:style w:type="character" w:styleId="WW8Num3z0">
    <w:name w:val="WW8Num3z0"/>
    <w:qFormat/>
    <w:rPr>
      <w:rFonts w:ascii="Trebuchet MS" w:hAnsi="Trebuchet MS" w:eastAsia="Calibri"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ahoma" w:hAnsi="Tahoma" w:eastAsia="Times New Roman" w:cs="Tahoma"/>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rebuchet MS" w:hAnsi="Trebuchet MS" w:eastAsia="Calibri"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Wingdings" w:hAnsi="Wingdings" w:eastAsia="Calibri" w:cs="Times New Roman"/>
      <w:sz w:val="20"/>
      <w:szCs w:val="20"/>
      <w:lang w:val="fr-FR"/>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rebuchet MS" w:hAnsi="Trebuchet MS" w:eastAsia="Calibri"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eastAsia="Calibri"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Wingdings" w:hAnsi="Wingdings" w:cs="Wingdings"/>
    </w:rPr>
  </w:style>
  <w:style w:type="character" w:styleId="Policepardfaut">
    <w:name w:val="Police par défaut"/>
    <w:qFormat/>
    <w:rPr/>
  </w:style>
  <w:style w:type="character" w:styleId="FootnoteCharacters">
    <w:name w:val="Footnote Characters"/>
    <w:qFormat/>
    <w:rPr>
      <w:vertAlign w:val="superscript"/>
    </w:rPr>
  </w:style>
  <w:style w:type="character" w:styleId="PageNumber">
    <w:name w:val="Page Number"/>
    <w:basedOn w:val="Policepardfaut"/>
    <w:rPr/>
  </w:style>
  <w:style w:type="character" w:styleId="Lienglossaire">
    <w:name w:val="lienglossaire"/>
    <w:basedOn w:val="Policepardfaut"/>
    <w:qFormat/>
    <w:rPr/>
  </w:style>
  <w:style w:type="character" w:styleId="InternetLink">
    <w:name w:val="Internet Link"/>
    <w:rPr>
      <w:strike w:val="false"/>
      <w:dstrike w:val="false"/>
      <w:color w:val="0000FF"/>
      <w:u w:val="none"/>
    </w:rPr>
  </w:style>
  <w:style w:type="character" w:styleId="Emphasis">
    <w:name w:val="Emphasis"/>
    <w:qFormat/>
    <w:rPr>
      <w:i/>
      <w:iCs/>
    </w:rPr>
  </w:style>
  <w:style w:type="character" w:styleId="StrongEmphasis">
    <w:name w:val="Strong Emphasis"/>
    <w:rPr>
      <w:b/>
      <w:bCs/>
    </w:rPr>
  </w:style>
  <w:style w:type="character" w:styleId="TextedebullesCar">
    <w:name w:val="Texte de bulles Car"/>
    <w:qFormat/>
    <w:rPr>
      <w:rFonts w:ascii="Tahoma" w:hAnsi="Tahoma" w:cs="Tahoma"/>
      <w:sz w:val="16"/>
      <w:szCs w:val="16"/>
    </w:rPr>
  </w:style>
  <w:style w:type="character" w:styleId="TextebrutCar">
    <w:name w:val="Texte brut Car"/>
    <w:qFormat/>
    <w:rPr>
      <w:rFonts w:ascii="Calibri" w:hAnsi="Calibri" w:eastAsia="Calibri" w:cs="Calibri"/>
      <w:sz w:val="22"/>
      <w:szCs w:val="21"/>
    </w:rPr>
  </w:style>
  <w:style w:type="character" w:styleId="Titre1Car">
    <w:name w:val="Titre 1 Car"/>
    <w:qFormat/>
    <w:rPr>
      <w:rFonts w:ascii="Cambria" w:hAnsi="Cambria" w:eastAsia="Times New Roman" w:cs="Times New Roman"/>
      <w:b/>
      <w:bCs/>
      <w:sz w:val="32"/>
      <w:szCs w:val="32"/>
    </w:rPr>
  </w:style>
  <w:style w:type="character" w:styleId="Glossaryterm">
    <w:name w:val="glossaryterm"/>
    <w:qFormat/>
    <w:rPr/>
  </w:style>
  <w:style w:type="character" w:styleId="CorpsdetexteCar">
    <w:name w:val="Corps de texte Car"/>
    <w:qFormat/>
    <w:rPr>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numPr>
        <w:ilvl w:val="0"/>
        <w:numId w:val="4"/>
      </w:numPr>
      <w:ind w:right="72" w:hanging="0"/>
      <w:jc w:val="both"/>
    </w:pPr>
    <w:rPr/>
  </w:style>
  <w:style w:type="paragraph" w:styleId="Contents1">
    <w:name w:val="Contents 1"/>
    <w:basedOn w:val="Normal"/>
    <w:next w:val="Normal"/>
    <w:pPr/>
    <w:rPr/>
  </w:style>
  <w:style w:type="paragraph" w:styleId="Contents2">
    <w:name w:val="Contents 2"/>
    <w:basedOn w:val="Normal"/>
    <w:next w:val="Normal"/>
    <w:pPr>
      <w:tabs>
        <w:tab w:val="left" w:pos="800" w:leader="none"/>
        <w:tab w:val="right" w:pos="10194" w:leader="dot"/>
      </w:tabs>
      <w:spacing w:lineRule="auto" w:line="360"/>
      <w:ind w:left="198" w:hanging="0"/>
    </w:pPr>
    <w:rPr>
      <w:lang w:val="en-GB" w:eastAsia="en-GB"/>
    </w:rPr>
  </w:style>
  <w:style w:type="paragraph" w:styleId="Footnote">
    <w:name w:val="Footnote"/>
    <w:basedOn w:val="Normal"/>
    <w:pPr/>
    <w:rPr>
      <w:sz w:val="20"/>
      <w:szCs w:val="20"/>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boxcontent">
    <w:name w:val="textbox_content"/>
    <w:basedOn w:val="Normal"/>
    <w:qFormat/>
    <w:pPr/>
    <w:rPr/>
  </w:style>
  <w:style w:type="paragraph" w:styleId="Text">
    <w:name w:val="text"/>
    <w:basedOn w:val="Normal"/>
    <w:qFormat/>
    <w:pPr/>
    <w:rPr/>
  </w:style>
  <w:style w:type="paragraph" w:styleId="ListecouleurAccent1">
    <w:name w:val="Liste couleur - Accent 1"/>
    <w:basedOn w:val="Normal"/>
    <w:qFormat/>
    <w:pPr>
      <w:ind w:left="708" w:hanging="0"/>
    </w:pPr>
    <w:rPr/>
  </w:style>
  <w:style w:type="paragraph" w:styleId="Textedebulles">
    <w:name w:val="Texte de bulles"/>
    <w:basedOn w:val="Normal"/>
    <w:qFormat/>
    <w:pPr/>
    <w:rPr>
      <w:rFonts w:ascii="Tahoma" w:hAnsi="Tahoma" w:cs="Tahoma"/>
      <w:sz w:val="16"/>
      <w:szCs w:val="16"/>
      <w:lang w:val="en-GB"/>
    </w:rPr>
  </w:style>
  <w:style w:type="paragraph" w:styleId="Textebrut">
    <w:name w:val="Texte brut"/>
    <w:basedOn w:val="Normal"/>
    <w:qFormat/>
    <w:pPr/>
    <w:rPr>
      <w:rFonts w:ascii="Calibri" w:hAnsi="Calibri" w:eastAsia="Calibri" w:cs="Calibri"/>
      <w:sz w:val="22"/>
      <w:szCs w:val="21"/>
      <w:lang w:val="en-GB"/>
    </w:rPr>
  </w:style>
  <w:style w:type="paragraph" w:styleId="NormalWeb">
    <w:name w:val="Normal (Web)"/>
    <w:basedOn w:val="Normal"/>
    <w:qFormat/>
    <w:pPr>
      <w:spacing w:before="280" w:after="280"/>
    </w:pPr>
    <w:rPr/>
  </w:style>
  <w:style w:type="paragraph" w:styleId="Para">
    <w:name w:val="para"/>
    <w:basedOn w:val="Normal"/>
    <w:qFormat/>
    <w:pPr>
      <w:spacing w:before="280" w:after="280"/>
    </w:pPr>
    <w:rPr>
      <w:rFonts w:eastAsia="Calibri"/>
    </w:rPr>
  </w:style>
  <w:style w:type="paragraph" w:styleId="Paragraphedeliste">
    <w:name w:val="Paragraphe de liste"/>
    <w:basedOn w:val="Normal"/>
    <w:qFormat/>
    <w:pPr>
      <w:ind w:left="720" w:hanging="0"/>
    </w:pPr>
    <w:rPr>
      <w:rFonts w:ascii="Calibri" w:hAnsi="Calibri" w:eastAsia="Calibri" w:cs="Calibri"/>
      <w:sz w:val="22"/>
      <w:szCs w:val="22"/>
    </w:rPr>
  </w:style>
  <w:style w:type="paragraph" w:styleId="Listepuces">
    <w:name w:val="Liste à puces"/>
    <w:basedOn w:val="Normal"/>
    <w:qFormat/>
    <w:pPr>
      <w:numPr>
        <w:ilvl w:val="0"/>
        <w:numId w:val="2"/>
      </w:numPr>
      <w:spacing w:before="0" w:after="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S036J indE Compte-Rendu.dot</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2019-01-18T09:16:00Z</dcterms:created>
  <dc:language>en-GB</dc:language>
  <cp:lastPrinted>2018-12-21T14:45:00Z</cp:lastPrinted>
  <dcterms:modified xsi:type="dcterms:W3CDTF">2019-01-18T09:16:00Z</dcterms:modified>
  <cp:revision>2</cp:revision>
</cp:coreProperties>
</file>