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both"/>
        <w:rPr>
          <w:rFonts w:cs="Times New Roman"/>
        </w:rPr>
      </w:pPr>
      <w:r>
        <w:rPr>
          <w:rFonts w:cs="Times New Roman"/>
        </w:rPr>
      </w:r>
      <w:r>
        <mc:AlternateContent>
          <mc:Choice Requires="wps">
            <w:drawing>
              <wp:anchor behindDoc="1" distT="0" distB="0" distL="114935" distR="114935" simplePos="0" locked="0" layoutInCell="1" allowOverlap="1" relativeHeight="6">
                <wp:simplePos x="0" y="0"/>
                <wp:positionH relativeFrom="page">
                  <wp:posOffset>-118745</wp:posOffset>
                </wp:positionH>
                <wp:positionV relativeFrom="paragraph">
                  <wp:posOffset>-231140</wp:posOffset>
                </wp:positionV>
                <wp:extent cx="6181090" cy="466090"/>
                <wp:effectExtent l="0" t="0" r="0" b="0"/>
                <wp:wrapNone/>
                <wp:docPr id="1" name="Frame1"/>
                <a:graphic xmlns:a="http://schemas.openxmlformats.org/drawingml/2006/main">
                  <a:graphicData uri="http://schemas.microsoft.com/office/word/2010/wordprocessingShape">
                    <wps:wsp>
                      <wps:cNvSpPr txBox="1"/>
                      <wps:spPr>
                        <a:xfrm>
                          <a:off x="0" y="0"/>
                          <a:ext cx="6181090" cy="466090"/>
                        </a:xfrm>
                        <a:prstGeom prst="rect"/>
                        <a:solidFill>
                          <a:srgbClr val="FFFFFF"/>
                        </a:solidFill>
                        <a:ln w="9525">
                          <a:solidFill>
                            <a:srgbClr val="1F497D"/>
                          </a:solidFill>
                        </a:ln>
                      </wps:spPr>
                      <wps:txbx>
                        <w:txbxContent>
                          <w:p>
                            <w:pPr>
                              <w:pStyle w:val="Normal"/>
                              <w:jc w:val="center"/>
                              <w:rPr>
                                <w:rFonts w:ascii="Arial" w:hAnsi="Arial" w:cs="Arial"/>
                                <w:b/>
                                <w:b/>
                                <w:bCs/>
                                <w:color w:val="1F497D"/>
                                <w:sz w:val="22"/>
                                <w:szCs w:val="22"/>
                              </w:rPr>
                            </w:pPr>
                            <w:r>
                              <w:rPr>
                                <w:rFonts w:cs="Arial" w:ascii="Arial" w:hAnsi="Arial"/>
                                <w:b/>
                                <w:bCs/>
                                <w:color w:val="1F497D"/>
                                <w:sz w:val="22"/>
                                <w:szCs w:val="22"/>
                              </w:rPr>
                              <w:t>AVENANT N°2</w:t>
                            </w:r>
                          </w:p>
                          <w:p>
                            <w:pPr>
                              <w:pStyle w:val="Normal"/>
                              <w:jc w:val="center"/>
                              <w:rPr/>
                            </w:pPr>
                            <w:r>
                              <w:rPr>
                                <w:rFonts w:cs="Arial" w:ascii="Arial" w:hAnsi="Arial"/>
                                <w:b/>
                                <w:bCs/>
                                <w:color w:val="1F497D"/>
                                <w:sz w:val="22"/>
                                <w:szCs w:val="22"/>
                              </w:rPr>
                              <w:t>A L’ACCORD RELATIF AU REGIME COMPLEMENTAIRE SANTE DU 07/11/14</w:t>
                            </w:r>
                          </w:p>
                          <w:p>
                            <w:pPr>
                              <w:pStyle w:val="Normal"/>
                              <w:rPr>
                                <w:color w:val="1F497D"/>
                              </w:rPr>
                            </w:pPr>
                            <w:r>
                              <w:rPr>
                                <w:color w:val="1F497D"/>
                              </w:rPr>
                            </w:r>
                          </w:p>
                        </w:txbxContent>
                      </wps:txbx>
                      <wps:bodyPr anchor="t" lIns="91440" tIns="45720" rIns="91440" bIns="45720">
                        <a:noAutofit/>
                      </wps:bodyPr>
                    </wps:wsp>
                  </a:graphicData>
                </a:graphic>
              </wp:anchor>
            </w:drawing>
          </mc:Choice>
          <mc:Fallback>
            <w:pict>
              <v:rect fillcolor="#FFFFFF" strokecolor="#1F497D" strokeweight="0pt" style="position:absolute;rotation:0;width:486.7pt;height:36.7pt;mso-wrap-distance-left:9.05pt;mso-wrap-distance-right:9.05pt;margin-top:-18.2pt;mso-position-vertical-relative:text;margin-left:-9.35pt;mso-position-horizontal-relative:page">
                <v:textbox>
                  <w:txbxContent>
                    <w:p>
                      <w:pPr>
                        <w:pStyle w:val="Normal"/>
                        <w:jc w:val="center"/>
                        <w:rPr>
                          <w:rFonts w:ascii="Arial" w:hAnsi="Arial" w:cs="Arial"/>
                          <w:b/>
                          <w:b/>
                          <w:bCs/>
                          <w:color w:val="1F497D"/>
                          <w:sz w:val="22"/>
                          <w:szCs w:val="22"/>
                        </w:rPr>
                      </w:pPr>
                      <w:r>
                        <w:rPr>
                          <w:rFonts w:cs="Arial" w:ascii="Arial" w:hAnsi="Arial"/>
                          <w:b/>
                          <w:bCs/>
                          <w:color w:val="1F497D"/>
                          <w:sz w:val="22"/>
                          <w:szCs w:val="22"/>
                        </w:rPr>
                        <w:t>AVENANT N°2</w:t>
                      </w:r>
                    </w:p>
                    <w:p>
                      <w:pPr>
                        <w:pStyle w:val="Normal"/>
                        <w:jc w:val="center"/>
                        <w:rPr/>
                      </w:pPr>
                      <w:r>
                        <w:rPr>
                          <w:rFonts w:cs="Arial" w:ascii="Arial" w:hAnsi="Arial"/>
                          <w:b/>
                          <w:bCs/>
                          <w:color w:val="1F497D"/>
                          <w:sz w:val="22"/>
                          <w:szCs w:val="22"/>
                        </w:rPr>
                        <w:t>A L’ACCORD RELATIF AU REGIME COMPLEMENTAIRE SANTE DU 07/11/14</w:t>
                      </w:r>
                    </w:p>
                    <w:p>
                      <w:pPr>
                        <w:pStyle w:val="Normal"/>
                        <w:rPr>
                          <w:color w:val="1F497D"/>
                        </w:rPr>
                      </w:pPr>
                      <w:r>
                        <w:rPr>
                          <w:color w:val="1F497D"/>
                        </w:rPr>
                      </w:r>
                    </w:p>
                  </w:txbxContent>
                </v:textbox>
              </v:rect>
            </w:pict>
          </mc:Fallback>
        </mc:AlternateContent>
      </w:r>
    </w:p>
    <w:p>
      <w:pPr>
        <w:pStyle w:val="Normal"/>
        <w:spacing w:before="0" w:after="120"/>
        <w:jc w:val="both"/>
        <w:rPr>
          <w:rFonts w:cs="Times New Roman"/>
        </w:rPr>
      </w:pPr>
      <w:r>
        <w:rPr>
          <w:rFonts w:cs="Times New Roman"/>
        </w:rPr>
      </w:r>
    </w:p>
    <w:p>
      <w:pPr>
        <w:pStyle w:val="Normal"/>
        <w:jc w:val="both"/>
        <w:rPr>
          <w:rFonts w:cs="Times New Roman"/>
          <w:szCs w:val="24"/>
        </w:rPr>
      </w:pPr>
      <w:r>
        <w:rPr>
          <w:rFonts w:cs="Times New Roman"/>
          <w:szCs w:val="24"/>
        </w:rPr>
      </w:r>
    </w:p>
    <w:p>
      <w:pPr>
        <w:pStyle w:val="Normal"/>
        <w:jc w:val="both"/>
        <w:rPr>
          <w:rFonts w:cs="Times New Roman"/>
          <w:szCs w:val="24"/>
        </w:rPr>
      </w:pPr>
      <w:r>
        <w:rPr>
          <w:rFonts w:cs="Times New Roman"/>
          <w:szCs w:val="24"/>
        </w:rPr>
      </w:r>
    </w:p>
    <w:p>
      <w:pPr>
        <w:pStyle w:val="Normal"/>
        <w:jc w:val="both"/>
        <w:rPr>
          <w:rFonts w:cs="Times New Roman"/>
          <w:szCs w:val="24"/>
        </w:rPr>
      </w:pPr>
      <w:r>
        <w:rPr>
          <w:rFonts w:cs="Times New Roman"/>
          <w:szCs w:val="24"/>
        </w:rPr>
        <w:t>Entre les soussignés :</w:t>
      </w:r>
    </w:p>
    <w:p>
      <w:pPr>
        <w:pStyle w:val="Normal"/>
        <w:jc w:val="both"/>
        <w:rPr>
          <w:rFonts w:cs="Times New Roman"/>
          <w:szCs w:val="24"/>
        </w:rPr>
      </w:pPr>
      <w:r>
        <w:rPr>
          <w:rFonts w:cs="Times New Roman"/>
          <w:szCs w:val="24"/>
        </w:rPr>
      </w:r>
    </w:p>
    <w:p>
      <w:pPr>
        <w:pStyle w:val="Normal"/>
        <w:numPr>
          <w:ilvl w:val="0"/>
          <w:numId w:val="3"/>
        </w:numPr>
        <w:spacing w:before="0" w:after="120"/>
        <w:ind w:left="284" w:hanging="284"/>
        <w:jc w:val="both"/>
        <w:rPr/>
      </w:pPr>
      <w:r>
        <w:rPr>
          <w:rFonts w:cs="Times New Roman"/>
          <w:szCs w:val="24"/>
        </w:rPr>
        <w:t>Mutuelle Bleue, mutuelle soumise aux dispositions du Livre II du Code de la mutualité immatriculée au répertoire Sirene sous le numéro 775 671 993, dont le siège social est situé 68 rue du Rocher à Paris cedex 08 (75396), représentée par X ;</w:t>
      </w:r>
    </w:p>
    <w:p>
      <w:pPr>
        <w:pStyle w:val="Normal"/>
        <w:numPr>
          <w:ilvl w:val="0"/>
          <w:numId w:val="3"/>
        </w:numPr>
        <w:ind w:left="284" w:hanging="284"/>
        <w:jc w:val="both"/>
        <w:rPr>
          <w:rFonts w:cs="Times New Roman"/>
          <w:szCs w:val="24"/>
        </w:rPr>
      </w:pPr>
      <w:r>
        <w:rPr>
          <w:rFonts w:cs="Times New Roman"/>
          <w:szCs w:val="24"/>
        </w:rPr>
        <w:t>le G.I.E. Groupe les Hauts Mézereaux, immatriculé au RCS sous le numéro 389 734 914 dont le siège social est situé 14, rue René Cassin à Melun (77014), représenté par X ;</w:t>
      </w:r>
    </w:p>
    <w:p>
      <w:pPr>
        <w:pStyle w:val="Normal"/>
        <w:jc w:val="both"/>
        <w:rPr>
          <w:rFonts w:cs="Times New Roman"/>
          <w:szCs w:val="24"/>
        </w:rPr>
      </w:pPr>
      <w:r>
        <w:rPr>
          <w:rFonts w:cs="Times New Roman"/>
          <w:szCs w:val="24"/>
        </w:rPr>
      </w:r>
    </w:p>
    <w:p>
      <w:pPr>
        <w:pStyle w:val="Normal"/>
        <w:jc w:val="both"/>
        <w:rPr/>
      </w:pPr>
      <w:r>
        <w:rPr>
          <w:rFonts w:cs="Times New Roman"/>
          <w:szCs w:val="24"/>
        </w:rPr>
        <w:t>Ci-après dénommés « U.E.S. »</w:t>
      </w:r>
    </w:p>
    <w:p>
      <w:pPr>
        <w:pStyle w:val="Normal"/>
        <w:tabs>
          <w:tab w:val="left" w:pos="5370" w:leader="none"/>
        </w:tabs>
        <w:rPr>
          <w:rFonts w:cs="Times New Roman"/>
          <w:szCs w:val="24"/>
        </w:rPr>
      </w:pPr>
      <w:r>
        <w:rPr>
          <w:rFonts w:cs="Times New Roman"/>
          <w:szCs w:val="24"/>
        </w:rPr>
        <w:tab/>
      </w:r>
    </w:p>
    <w:p>
      <w:pPr>
        <w:pStyle w:val="Normal"/>
        <w:jc w:val="right"/>
        <w:rPr>
          <w:rFonts w:cs="Times New Roman"/>
          <w:b/>
          <w:b/>
          <w:szCs w:val="24"/>
        </w:rPr>
      </w:pPr>
      <w:r>
        <w:rPr>
          <w:rFonts w:cs="Times New Roman"/>
          <w:b/>
          <w:szCs w:val="24"/>
        </w:rPr>
        <w:t>d’une part,</w:t>
      </w:r>
    </w:p>
    <w:p>
      <w:pPr>
        <w:pStyle w:val="Normal"/>
        <w:jc w:val="both"/>
        <w:rPr>
          <w:rFonts w:cs="Times New Roman"/>
          <w:b/>
          <w:b/>
          <w:szCs w:val="24"/>
        </w:rPr>
      </w:pPr>
      <w:r>
        <w:rPr>
          <w:rFonts w:cs="Times New Roman"/>
          <w:b/>
          <w:szCs w:val="24"/>
        </w:rPr>
      </w:r>
    </w:p>
    <w:p>
      <w:pPr>
        <w:pStyle w:val="Normal"/>
        <w:jc w:val="both"/>
        <w:rPr>
          <w:rFonts w:cs="Times New Roman"/>
          <w:szCs w:val="24"/>
        </w:rPr>
      </w:pPr>
      <w:r>
        <w:rPr>
          <w:rFonts w:cs="Times New Roman"/>
          <w:szCs w:val="24"/>
        </w:rPr>
        <w:t xml:space="preserve">Et </w:t>
      </w:r>
    </w:p>
    <w:p>
      <w:pPr>
        <w:pStyle w:val="Normal"/>
        <w:jc w:val="both"/>
        <w:rPr>
          <w:rFonts w:cs="Times New Roman"/>
          <w:szCs w:val="24"/>
        </w:rPr>
      </w:pPr>
      <w:r>
        <w:rPr>
          <w:rFonts w:cs="Times New Roman"/>
          <w:szCs w:val="24"/>
        </w:rPr>
      </w:r>
    </w:p>
    <w:p>
      <w:pPr>
        <w:pStyle w:val="Normal"/>
        <w:jc w:val="both"/>
        <w:rPr>
          <w:rFonts w:cs="Times New Roman"/>
          <w:szCs w:val="24"/>
        </w:rPr>
      </w:pPr>
      <w:r>
        <w:rPr>
          <w:rFonts w:cs="Times New Roman"/>
          <w:szCs w:val="24"/>
        </w:rPr>
        <w:t>Les organisations syndicales représentatives au sens de l’article L2231-1 du Code du travail, ainsi représentées :</w:t>
      </w:r>
    </w:p>
    <w:p>
      <w:pPr>
        <w:pStyle w:val="Normal"/>
        <w:jc w:val="both"/>
        <w:rPr>
          <w:rFonts w:cs="Times New Roman"/>
          <w:szCs w:val="24"/>
        </w:rPr>
      </w:pPr>
      <w:r>
        <w:rPr>
          <w:rFonts w:cs="Times New Roman"/>
          <w:szCs w:val="24"/>
        </w:rPr>
      </w:r>
    </w:p>
    <w:p>
      <w:pPr>
        <w:pStyle w:val="Normal"/>
        <w:numPr>
          <w:ilvl w:val="0"/>
          <w:numId w:val="4"/>
        </w:numPr>
        <w:ind w:left="284" w:hanging="284"/>
        <w:jc w:val="both"/>
        <w:rPr/>
      </w:pPr>
      <w:r>
        <w:rPr>
          <w:rFonts w:cs="Times New Roman"/>
          <w:szCs w:val="24"/>
        </w:rPr>
        <w:t>Madame Y, agissant en qualité de déléguée syndicale de l’U.E.S désignée respectivement par l’organisation syndicale CFE-CGC</w:t>
      </w:r>
    </w:p>
    <w:p>
      <w:pPr>
        <w:pStyle w:val="Normal"/>
        <w:numPr>
          <w:ilvl w:val="0"/>
          <w:numId w:val="4"/>
        </w:numPr>
        <w:ind w:left="284" w:hanging="284"/>
        <w:jc w:val="both"/>
        <w:rPr/>
      </w:pPr>
      <w:r>
        <w:rPr>
          <w:rFonts w:cs="Times New Roman"/>
          <w:szCs w:val="24"/>
        </w:rPr>
        <w:t>Madame Z, agissant en qualité de déléguée syndicale de l’U.E.S désignée respectivement par l’organisation syndicale CGT</w:t>
      </w:r>
    </w:p>
    <w:p>
      <w:pPr>
        <w:pStyle w:val="Normal"/>
        <w:jc w:val="both"/>
        <w:rPr>
          <w:rFonts w:cs="Times New Roman"/>
          <w:szCs w:val="24"/>
        </w:rPr>
      </w:pPr>
      <w:r>
        <w:rPr>
          <w:rFonts w:cs="Times New Roman"/>
          <w:szCs w:val="24"/>
        </w:rPr>
      </w:r>
    </w:p>
    <w:p>
      <w:pPr>
        <w:pStyle w:val="Normal"/>
        <w:jc w:val="both"/>
        <w:rPr>
          <w:rFonts w:cs="Times New Roman"/>
          <w:b/>
          <w:b/>
          <w:szCs w:val="24"/>
        </w:rPr>
      </w:pPr>
      <w:r>
        <w:rPr>
          <w:rFonts w:cs="Times New Roman"/>
          <w:b/>
          <w:szCs w:val="24"/>
        </w:rPr>
      </w:r>
    </w:p>
    <w:p>
      <w:pPr>
        <w:pStyle w:val="Normal"/>
        <w:jc w:val="right"/>
        <w:rPr>
          <w:rFonts w:cs="Times New Roman"/>
          <w:b/>
          <w:b/>
          <w:szCs w:val="24"/>
        </w:rPr>
      </w:pPr>
      <w:r>
        <w:rPr>
          <w:rFonts w:cs="Times New Roman"/>
          <w:b/>
          <w:szCs w:val="24"/>
        </w:rPr>
        <w:t>d’autre part,</w:t>
      </w:r>
    </w:p>
    <w:p>
      <w:pPr>
        <w:pStyle w:val="Normal"/>
        <w:jc w:val="both"/>
        <w:rPr>
          <w:rFonts w:cs="Times New Roman"/>
          <w:b/>
          <w:b/>
          <w:sz w:val="20"/>
          <w:szCs w:val="20"/>
        </w:rPr>
      </w:pPr>
      <w:r>
        <w:rPr>
          <w:rFonts w:cs="Times New Roman"/>
          <w:b/>
          <w:sz w:val="20"/>
          <w:szCs w:val="20"/>
        </w:rPr>
      </w:r>
    </w:p>
    <w:p>
      <w:pPr>
        <w:pStyle w:val="Normal"/>
        <w:jc w:val="both"/>
        <w:rPr>
          <w:rFonts w:cs="Times New Roman"/>
          <w:sz w:val="20"/>
          <w:szCs w:val="20"/>
        </w:rPr>
      </w:pPr>
      <w:r>
        <w:rPr>
          <w:rFonts w:cs="Times New Roman"/>
          <w:sz w:val="20"/>
          <w:szCs w:val="20"/>
        </w:rPr>
      </w:r>
    </w:p>
    <w:p>
      <w:pPr>
        <w:pStyle w:val="Normal"/>
        <w:jc w:val="both"/>
        <w:rPr>
          <w:rFonts w:cs="Times New Roman"/>
          <w:sz w:val="20"/>
          <w:szCs w:val="20"/>
        </w:rPr>
      </w:pPr>
      <w:r>
        <w:rPr>
          <w:rFonts w:cs="Times New Roman"/>
          <w:sz w:val="20"/>
          <w:szCs w:val="20"/>
        </w:rPr>
      </w:r>
    </w:p>
    <w:p>
      <w:pPr>
        <w:pStyle w:val="Normal"/>
        <w:jc w:val="both"/>
        <w:rPr>
          <w:rFonts w:cs="Times New Roman"/>
          <w:sz w:val="20"/>
          <w:szCs w:val="20"/>
        </w:rPr>
      </w:pPr>
      <w:r>
        <w:rPr>
          <w:rFonts w:cs="Times New Roman"/>
          <w:sz w:val="20"/>
          <w:szCs w:val="20"/>
        </w:rPr>
      </w:r>
    </w:p>
    <w:p>
      <w:pPr>
        <w:pStyle w:val="Normal"/>
        <w:jc w:val="both"/>
        <w:rPr>
          <w:rFonts w:cs="Times New Roman"/>
          <w:sz w:val="20"/>
          <w:szCs w:val="20"/>
        </w:rPr>
      </w:pPr>
      <w:r>
        <w:rPr>
          <w:rFonts w:cs="Times New Roman"/>
          <w:sz w:val="20"/>
          <w:szCs w:val="20"/>
        </w:rPr>
      </w:r>
    </w:p>
    <w:p>
      <w:pPr>
        <w:pStyle w:val="Normal"/>
        <w:jc w:val="both"/>
        <w:rPr>
          <w:rFonts w:cs="Times New Roman"/>
          <w:sz w:val="20"/>
          <w:szCs w:val="20"/>
        </w:rPr>
      </w:pPr>
      <w:r>
        <w:rPr>
          <w:rFonts w:cs="Times New Roman"/>
          <w:sz w:val="20"/>
          <w:szCs w:val="20"/>
        </w:rPr>
      </w:r>
    </w:p>
    <w:p>
      <w:pPr>
        <w:pStyle w:val="Normal"/>
        <w:jc w:val="both"/>
        <w:rPr>
          <w:rFonts w:cs="Times New Roman"/>
          <w:sz w:val="20"/>
          <w:szCs w:val="20"/>
        </w:rPr>
      </w:pPr>
      <w:r>
        <w:rPr>
          <w:rFonts w:cs="Times New Roman"/>
          <w:sz w:val="20"/>
          <w:szCs w:val="20"/>
        </w:rPr>
      </w:r>
    </w:p>
    <w:p>
      <w:pPr>
        <w:pStyle w:val="Normal"/>
        <w:jc w:val="both"/>
        <w:rPr>
          <w:rFonts w:cs="Times New Roman"/>
          <w:sz w:val="20"/>
          <w:szCs w:val="20"/>
        </w:rPr>
      </w:pPr>
      <w:r>
        <w:rPr>
          <w:rFonts w:cs="Times New Roman"/>
          <w:sz w:val="20"/>
          <w:szCs w:val="20"/>
        </w:rPr>
      </w:r>
    </w:p>
    <w:p>
      <w:pPr>
        <w:pStyle w:val="Normal"/>
        <w:jc w:val="both"/>
        <w:rPr>
          <w:rFonts w:cs="Times New Roman"/>
          <w:sz w:val="20"/>
          <w:szCs w:val="20"/>
        </w:rPr>
      </w:pPr>
      <w:r>
        <w:rPr>
          <w:rFonts w:cs="Times New Roman"/>
          <w:sz w:val="20"/>
          <w:szCs w:val="20"/>
        </w:rPr>
      </w:r>
    </w:p>
    <w:p>
      <w:pPr>
        <w:pStyle w:val="Normal"/>
        <w:keepNext/>
        <w:numPr>
          <w:ilvl w:val="0"/>
          <w:numId w:val="0"/>
        </w:numPr>
        <w:spacing w:before="0" w:after="240"/>
        <w:jc w:val="center"/>
        <w:outlineLvl w:val="0"/>
        <w:rPr>
          <w:rFonts w:cs="Times New Roman"/>
          <w:b/>
          <w:b/>
          <w:color w:val="2F5496"/>
          <w:sz w:val="28"/>
          <w:szCs w:val="20"/>
        </w:rPr>
      </w:pPr>
      <w:r>
        <w:rPr>
          <w:rFonts w:cs="Times New Roman"/>
          <w:b/>
          <w:color w:val="2F5496"/>
          <w:sz w:val="28"/>
          <w:szCs w:val="20"/>
        </w:rPr>
        <w:t>PREAMBULE</w:t>
      </w:r>
    </w:p>
    <w:p>
      <w:pPr>
        <w:pStyle w:val="Normal"/>
        <w:spacing w:before="0" w:after="120"/>
        <w:jc w:val="both"/>
        <w:rPr>
          <w:rFonts w:cs="Times New Roman"/>
          <w:b/>
          <w:b/>
          <w:color w:val="2F5496"/>
          <w:sz w:val="28"/>
          <w:szCs w:val="24"/>
        </w:rPr>
      </w:pPr>
      <w:r>
        <w:rPr>
          <w:rFonts w:cs="Times New Roman"/>
          <w:b/>
          <w:color w:val="2F5496"/>
          <w:sz w:val="28"/>
          <w:szCs w:val="24"/>
        </w:rPr>
      </w:r>
    </w:p>
    <w:p>
      <w:pPr>
        <w:pStyle w:val="Normal"/>
        <w:spacing w:before="0" w:after="120"/>
        <w:jc w:val="both"/>
        <w:rPr/>
      </w:pPr>
      <w:r>
        <w:rPr>
          <w:rFonts w:cs="Times New Roman"/>
          <w:szCs w:val="24"/>
        </w:rPr>
        <w:t>Le présent avenant vise à optimiser le niveau de prestations du régime de complémentaire santé.</w:t>
      </w:r>
    </w:p>
    <w:p>
      <w:pPr>
        <w:pStyle w:val="Normal"/>
        <w:spacing w:before="0" w:after="120"/>
        <w:jc w:val="both"/>
        <w:rPr>
          <w:rFonts w:cs="Times New Roman"/>
          <w:bCs/>
          <w:szCs w:val="24"/>
          <w:highlight w:val="white"/>
        </w:rPr>
      </w:pPr>
      <w:r>
        <w:rPr>
          <w:rFonts w:cs="Times New Roman"/>
          <w:szCs w:val="24"/>
        </w:rPr>
        <w:t>En outre, il</w:t>
      </w:r>
      <w:r>
        <w:rPr>
          <w:rStyle w:val="StrongEmphasis"/>
          <w:rFonts w:cs="Times New Roman"/>
          <w:b w:val="false"/>
          <w:szCs w:val="24"/>
          <w:shd w:fill="FFFFFF" w:val="clear"/>
        </w:rPr>
        <w:t xml:space="preserve"> modifie les modalités de prise en charge de la cotisation santé des retraités et</w:t>
      </w:r>
      <w:r>
        <w:rPr>
          <w:rFonts w:cs="Times New Roman"/>
          <w:szCs w:val="24"/>
        </w:rPr>
        <w:t xml:space="preserve"> ajuste l’accord relatif au régime complémentaire santé du 7 novembre 2014 conformément au Décret du 21 mars 2017 </w:t>
      </w:r>
      <w:r>
        <w:rPr>
          <w:rStyle w:val="StrongEmphasis"/>
          <w:rFonts w:cs="Times New Roman"/>
          <w:b w:val="false"/>
          <w:szCs w:val="24"/>
          <w:shd w:fill="FFFFFF" w:val="clear"/>
        </w:rPr>
        <w:t>relatif à l'application de l'article 4 de la loi Evin.</w:t>
      </w:r>
    </w:p>
    <w:p>
      <w:pPr>
        <w:pStyle w:val="Normal"/>
        <w:spacing w:before="0" w:after="120"/>
        <w:jc w:val="both"/>
        <w:rPr>
          <w:rFonts w:cs="Times New Roman"/>
          <w:bCs/>
          <w:color w:val="00B050"/>
          <w:szCs w:val="24"/>
          <w:shd w:fill="FFFFFF" w:val="clear"/>
        </w:rPr>
      </w:pPr>
      <w:r>
        <w:rPr>
          <w:rFonts w:cs="Times New Roman"/>
          <w:bCs/>
          <w:color w:val="00B050"/>
          <w:szCs w:val="24"/>
          <w:shd w:fill="FFFFFF" w:val="clear"/>
        </w:rPr>
      </w:r>
    </w:p>
    <w:p>
      <w:pPr>
        <w:pStyle w:val="Heading4"/>
        <w:numPr>
          <w:ilvl w:val="3"/>
          <w:numId w:val="1"/>
        </w:numPr>
        <w:spacing w:before="0" w:after="120"/>
        <w:rPr>
          <w:color w:val="1F497D"/>
          <w:u w:val="none"/>
        </w:rPr>
      </w:pPr>
      <w:r>
        <w:rPr>
          <w:color w:val="1F497D"/>
          <w:u w:val="none"/>
        </w:rPr>
        <w:t>Article I : Objet de l’avenant</w:t>
      </w:r>
    </w:p>
    <w:p>
      <w:pPr>
        <w:pStyle w:val="Corpsdetexte2"/>
        <w:spacing w:before="0" w:after="60"/>
        <w:rPr/>
      </w:pPr>
      <w:r>
        <w:rPr/>
        <w:t>Le présent avenant modifie la grille de prestations du régime de complémentaire santé ainsi que les dispositions relatives au financement de la cotisation santé des retraités.</w:t>
      </w:r>
    </w:p>
    <w:p>
      <w:pPr>
        <w:pStyle w:val="Corpsdetexte2"/>
        <w:spacing w:before="0" w:after="60"/>
        <w:rPr/>
      </w:pPr>
      <w:r>
        <w:rPr/>
      </w:r>
    </w:p>
    <w:p>
      <w:pPr>
        <w:pStyle w:val="Heading4"/>
        <w:numPr>
          <w:ilvl w:val="3"/>
          <w:numId w:val="1"/>
        </w:numPr>
        <w:spacing w:before="0" w:after="120"/>
        <w:rPr>
          <w:color w:val="1F497D"/>
          <w:u w:val="none"/>
        </w:rPr>
      </w:pPr>
      <w:r>
        <w:rPr>
          <w:color w:val="1F497D"/>
          <w:u w:val="none"/>
        </w:rPr>
        <w:t>Article II : Bénéficiaires</w:t>
      </w:r>
    </w:p>
    <w:p>
      <w:pPr>
        <w:pStyle w:val="Corpsdetexte2"/>
        <w:spacing w:before="0" w:after="360"/>
        <w:rPr>
          <w:szCs w:val="24"/>
        </w:rPr>
      </w:pPr>
      <w:r>
        <w:rPr>
          <w:szCs w:val="24"/>
        </w:rPr>
        <w:t>Dispositions inchangées</w:t>
      </w:r>
    </w:p>
    <w:p>
      <w:pPr>
        <w:pStyle w:val="Corpsdetexte2"/>
        <w:spacing w:before="0" w:after="120"/>
        <w:rPr>
          <w:szCs w:val="24"/>
        </w:rPr>
      </w:pPr>
      <w:r>
        <w:rPr>
          <w:b/>
          <w:bCs/>
          <w:color w:val="1F497D"/>
          <w:sz w:val="28"/>
        </w:rPr>
        <w:t xml:space="preserve">Article III : Caractère obligatoire  </w:t>
      </w:r>
    </w:p>
    <w:p>
      <w:pPr>
        <w:pStyle w:val="Default"/>
        <w:spacing w:before="0" w:after="360"/>
        <w:jc w:val="both"/>
        <w:rPr>
          <w:color w:val="000000"/>
        </w:rPr>
      </w:pPr>
      <w:r>
        <w:rPr>
          <w:color w:val="000000"/>
        </w:rPr>
        <w:t>Dispositions inchangées</w:t>
      </w:r>
    </w:p>
    <w:p>
      <w:pPr>
        <w:pStyle w:val="Corpsdetexte2"/>
        <w:tabs>
          <w:tab w:val="left" w:pos="360" w:leader="none"/>
        </w:tabs>
        <w:spacing w:before="0" w:after="120"/>
        <w:rPr>
          <w:b/>
          <w:b/>
          <w:bCs/>
          <w:color w:val="1F497D"/>
          <w:sz w:val="28"/>
        </w:rPr>
      </w:pPr>
      <w:r>
        <w:rPr>
          <w:b/>
          <w:bCs/>
          <w:color w:val="1F497D"/>
          <w:sz w:val="28"/>
        </w:rPr>
        <w:t>Article IV : Prestations</w:t>
      </w:r>
    </w:p>
    <w:p>
      <w:pPr>
        <w:pStyle w:val="Corpsdetexte2"/>
        <w:spacing w:before="0" w:after="120"/>
        <w:rPr>
          <w:rFonts w:cs="Times New Roman"/>
          <w:i/>
          <w:i/>
          <w:szCs w:val="24"/>
        </w:rPr>
      </w:pPr>
      <w:r>
        <w:rPr>
          <w:rFonts w:cs="Times New Roman"/>
          <w:szCs w:val="24"/>
        </w:rPr>
        <w:t xml:space="preserve">Les prestations applicables aux salariés et à leurs ayants droit, </w:t>
      </w:r>
      <w:r>
        <w:rPr>
          <w:rFonts w:cs="Times New Roman"/>
        </w:rPr>
        <w:t>à compter du 1</w:t>
      </w:r>
      <w:r>
        <w:rPr>
          <w:rFonts w:cs="Times New Roman"/>
          <w:vertAlign w:val="superscript"/>
        </w:rPr>
        <w:t>er</w:t>
      </w:r>
      <w:r>
        <w:rPr>
          <w:rFonts w:cs="Times New Roman"/>
        </w:rPr>
        <w:t xml:space="preserve"> janvier 2018, </w:t>
      </w:r>
      <w:r>
        <w:rPr>
          <w:rFonts w:cs="Times New Roman"/>
          <w:szCs w:val="24"/>
        </w:rPr>
        <w:t xml:space="preserve"> sont décrites dans les annexes du présent avenant.</w:t>
      </w:r>
    </w:p>
    <w:p>
      <w:pPr>
        <w:pStyle w:val="Corpsdetexte2"/>
        <w:spacing w:before="0" w:after="120"/>
        <w:rPr/>
      </w:pPr>
      <w:r>
        <w:rPr>
          <w:rFonts w:cs="Times New Roman"/>
          <w:szCs w:val="24"/>
        </w:rPr>
        <w:t xml:space="preserve">Celles-ci </w:t>
      </w:r>
      <w:r>
        <w:rPr>
          <w:rFonts w:cs="Times New Roman"/>
        </w:rPr>
        <w:t>ont été définies conformément aux dispositions</w:t>
      </w:r>
      <w:r>
        <w:rPr>
          <w:rFonts w:cs="Times New Roman"/>
          <w:szCs w:val="24"/>
        </w:rPr>
        <w:t xml:space="preserve"> relatives au contrat responsable, au panier de soins minimal et aux dispositions conventionnelles.</w:t>
      </w:r>
    </w:p>
    <w:p>
      <w:pPr>
        <w:pStyle w:val="Corpsdetexte2"/>
        <w:spacing w:before="0" w:after="120"/>
        <w:rPr/>
      </w:pPr>
      <w:r>
        <w:rPr>
          <w:rFonts w:cs="Times New Roman"/>
          <w:szCs w:val="24"/>
        </w:rPr>
        <w:t>La Direction a souhaité faire évoluer le niveau de prestations du régime complémentaire santé.</w:t>
      </w:r>
    </w:p>
    <w:p>
      <w:pPr>
        <w:pStyle w:val="Normal"/>
        <w:spacing w:before="0" w:after="120"/>
        <w:jc w:val="both"/>
        <w:rPr>
          <w:rFonts w:cs="Times New Roman"/>
          <w:szCs w:val="24"/>
        </w:rPr>
      </w:pPr>
      <w:r>
        <w:rPr>
          <w:rFonts w:cs="Times New Roman"/>
          <w:szCs w:val="24"/>
        </w:rPr>
        <w:t>En conséquence, les salariés bénéficieront en 2018 de garanties plus avantageuses avec des remboursements optimisés notamment en matière d’optique et de dentaire.</w:t>
      </w:r>
    </w:p>
    <w:p>
      <w:pPr>
        <w:pStyle w:val="Corpsdetexte2"/>
        <w:spacing w:before="0" w:after="360"/>
        <w:rPr/>
      </w:pPr>
      <w:r>
        <w:rPr>
          <w:szCs w:val="24"/>
        </w:rPr>
        <w:t>Les parties rappellent</w:t>
      </w:r>
      <w:r>
        <w:rPr/>
        <w:t xml:space="preserve"> qu’en cas de précisions ou d’évolutions règlementaires pouvant remettre en cause le caractère responsable du contrat, les grilles de prestations seront immédiatement ajustées, conformément aux exigences légales et règlementaires, sans qu’un avenant à l’accord relatif au régime complémentaire santé soit nécessaire.</w:t>
      </w:r>
    </w:p>
    <w:p>
      <w:pPr>
        <w:pStyle w:val="Corpsdetexte2"/>
        <w:tabs>
          <w:tab w:val="left" w:pos="360" w:leader="none"/>
        </w:tabs>
        <w:spacing w:before="0" w:after="240"/>
        <w:rPr>
          <w:b/>
          <w:b/>
          <w:bCs/>
          <w:color w:val="1F497D"/>
          <w:sz w:val="28"/>
        </w:rPr>
      </w:pPr>
      <w:r>
        <w:rPr>
          <w:b/>
          <w:bCs/>
          <w:color w:val="1F497D"/>
          <w:sz w:val="28"/>
        </w:rPr>
        <w:t>Article V : Financement</w:t>
      </w:r>
    </w:p>
    <w:p>
      <w:pPr>
        <w:pStyle w:val="Normal"/>
        <w:spacing w:before="0" w:after="120"/>
        <w:ind w:left="567" w:hanging="567"/>
        <w:jc w:val="both"/>
        <w:rPr/>
      </w:pPr>
      <w:r>
        <w:rPr>
          <w:rFonts w:cs="Times New Roman"/>
          <w:b/>
          <w:color w:val="1F497D"/>
        </w:rPr>
        <w:t>5-1.</w:t>
        <w:tab/>
        <w:t>Montant de la cotisation</w:t>
      </w:r>
    </w:p>
    <w:p>
      <w:pPr>
        <w:pStyle w:val="Normal"/>
        <w:spacing w:before="0" w:after="120"/>
        <w:ind w:left="1276" w:hanging="709"/>
        <w:jc w:val="both"/>
        <w:rPr>
          <w:rFonts w:cs="Times New Roman"/>
          <w:color w:val="1F497D"/>
        </w:rPr>
      </w:pPr>
      <w:r>
        <w:rPr>
          <w:rFonts w:cs="Times New Roman"/>
          <w:color w:val="1F497D"/>
        </w:rPr>
        <w:t>5-1.1</w:t>
        <w:tab/>
      </w:r>
      <w:r>
        <w:rPr>
          <w:rFonts w:cs="Times New Roman"/>
          <w:color w:val="1F497D"/>
          <w:u w:val="single"/>
        </w:rPr>
        <w:t>Pour les salariés</w:t>
      </w:r>
    </w:p>
    <w:p>
      <w:pPr>
        <w:pStyle w:val="Normal"/>
        <w:spacing w:before="0" w:after="60"/>
        <w:jc w:val="both"/>
        <w:rPr>
          <w:rFonts w:cs="Times New Roman"/>
          <w:szCs w:val="24"/>
        </w:rPr>
      </w:pPr>
      <w:r>
        <w:rPr>
          <w:szCs w:val="24"/>
        </w:rPr>
        <w:t xml:space="preserve">L’optimisation du niveau de prestations du régime complémentaire santé n’entrainera pas de hausse de la cotisation santé pour 2018. </w:t>
      </w:r>
    </w:p>
    <w:p>
      <w:pPr>
        <w:pStyle w:val="Normal"/>
        <w:spacing w:before="0" w:after="60"/>
        <w:jc w:val="both"/>
        <w:rPr>
          <w:rFonts w:cs="Times New Roman"/>
          <w:i/>
          <w:i/>
          <w:szCs w:val="24"/>
        </w:rPr>
      </w:pPr>
      <w:r>
        <w:rPr>
          <w:szCs w:val="24"/>
        </w:rPr>
        <w:t xml:space="preserve">La cotisation correspondant aux garanties de prévoyance est, quant à elle, portée à 1,80 € pour l’ensemble des salariés </w:t>
      </w:r>
      <w:r>
        <w:rPr>
          <w:i/>
          <w:szCs w:val="24"/>
        </w:rPr>
        <w:t xml:space="preserve">contre </w:t>
      </w:r>
      <w:r>
        <w:rPr>
          <w:rFonts w:cs="Times New Roman"/>
          <w:i/>
          <w:szCs w:val="24"/>
        </w:rPr>
        <w:t>1,78 € pour les salariés affiliés au régime général de Sécurité Sociale et 1,79 € pour les salariés affiliés au régime local d’Alsace-Moselle jusqu’à présent.</w:t>
      </w:r>
    </w:p>
    <w:p>
      <w:pPr>
        <w:pStyle w:val="Normal"/>
        <w:spacing w:before="0" w:after="60"/>
        <w:jc w:val="both"/>
        <w:rPr/>
      </w:pPr>
      <w:r>
        <w:rPr>
          <w:rFonts w:cs="Times New Roman"/>
          <w:szCs w:val="24"/>
        </w:rPr>
        <w:t xml:space="preserve">La cotisation, qui demeure forfaitaire et familiale, sera donc, </w:t>
      </w:r>
      <w:r>
        <w:rPr>
          <w:szCs w:val="24"/>
        </w:rPr>
        <w:t>au 1</w:t>
      </w:r>
      <w:r>
        <w:rPr>
          <w:szCs w:val="24"/>
          <w:vertAlign w:val="superscript"/>
        </w:rPr>
        <w:t>er</w:t>
      </w:r>
      <w:r>
        <w:rPr>
          <w:szCs w:val="24"/>
        </w:rPr>
        <w:t xml:space="preserve"> janvier 2018, de :</w:t>
      </w:r>
    </w:p>
    <w:p>
      <w:pPr>
        <w:pStyle w:val="Normal"/>
        <w:numPr>
          <w:ilvl w:val="0"/>
          <w:numId w:val="2"/>
        </w:numPr>
        <w:spacing w:before="0" w:after="60"/>
        <w:ind w:left="284" w:hanging="284"/>
        <w:jc w:val="both"/>
        <w:rPr/>
      </w:pPr>
      <w:r>
        <w:rPr>
          <w:rFonts w:cs="Times New Roman"/>
          <w:szCs w:val="24"/>
        </w:rPr>
        <w:t xml:space="preserve">152,98 € </w:t>
      </w:r>
      <w:r>
        <w:rPr>
          <w:rFonts w:cs="Times New Roman"/>
          <w:i/>
          <w:szCs w:val="24"/>
        </w:rPr>
        <w:t>dont 1,80 € correspondant aux garanties prévoyance</w:t>
      </w:r>
      <w:r>
        <w:rPr>
          <w:rFonts w:cs="Times New Roman"/>
          <w:szCs w:val="24"/>
        </w:rPr>
        <w:t xml:space="preserve"> pour les salariés affiliés au régime général de Sécurité Sociale ;</w:t>
      </w:r>
    </w:p>
    <w:p>
      <w:pPr>
        <w:pStyle w:val="Normal"/>
        <w:numPr>
          <w:ilvl w:val="0"/>
          <w:numId w:val="2"/>
        </w:numPr>
        <w:spacing w:before="0" w:after="120"/>
        <w:ind w:left="284" w:hanging="284"/>
        <w:jc w:val="both"/>
        <w:rPr/>
      </w:pPr>
      <w:r>
        <w:rPr>
          <w:rFonts w:cs="Times New Roman"/>
          <w:szCs w:val="24"/>
        </w:rPr>
        <w:t xml:space="preserve">142,77 € </w:t>
      </w:r>
      <w:r>
        <w:rPr>
          <w:rFonts w:cs="Times New Roman"/>
          <w:i/>
          <w:szCs w:val="24"/>
        </w:rPr>
        <w:t>dont 1,80 € correspondant aux garanties prévoyance</w:t>
      </w:r>
      <w:r>
        <w:rPr>
          <w:rFonts w:cs="Times New Roman"/>
          <w:szCs w:val="24"/>
        </w:rPr>
        <w:t xml:space="preserve"> pour les salariés affiliés au régime local d’Alsace-Moselle.</w:t>
      </w:r>
    </w:p>
    <w:p>
      <w:pPr>
        <w:pStyle w:val="Normal"/>
        <w:spacing w:before="0" w:after="240"/>
        <w:jc w:val="both"/>
        <w:rPr/>
      </w:pPr>
      <w:r>
        <w:rPr>
          <w:rFonts w:cs="Times New Roman"/>
          <w:szCs w:val="24"/>
        </w:rPr>
        <w:t>Pour rappel, les montants de cotisation sont révisables au 1</w:t>
      </w:r>
      <w:r>
        <w:rPr>
          <w:rFonts w:cs="Times New Roman"/>
          <w:szCs w:val="24"/>
          <w:vertAlign w:val="superscript"/>
        </w:rPr>
        <w:t>er</w:t>
      </w:r>
      <w:r>
        <w:rPr>
          <w:rFonts w:cs="Times New Roman"/>
          <w:szCs w:val="24"/>
        </w:rPr>
        <w:t xml:space="preserve"> janvier de chaque année en fonction des résultats techniques du contrat collectif.</w:t>
      </w:r>
    </w:p>
    <w:p>
      <w:pPr>
        <w:pStyle w:val="Normal"/>
        <w:spacing w:before="0" w:after="240"/>
        <w:jc w:val="both"/>
        <w:rPr>
          <w:rFonts w:cs="Times New Roman"/>
          <w:szCs w:val="24"/>
        </w:rPr>
      </w:pPr>
      <w:r>
        <w:rPr>
          <w:rFonts w:cs="Times New Roman"/>
          <w:szCs w:val="24"/>
        </w:rPr>
      </w:r>
    </w:p>
    <w:p>
      <w:pPr>
        <w:pStyle w:val="Normal"/>
        <w:spacing w:before="0" w:after="120"/>
        <w:ind w:left="1276" w:hanging="709"/>
        <w:jc w:val="both"/>
        <w:rPr>
          <w:rFonts w:cs="Times New Roman"/>
          <w:color w:val="1F497D"/>
        </w:rPr>
      </w:pPr>
      <w:r>
        <w:rPr>
          <w:rFonts w:cs="Times New Roman"/>
          <w:color w:val="1F497D"/>
        </w:rPr>
        <w:t>5-1.2</w:t>
        <w:tab/>
      </w:r>
      <w:r>
        <w:rPr>
          <w:rFonts w:cs="Times New Roman"/>
          <w:color w:val="1F497D"/>
          <w:u w:val="single"/>
        </w:rPr>
        <w:t>Pour les retraités</w:t>
      </w:r>
    </w:p>
    <w:p>
      <w:pPr>
        <w:pStyle w:val="Normal"/>
        <w:spacing w:before="0" w:after="360"/>
        <w:jc w:val="both"/>
        <w:rPr>
          <w:rFonts w:cs="Times New Roman"/>
          <w:szCs w:val="24"/>
        </w:rPr>
      </w:pPr>
      <w:r>
        <w:rPr>
          <w:rFonts w:cs="Times New Roman"/>
          <w:iCs/>
          <w:color w:val="000000"/>
          <w:szCs w:val="24"/>
        </w:rPr>
        <w:t>Les montants de cotisations pour les retraités sont déterminés par l’assureur conformément à la règlementation en vigueur.</w:t>
      </w:r>
    </w:p>
    <w:p>
      <w:pPr>
        <w:pStyle w:val="Normal"/>
        <w:spacing w:before="0" w:after="120"/>
        <w:ind w:left="567" w:hanging="567"/>
        <w:jc w:val="both"/>
        <w:rPr/>
      </w:pPr>
      <w:r>
        <w:rPr>
          <w:rFonts w:cs="Times New Roman"/>
          <w:b/>
          <w:color w:val="1F497D"/>
        </w:rPr>
        <w:t>5-2.</w:t>
        <w:tab/>
        <w:t>Modalités de prise en charge</w:t>
      </w:r>
    </w:p>
    <w:p>
      <w:pPr>
        <w:pStyle w:val="Corpsdetexte2"/>
        <w:spacing w:before="0" w:after="120"/>
        <w:ind w:left="1276" w:hanging="709"/>
        <w:rPr>
          <w:rFonts w:cs="Times New Roman"/>
          <w:color w:val="1F497D"/>
        </w:rPr>
      </w:pPr>
      <w:r>
        <w:rPr>
          <w:rFonts w:cs="Times New Roman"/>
          <w:color w:val="1F497D"/>
        </w:rPr>
        <w:t>5-2.1</w:t>
        <w:tab/>
      </w:r>
      <w:r>
        <w:rPr>
          <w:rFonts w:cs="Times New Roman"/>
          <w:color w:val="1F497D"/>
          <w:u w:val="single"/>
        </w:rPr>
        <w:t>Pour les salariés</w:t>
      </w:r>
    </w:p>
    <w:p>
      <w:pPr>
        <w:pStyle w:val="Corpsdetexte2"/>
        <w:spacing w:before="0" w:after="240"/>
        <w:rPr>
          <w:rFonts w:cs="Times New Roman"/>
        </w:rPr>
      </w:pPr>
      <w:r>
        <w:rPr>
          <w:rFonts w:cs="Times New Roman"/>
        </w:rPr>
        <w:t>Dispositions inchangées</w:t>
      </w:r>
    </w:p>
    <w:p>
      <w:pPr>
        <w:pStyle w:val="Corpsdetexte2"/>
        <w:spacing w:before="0" w:after="120"/>
        <w:ind w:left="1276" w:hanging="709"/>
        <w:rPr>
          <w:rFonts w:cs="Times New Roman"/>
        </w:rPr>
      </w:pPr>
      <w:r>
        <w:rPr>
          <w:rFonts w:cs="Times New Roman"/>
          <w:color w:val="1F497D"/>
        </w:rPr>
        <w:t xml:space="preserve">5-2.2 </w:t>
        <w:tab/>
      </w:r>
      <w:r>
        <w:rPr>
          <w:rFonts w:cs="Times New Roman"/>
          <w:color w:val="1F497D"/>
          <w:u w:val="single"/>
        </w:rPr>
        <w:t>Pour les retraités</w:t>
      </w:r>
    </w:p>
    <w:p>
      <w:pPr>
        <w:pStyle w:val="Corpsdetexte2"/>
        <w:spacing w:before="0" w:after="60"/>
        <w:rPr>
          <w:rFonts w:cs="Times New Roman"/>
        </w:rPr>
      </w:pPr>
      <w:r>
        <w:rPr>
          <w:rFonts w:cs="Times New Roman"/>
        </w:rPr>
        <w:t>Les cotisations sont prises en charge par Mutuelle Bleue à hauteur de :</w:t>
      </w:r>
    </w:p>
    <w:p>
      <w:pPr>
        <w:pStyle w:val="Corpsdetexte2"/>
        <w:numPr>
          <w:ilvl w:val="0"/>
          <w:numId w:val="4"/>
        </w:numPr>
        <w:spacing w:before="0" w:after="60"/>
        <w:ind w:left="142" w:hanging="142"/>
        <w:rPr/>
      </w:pPr>
      <w:r>
        <w:rPr>
          <w:rFonts w:cs="Times New Roman"/>
        </w:rPr>
        <w:t>100 % la première année d’adhésion du retraité,</w:t>
      </w:r>
    </w:p>
    <w:p>
      <w:pPr>
        <w:pStyle w:val="Corpsdetexte2"/>
        <w:numPr>
          <w:ilvl w:val="0"/>
          <w:numId w:val="4"/>
        </w:numPr>
        <w:spacing w:before="0" w:after="120"/>
        <w:ind w:left="142" w:hanging="142"/>
        <w:rPr/>
      </w:pPr>
      <w:r>
        <w:rPr>
          <w:rFonts w:cs="Times New Roman"/>
        </w:rPr>
        <w:t>50 % à compter de la 2</w:t>
      </w:r>
      <w:r>
        <w:rPr>
          <w:rFonts w:cs="Times New Roman"/>
          <w:vertAlign w:val="superscript"/>
        </w:rPr>
        <w:t>ème</w:t>
      </w:r>
      <w:r>
        <w:rPr>
          <w:rFonts w:cs="Times New Roman"/>
        </w:rPr>
        <w:t xml:space="preserve"> année d’adhésion du retraité. Le retraité participe à hauteur de la quote part restante.</w:t>
      </w:r>
    </w:p>
    <w:p>
      <w:pPr>
        <w:pStyle w:val="Normal"/>
        <w:spacing w:before="0" w:after="360"/>
        <w:jc w:val="both"/>
        <w:rPr>
          <w:rFonts w:cs="Times New Roman"/>
        </w:rPr>
      </w:pPr>
      <w:r>
        <w:rPr>
          <w:rFonts w:cs="Times New Roman"/>
        </w:rPr>
        <w:t>L’ayant droit d’un retraité décédé pourra continuer à bénéficier du maintien des garanties et de la prise en charge de sa cotisation par Mutuelle Bleue, pendant une durée de 12 mois à compter du décès du retraité, suivant les modalités pré-citées.</w:t>
      </w:r>
    </w:p>
    <w:p>
      <w:pPr>
        <w:pStyle w:val="Corpsdetexte2"/>
        <w:spacing w:before="0" w:after="120"/>
        <w:rPr/>
      </w:pPr>
      <w:r>
        <w:rPr>
          <w:b/>
          <w:bCs/>
          <w:color w:val="1F497D"/>
          <w:sz w:val="28"/>
        </w:rPr>
        <w:t>Article VI : Maintien des garanties</w:t>
      </w:r>
    </w:p>
    <w:p>
      <w:pPr>
        <w:pStyle w:val="Normal"/>
        <w:spacing w:before="0" w:after="360"/>
        <w:jc w:val="both"/>
        <w:rPr>
          <w:szCs w:val="24"/>
        </w:rPr>
      </w:pPr>
      <w:r>
        <w:rPr>
          <w:szCs w:val="24"/>
        </w:rPr>
        <w:t>Dispositions inchangées</w:t>
      </w:r>
    </w:p>
    <w:p>
      <w:pPr>
        <w:pStyle w:val="Corpsdetexte2"/>
        <w:spacing w:before="0" w:after="120"/>
        <w:rPr>
          <w:b/>
          <w:b/>
          <w:bCs/>
          <w:color w:val="1F497D"/>
          <w:sz w:val="28"/>
        </w:rPr>
      </w:pPr>
      <w:r>
        <w:rPr>
          <w:b/>
          <w:bCs/>
          <w:color w:val="1F497D"/>
          <w:sz w:val="28"/>
        </w:rPr>
        <w:t>Article VII : Suivi</w:t>
      </w:r>
    </w:p>
    <w:p>
      <w:pPr>
        <w:pStyle w:val="Normal"/>
        <w:spacing w:before="0" w:after="360"/>
        <w:jc w:val="both"/>
        <w:rPr>
          <w:szCs w:val="24"/>
        </w:rPr>
      </w:pPr>
      <w:r>
        <w:rPr>
          <w:szCs w:val="24"/>
        </w:rPr>
        <w:t>Dispositions inchangées</w:t>
      </w:r>
    </w:p>
    <w:p>
      <w:pPr>
        <w:pStyle w:val="Corpsdetexte2"/>
        <w:spacing w:before="0" w:after="120"/>
        <w:rPr>
          <w:rFonts w:cs="Times New Roman"/>
          <w:b/>
          <w:b/>
          <w:bCs/>
          <w:color w:val="1F497D"/>
          <w:sz w:val="28"/>
        </w:rPr>
      </w:pPr>
      <w:r>
        <w:rPr>
          <w:b/>
          <w:bCs/>
          <w:color w:val="1F497D"/>
          <w:sz w:val="28"/>
        </w:rPr>
        <w:t xml:space="preserve">Article VIII : </w:t>
      </w:r>
      <w:r>
        <w:rPr>
          <w:rFonts w:cs="Times New Roman"/>
          <w:b/>
          <w:bCs/>
          <w:color w:val="1F497D"/>
          <w:sz w:val="28"/>
        </w:rPr>
        <w:t>Information</w:t>
      </w:r>
    </w:p>
    <w:p>
      <w:pPr>
        <w:pStyle w:val="Corpsdetexte2"/>
        <w:spacing w:before="0" w:after="360"/>
        <w:rPr>
          <w:rFonts w:cs="Times New Roman"/>
        </w:rPr>
      </w:pPr>
      <w:r>
        <w:rPr>
          <w:rFonts w:cs="Times New Roman"/>
        </w:rPr>
        <w:t>Un avis indiquant qu’un exemplaire de l’accord et de ses avenants est tenu à la disposition du personnel est affiché sur les différents lieux de travail.</w:t>
      </w:r>
    </w:p>
    <w:p>
      <w:pPr>
        <w:pStyle w:val="Corpsdetexte2"/>
        <w:spacing w:before="0" w:after="120"/>
        <w:rPr>
          <w:rFonts w:cs="Times New Roman"/>
          <w:b/>
          <w:b/>
          <w:bCs/>
          <w:color w:val="1F497D"/>
          <w:sz w:val="28"/>
        </w:rPr>
      </w:pPr>
      <w:r>
        <w:rPr>
          <w:b/>
          <w:bCs/>
          <w:color w:val="1F497D"/>
          <w:sz w:val="28"/>
        </w:rPr>
        <w:t xml:space="preserve">Article IX : </w:t>
      </w:r>
      <w:r>
        <w:rPr>
          <w:rFonts w:cs="Times New Roman"/>
          <w:b/>
          <w:bCs/>
          <w:color w:val="1F497D"/>
          <w:sz w:val="28"/>
        </w:rPr>
        <w:t>Durée – Révision / Dénonciation</w:t>
      </w:r>
    </w:p>
    <w:p>
      <w:pPr>
        <w:pStyle w:val="Corpsdetexte2"/>
        <w:spacing w:before="0" w:after="120"/>
        <w:rPr>
          <w:rFonts w:cs="Times New Roman"/>
        </w:rPr>
      </w:pPr>
      <w:r>
        <w:rPr>
          <w:rFonts w:cs="Times New Roman"/>
        </w:rPr>
        <w:t xml:space="preserve">Le présent avenant est conclu pour une durée indéterminée. </w:t>
      </w:r>
    </w:p>
    <w:p>
      <w:pPr>
        <w:pStyle w:val="Corpsdetexte2"/>
        <w:rPr>
          <w:rFonts w:cs="Times New Roman"/>
        </w:rPr>
      </w:pPr>
      <w:r>
        <w:rPr>
          <w:rFonts w:cs="Times New Roman"/>
        </w:rPr>
        <w:t xml:space="preserve">Il s’appliquera à compter du : </w:t>
      </w:r>
    </w:p>
    <w:p>
      <w:pPr>
        <w:pStyle w:val="Corpsdetexte2"/>
        <w:numPr>
          <w:ilvl w:val="0"/>
          <w:numId w:val="4"/>
        </w:numPr>
        <w:ind w:left="284" w:hanging="284"/>
        <w:rPr/>
      </w:pPr>
      <w:r>
        <w:rPr>
          <w:rFonts w:cs="Times New Roman"/>
        </w:rPr>
        <w:t>1</w:t>
      </w:r>
      <w:r>
        <w:rPr>
          <w:rFonts w:cs="Times New Roman"/>
          <w:vertAlign w:val="superscript"/>
        </w:rPr>
        <w:t>er</w:t>
      </w:r>
      <w:r>
        <w:rPr>
          <w:rFonts w:cs="Times New Roman"/>
        </w:rPr>
        <w:t xml:space="preserve"> juillet 2017 concernant les dispositions relatives au financement de la cotisation des retraités, prévues aux articles 5-1.2 et 5-2.2,</w:t>
      </w:r>
    </w:p>
    <w:p>
      <w:pPr>
        <w:pStyle w:val="Corpsdetexte2"/>
        <w:numPr>
          <w:ilvl w:val="0"/>
          <w:numId w:val="4"/>
        </w:numPr>
        <w:spacing w:before="0" w:after="120"/>
        <w:ind w:left="284" w:hanging="284"/>
        <w:rPr/>
      </w:pPr>
      <w:r>
        <w:rPr>
          <w:rFonts w:cs="Times New Roman"/>
        </w:rPr>
        <w:t>1</w:t>
      </w:r>
      <w:r>
        <w:rPr>
          <w:rFonts w:cs="Times New Roman"/>
          <w:vertAlign w:val="superscript"/>
        </w:rPr>
        <w:t>er</w:t>
      </w:r>
      <w:r>
        <w:rPr>
          <w:rFonts w:cs="Times New Roman"/>
        </w:rPr>
        <w:t xml:space="preserve"> janvier 2018 concernant les dispositions relatives au niveau de prestations et au montant de la cotisation, prévues aux articles IV et 5-1.1.</w:t>
      </w:r>
    </w:p>
    <w:p>
      <w:pPr>
        <w:pStyle w:val="Corpsdetexte2"/>
        <w:spacing w:before="0" w:after="360"/>
        <w:rPr>
          <w:rFonts w:cs="Times New Roman"/>
        </w:rPr>
      </w:pPr>
      <w:r>
        <w:rPr>
          <w:rFonts w:cs="Times New Roman"/>
        </w:rPr>
        <w:t>Le présent avenant pourra être révisé ou dénoncé par l’une ou l’autre des parties signataires, sous réserve de respecter un préavis de 3 mois et d’en informer par lettre recommandée avec accusé de réception chaque signataire de l’accord.</w:t>
      </w:r>
    </w:p>
    <w:p>
      <w:pPr>
        <w:pStyle w:val="Corpsdetexte2"/>
        <w:spacing w:before="0" w:after="360"/>
        <w:rPr>
          <w:rFonts w:cs="Times New Roman"/>
        </w:rPr>
      </w:pPr>
      <w:r>
        <w:rPr>
          <w:rFonts w:cs="Times New Roman"/>
        </w:rPr>
      </w:r>
    </w:p>
    <w:p>
      <w:pPr>
        <w:pStyle w:val="Corpsdetexte2"/>
        <w:spacing w:before="0" w:after="360"/>
        <w:rPr>
          <w:rFonts w:cs="Times New Roman"/>
        </w:rPr>
      </w:pPr>
      <w:r>
        <w:rPr>
          <w:rFonts w:cs="Times New Roman"/>
        </w:rPr>
      </w:r>
    </w:p>
    <w:p>
      <w:pPr>
        <w:pStyle w:val="Normal"/>
        <w:spacing w:before="0" w:after="120"/>
        <w:rPr/>
      </w:pPr>
      <w:r>
        <w:rPr>
          <w:b/>
          <w:bCs/>
          <w:color w:val="1F497D"/>
          <w:sz w:val="28"/>
        </w:rPr>
        <w:t>Article X : Publicité et dépôt</w:t>
      </w:r>
    </w:p>
    <w:p>
      <w:pPr>
        <w:pStyle w:val="Corpsdetexte2"/>
        <w:spacing w:before="0" w:after="120"/>
        <w:rPr/>
      </w:pPr>
      <w:r>
        <w:rPr>
          <w:rFonts w:cs="Times New Roman"/>
        </w:rPr>
        <w:t xml:space="preserve">Le présent avenant sera déposé en un exemplaire au Conseil de prud’hommes de Paris et en </w:t>
      </w:r>
      <w:r>
        <w:rPr/>
        <w:t xml:space="preserve">deux exemplaires (une version papier signée et une version électronique) </w:t>
      </w:r>
      <w:r>
        <w:rPr>
          <w:rFonts w:cs="Times New Roman"/>
        </w:rPr>
        <w:t>à la Direccte de Paris.</w:t>
      </w:r>
    </w:p>
    <w:p>
      <w:pPr>
        <w:pStyle w:val="Corpsdetexte2"/>
        <w:rPr>
          <w:rFonts w:cs="Times New Roman"/>
        </w:rPr>
      </w:pPr>
      <w:r>
        <w:rPr>
          <w:rFonts w:cs="Times New Roman"/>
        </w:rPr>
      </w:r>
    </w:p>
    <w:p>
      <w:pPr>
        <w:pStyle w:val="Corpsdetexte2"/>
        <w:rPr>
          <w:rFonts w:cs="Times New Roman"/>
        </w:rPr>
      </w:pPr>
      <w:r>
        <w:rPr>
          <w:rFonts w:cs="Times New Roman"/>
        </w:rPr>
        <w:t>Fait à Paris, le 25 septembre 2017,</w:t>
      </w:r>
    </w:p>
    <w:p>
      <w:pPr>
        <w:pStyle w:val="Normal"/>
        <w:jc w:val="both"/>
        <w:rPr>
          <w:rFonts w:cs="Times New Roman"/>
        </w:rPr>
      </w:pPr>
      <w:r>
        <w:rPr>
          <w:rFonts w:cs="Times New Roman"/>
        </w:rPr>
        <w:t>En 6 exemplaires.</w:t>
      </w:r>
    </w:p>
    <w:p>
      <w:pPr>
        <w:pStyle w:val="Normal"/>
        <w:jc w:val="both"/>
        <w:rPr>
          <w:rFonts w:cs="Times New Roman"/>
          <w:szCs w:val="20"/>
        </w:rPr>
      </w:pPr>
      <w:r>
        <w:rPr>
          <w:rFonts w:cs="Times New Roman"/>
          <w:szCs w:val="20"/>
        </w:rPr>
      </w:r>
    </w:p>
    <w:p>
      <w:pPr>
        <w:pStyle w:val="Normal"/>
        <w:rPr>
          <w:rFonts w:cs="Times New Roman"/>
          <w:szCs w:val="20"/>
        </w:rPr>
      </w:pPr>
      <w:r>
        <w:rPr>
          <w:rFonts w:cs="Times New Roman"/>
          <w:szCs w:val="20"/>
        </w:rPr>
      </w:r>
    </w:p>
    <w:p>
      <w:pPr>
        <w:pStyle w:val="Normal"/>
        <w:tabs>
          <w:tab w:val="left" w:pos="5220" w:leader="none"/>
        </w:tabs>
        <w:spacing w:before="0" w:after="120"/>
        <w:rPr>
          <w:rFonts w:cs="Times New Roman"/>
          <w:b/>
          <w:b/>
          <w:color w:val="1F497D"/>
          <w:szCs w:val="20"/>
          <w:u w:val="single"/>
        </w:rPr>
      </w:pPr>
      <w:r>
        <w:rPr>
          <w:rFonts w:cs="Times New Roman"/>
          <w:b/>
          <w:color w:val="1F497D"/>
          <w:szCs w:val="20"/>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b/>
          <w:b/>
          <w:color w:val="1F497D"/>
          <w:u w:val="single"/>
        </w:rPr>
      </w:pPr>
      <w:r>
        <w:rPr>
          <w:b/>
          <w:color w:val="1F497D"/>
          <w:u w:val="single"/>
        </w:rPr>
      </w:r>
    </w:p>
    <w:p>
      <w:pPr>
        <w:pStyle w:val="Normal"/>
        <w:tabs>
          <w:tab w:val="left" w:pos="5220" w:leader="none"/>
        </w:tabs>
        <w:spacing w:before="0" w:after="120"/>
        <w:rPr/>
      </w:pPr>
      <w:r>
        <w:rPr>
          <w:b/>
          <w:color w:val="1F4E79"/>
          <w:u w:val="single"/>
        </w:rPr>
        <w:t>Annexes</w:t>
      </w:r>
      <w:r>
        <w:rPr>
          <w:b/>
          <w:color w:val="1F4E79"/>
        </w:rPr>
        <w:t> </w:t>
      </w:r>
      <w:r>
        <w:rPr>
          <w:color w:val="1F4E79"/>
        </w:rPr>
        <w:t xml:space="preserve">: </w:t>
      </w:r>
    </w:p>
    <w:p>
      <w:pPr>
        <w:pStyle w:val="Normal"/>
        <w:tabs>
          <w:tab w:val="left" w:pos="5220" w:leader="none"/>
        </w:tabs>
        <w:spacing w:before="0" w:after="120"/>
        <w:rPr>
          <w:b/>
          <w:b/>
          <w:color w:val="1F4E79"/>
        </w:rPr>
      </w:pPr>
      <w:r>
        <w:rPr>
          <w:b/>
          <w:color w:val="1F4E79"/>
        </w:rPr>
        <w:t xml:space="preserve">1/ Grille de prestations Salariés - Régime Général </w:t>
      </w:r>
    </w:p>
    <w:p>
      <w:pPr>
        <w:pStyle w:val="Normal"/>
        <w:tabs>
          <w:tab w:val="left" w:pos="5220" w:leader="none"/>
        </w:tabs>
        <w:spacing w:before="0" w:after="120"/>
        <w:jc w:val="center"/>
        <w:rPr/>
      </w:pPr>
      <w:r>
        <w:rPr/>
        <w:drawing>
          <wp:inline distT="0" distB="0" distL="0" distR="0">
            <wp:extent cx="5756275" cy="833564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5756275" cy="8335645"/>
                    </a:xfrm>
                    <a:prstGeom prst="rect">
                      <a:avLst/>
                    </a:prstGeom>
                  </pic:spPr>
                </pic:pic>
              </a:graphicData>
            </a:graphic>
          </wp:inline>
        </w:drawing>
      </w:r>
    </w:p>
    <w:p>
      <w:pPr>
        <w:pStyle w:val="Normal"/>
        <w:tabs>
          <w:tab w:val="left" w:pos="5220" w:leader="none"/>
        </w:tabs>
        <w:spacing w:before="0" w:after="120"/>
        <w:jc w:val="center"/>
        <w:rPr/>
      </w:pPr>
      <w:r>
        <w:rPr/>
        <w:drawing>
          <wp:inline distT="0" distB="0" distL="0" distR="0">
            <wp:extent cx="5756275" cy="4749165"/>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3"/>
                    <a:stretch>
                      <a:fillRect/>
                    </a:stretch>
                  </pic:blipFill>
                  <pic:spPr bwMode="auto">
                    <a:xfrm>
                      <a:off x="0" y="0"/>
                      <a:ext cx="5756275" cy="4749165"/>
                    </a:xfrm>
                    <a:prstGeom prst="rect">
                      <a:avLst/>
                    </a:prstGeom>
                  </pic:spPr>
                </pic:pic>
              </a:graphicData>
            </a:graphic>
          </wp:inline>
        </w:drawing>
      </w:r>
    </w:p>
    <w:p>
      <w:pPr>
        <w:pStyle w:val="Normal"/>
        <w:tabs>
          <w:tab w:val="left" w:pos="5220" w:leader="none"/>
        </w:tabs>
        <w:spacing w:before="0" w:after="120"/>
        <w:jc w:val="center"/>
        <w:rPr/>
      </w:pPr>
      <w:r>
        <w:rPr/>
      </w:r>
    </w:p>
    <w:p>
      <w:pPr>
        <w:pStyle w:val="Normal"/>
        <w:tabs>
          <w:tab w:val="left" w:pos="5220" w:leader="none"/>
        </w:tabs>
        <w:spacing w:before="0" w:after="120"/>
        <w:jc w:val="center"/>
        <w:rPr>
          <w:color w:val="1F497D"/>
        </w:rPr>
      </w:pPr>
      <w:r>
        <w:rPr>
          <w:color w:val="1F497D"/>
        </w:rPr>
      </w:r>
    </w:p>
    <w:p>
      <w:pPr>
        <w:pStyle w:val="Normal"/>
        <w:tabs>
          <w:tab w:val="left" w:pos="5220" w:leader="none"/>
        </w:tabs>
        <w:jc w:val="center"/>
        <w:rPr>
          <w:color w:val="1F497D"/>
        </w:rPr>
      </w:pPr>
      <w:r>
        <w:rPr>
          <w:color w:val="1F497D"/>
        </w:rPr>
      </w:r>
    </w:p>
    <w:p>
      <w:pPr>
        <w:pStyle w:val="Normal"/>
        <w:tabs>
          <w:tab w:val="left" w:pos="5220" w:leader="none"/>
        </w:tabs>
        <w:spacing w:before="0" w:after="240"/>
        <w:rPr>
          <w:color w:val="1F497D"/>
        </w:rPr>
      </w:pPr>
      <w:r>
        <w:rPr>
          <w:color w:val="1F497D"/>
        </w:rPr>
      </w:r>
    </w:p>
    <w:tbl>
      <w:tblPr>
        <w:tblW w:w="9222"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606"/>
        <w:gridCol w:w="4616"/>
      </w:tblGrid>
      <w:tr>
        <w:trPr/>
        <w:tc>
          <w:tcPr>
            <w:tcW w:w="46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220" w:leader="none"/>
              </w:tabs>
              <w:jc w:val="center"/>
              <w:rPr>
                <w:b/>
                <w:b/>
              </w:rPr>
            </w:pPr>
            <w:r>
              <w:rPr>
                <w:b/>
              </w:rPr>
              <w:t>Garanties Prévoyance</w:t>
            </w:r>
          </w:p>
        </w:tc>
        <w:tc>
          <w:tcPr>
            <w:tcW w:w="4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220" w:leader="none"/>
              </w:tabs>
              <w:jc w:val="center"/>
              <w:rPr>
                <w:b/>
                <w:b/>
              </w:rPr>
            </w:pPr>
            <w:r>
              <w:rPr>
                <w:b/>
              </w:rPr>
              <w:t>Montant du capital garanti</w:t>
            </w:r>
          </w:p>
        </w:tc>
      </w:tr>
      <w:tr>
        <w:trPr/>
        <w:tc>
          <w:tcPr>
            <w:tcW w:w="460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5220" w:leader="none"/>
              </w:tabs>
              <w:rPr/>
            </w:pPr>
            <w:r>
              <w:rPr/>
              <w:t>Décès-Invalidité Absolue et Définitive par accident</w:t>
            </w:r>
          </w:p>
        </w:tc>
        <w:tc>
          <w:tcPr>
            <w:tcW w:w="4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5220" w:leader="none"/>
              </w:tabs>
              <w:jc w:val="center"/>
              <w:rPr/>
            </w:pPr>
            <w:r>
              <w:rPr/>
              <w:t>15 000 €</w:t>
            </w:r>
          </w:p>
        </w:tc>
      </w:tr>
      <w:tr>
        <w:trPr/>
        <w:tc>
          <w:tcPr>
            <w:tcW w:w="460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5220" w:leader="none"/>
              </w:tabs>
              <w:rPr/>
            </w:pPr>
            <w:r>
              <w:rPr/>
              <w:t>Décès-Invalidité Absolue et Définitive toutes causes</w:t>
            </w:r>
          </w:p>
        </w:tc>
        <w:tc>
          <w:tcPr>
            <w:tcW w:w="4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5220" w:leader="none"/>
              </w:tabs>
              <w:jc w:val="center"/>
              <w:rPr/>
            </w:pPr>
            <w:r>
              <w:rPr/>
              <w:t>1 500 €</w:t>
            </w:r>
          </w:p>
        </w:tc>
      </w:tr>
    </w:tbl>
    <w:p>
      <w:pPr>
        <w:pStyle w:val="Normal"/>
        <w:tabs>
          <w:tab w:val="left" w:pos="5220" w:leader="none"/>
        </w:tabs>
        <w:spacing w:before="0" w:after="120"/>
        <w:rPr>
          <w:color w:val="1F497D"/>
        </w:rPr>
      </w:pPr>
      <w:r>
        <w:rPr>
          <w:color w:val="1F497D"/>
        </w:rPr>
      </w:r>
    </w:p>
    <w:p>
      <w:pPr>
        <w:pStyle w:val="Normal"/>
        <w:tabs>
          <w:tab w:val="left" w:pos="5220" w:leader="none"/>
        </w:tabs>
        <w:spacing w:before="0" w:after="120"/>
        <w:rPr>
          <w:color w:val="1F497D"/>
        </w:rPr>
      </w:pPr>
      <w:r>
        <w:rPr>
          <w:color w:val="1F497D"/>
        </w:rPr>
      </w:r>
    </w:p>
    <w:p>
      <w:pPr>
        <w:pStyle w:val="Normal"/>
        <w:tabs>
          <w:tab w:val="left" w:pos="5220" w:leader="none"/>
        </w:tabs>
        <w:spacing w:before="0" w:after="120"/>
        <w:rPr>
          <w:color w:val="1F497D"/>
        </w:rPr>
      </w:pPr>
      <w:r>
        <w:rPr>
          <w:color w:val="1F497D"/>
        </w:rPr>
      </w:r>
    </w:p>
    <w:p>
      <w:pPr>
        <w:pStyle w:val="Normal"/>
        <w:tabs>
          <w:tab w:val="left" w:pos="5220" w:leader="none"/>
        </w:tabs>
        <w:spacing w:before="0" w:after="120"/>
        <w:rPr>
          <w:color w:val="1F497D"/>
        </w:rPr>
      </w:pPr>
      <w:r>
        <w:rPr>
          <w:color w:val="1F497D"/>
        </w:rPr>
      </w:r>
    </w:p>
    <w:p>
      <w:pPr>
        <w:pStyle w:val="Normal"/>
        <w:tabs>
          <w:tab w:val="left" w:pos="5220" w:leader="none"/>
        </w:tabs>
        <w:spacing w:before="0" w:after="120"/>
        <w:rPr>
          <w:color w:val="1F497D"/>
        </w:rPr>
      </w:pPr>
      <w:r>
        <w:rPr>
          <w:color w:val="1F497D"/>
        </w:rPr>
      </w:r>
    </w:p>
    <w:p>
      <w:pPr>
        <w:pStyle w:val="Normal"/>
        <w:tabs>
          <w:tab w:val="left" w:pos="5220" w:leader="none"/>
        </w:tabs>
        <w:spacing w:before="0" w:after="120"/>
        <w:rPr>
          <w:color w:val="1F497D"/>
        </w:rPr>
      </w:pPr>
      <w:r>
        <w:rPr>
          <w:color w:val="1F497D"/>
        </w:rPr>
      </w:r>
    </w:p>
    <w:p>
      <w:pPr>
        <w:pStyle w:val="Normal"/>
        <w:tabs>
          <w:tab w:val="left" w:pos="5220" w:leader="none"/>
        </w:tabs>
        <w:spacing w:before="0" w:after="120"/>
        <w:rPr>
          <w:color w:val="1F497D"/>
        </w:rPr>
      </w:pPr>
      <w:r>
        <w:rPr>
          <w:color w:val="1F497D"/>
        </w:rPr>
      </w:r>
    </w:p>
    <w:p>
      <w:pPr>
        <w:pStyle w:val="Normal"/>
        <w:tabs>
          <w:tab w:val="left" w:pos="5220" w:leader="none"/>
        </w:tabs>
        <w:spacing w:before="0" w:after="120"/>
        <w:rPr>
          <w:color w:val="1F497D"/>
        </w:rPr>
      </w:pPr>
      <w:r>
        <w:rPr>
          <w:color w:val="1F497D"/>
        </w:rPr>
      </w:r>
    </w:p>
    <w:p>
      <w:pPr>
        <w:pStyle w:val="Normal"/>
        <w:tabs>
          <w:tab w:val="left" w:pos="5220" w:leader="none"/>
        </w:tabs>
        <w:spacing w:before="0" w:after="120"/>
        <w:rPr>
          <w:b/>
          <w:b/>
          <w:color w:val="1F4E79"/>
        </w:rPr>
      </w:pPr>
      <w:r>
        <w:rPr>
          <w:b/>
          <w:color w:val="1F4E79"/>
        </w:rPr>
        <w:t>2/ Grille de prestations Salariés - Régime Alsace-Moselle</w:t>
      </w:r>
    </w:p>
    <w:p>
      <w:pPr>
        <w:pStyle w:val="Normal"/>
        <w:tabs>
          <w:tab w:val="left" w:pos="5220" w:leader="none"/>
        </w:tabs>
        <w:spacing w:before="0" w:after="120"/>
        <w:jc w:val="center"/>
        <w:rPr>
          <w:color w:val="1F497D"/>
        </w:rPr>
      </w:pPr>
      <w:r>
        <w:rPr>
          <w:color w:val="1F497D"/>
        </w:rPr>
        <w:drawing>
          <wp:inline distT="0" distB="0" distL="0" distR="0">
            <wp:extent cx="5755005" cy="8548370"/>
            <wp:effectExtent l="0" t="0" r="0" b="0"/>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4"/>
                    <a:stretch>
                      <a:fillRect/>
                    </a:stretch>
                  </pic:blipFill>
                  <pic:spPr bwMode="auto">
                    <a:xfrm>
                      <a:off x="0" y="0"/>
                      <a:ext cx="5755005" cy="8548370"/>
                    </a:xfrm>
                    <a:prstGeom prst="rect">
                      <a:avLst/>
                    </a:prstGeom>
                  </pic:spPr>
                </pic:pic>
              </a:graphicData>
            </a:graphic>
          </wp:inline>
        </w:drawing>
      </w:r>
    </w:p>
    <w:p>
      <w:pPr>
        <w:pStyle w:val="Normal"/>
        <w:tabs>
          <w:tab w:val="left" w:pos="5220" w:leader="none"/>
        </w:tabs>
        <w:spacing w:before="0" w:after="120"/>
        <w:jc w:val="center"/>
        <w:rPr>
          <w:color w:val="1F497D"/>
        </w:rPr>
      </w:pPr>
      <w:r>
        <w:rPr>
          <w:color w:val="1F497D"/>
        </w:rPr>
        <w:drawing>
          <wp:inline distT="0" distB="0" distL="0" distR="0">
            <wp:extent cx="5757545" cy="5027295"/>
            <wp:effectExtent l="0" t="0" r="0" b="0"/>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5"/>
                    <a:stretch>
                      <a:fillRect/>
                    </a:stretch>
                  </pic:blipFill>
                  <pic:spPr bwMode="auto">
                    <a:xfrm>
                      <a:off x="0" y="0"/>
                      <a:ext cx="5757545" cy="5027295"/>
                    </a:xfrm>
                    <a:prstGeom prst="rect">
                      <a:avLst/>
                    </a:prstGeom>
                  </pic:spPr>
                </pic:pic>
              </a:graphicData>
            </a:graphic>
          </wp:inline>
        </w:drawing>
      </w:r>
    </w:p>
    <w:p>
      <w:pPr>
        <w:pStyle w:val="Normal"/>
        <w:tabs>
          <w:tab w:val="left" w:pos="5220" w:leader="none"/>
        </w:tabs>
        <w:rPr>
          <w:color w:val="1F497D"/>
        </w:rPr>
      </w:pPr>
      <w:r>
        <w:rPr>
          <w:color w:val="1F497D"/>
        </w:rPr>
      </w:r>
    </w:p>
    <w:p>
      <w:pPr>
        <w:pStyle w:val="Normal"/>
        <w:tabs>
          <w:tab w:val="left" w:pos="5220" w:leader="none"/>
        </w:tabs>
        <w:rPr>
          <w:color w:val="1F497D"/>
        </w:rPr>
      </w:pPr>
      <w:r>
        <w:rPr>
          <w:color w:val="1F497D"/>
        </w:rPr>
      </w:r>
    </w:p>
    <w:p>
      <w:pPr>
        <w:pStyle w:val="Normal"/>
        <w:tabs>
          <w:tab w:val="left" w:pos="5220" w:leader="none"/>
        </w:tabs>
        <w:jc w:val="center"/>
        <w:rPr>
          <w:color w:val="1F497D"/>
        </w:rPr>
      </w:pPr>
      <w:r>
        <w:rPr>
          <w:color w:val="1F497D"/>
        </w:rPr>
      </w:r>
    </w:p>
    <w:p>
      <w:pPr>
        <w:pStyle w:val="Normal"/>
        <w:tabs>
          <w:tab w:val="left" w:pos="5220" w:leader="none"/>
        </w:tabs>
        <w:spacing w:before="0" w:after="240"/>
        <w:rPr>
          <w:color w:val="1F497D"/>
        </w:rPr>
      </w:pPr>
      <w:r>
        <w:rPr>
          <w:color w:val="1F497D"/>
        </w:rPr>
      </w:r>
    </w:p>
    <w:p>
      <w:pPr>
        <w:pStyle w:val="Normal"/>
        <w:tabs>
          <w:tab w:val="left" w:pos="5220" w:leader="none"/>
        </w:tabs>
        <w:spacing w:before="0" w:after="240"/>
        <w:rPr>
          <w:color w:val="1F497D"/>
        </w:rPr>
      </w:pPr>
      <w:r>
        <w:rPr>
          <w:color w:val="1F497D"/>
        </w:rPr>
      </w:r>
    </w:p>
    <w:tbl>
      <w:tblPr>
        <w:tblW w:w="9222"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606"/>
        <w:gridCol w:w="4616"/>
      </w:tblGrid>
      <w:tr>
        <w:trPr/>
        <w:tc>
          <w:tcPr>
            <w:tcW w:w="46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220" w:leader="none"/>
              </w:tabs>
              <w:jc w:val="center"/>
              <w:rPr>
                <w:b/>
                <w:b/>
              </w:rPr>
            </w:pPr>
            <w:r>
              <w:rPr>
                <w:b/>
              </w:rPr>
              <w:t>Garanties Prévoyance</w:t>
            </w:r>
          </w:p>
        </w:tc>
        <w:tc>
          <w:tcPr>
            <w:tcW w:w="4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5220" w:leader="none"/>
              </w:tabs>
              <w:jc w:val="center"/>
              <w:rPr>
                <w:b/>
                <w:b/>
              </w:rPr>
            </w:pPr>
            <w:r>
              <w:rPr>
                <w:b/>
              </w:rPr>
              <w:t>Montant du capital garanti</w:t>
            </w:r>
          </w:p>
        </w:tc>
      </w:tr>
      <w:tr>
        <w:trPr/>
        <w:tc>
          <w:tcPr>
            <w:tcW w:w="460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5220" w:leader="none"/>
              </w:tabs>
              <w:rPr/>
            </w:pPr>
            <w:r>
              <w:rPr/>
              <w:t>Décès-Invalidité Absolue et Définitive par accident</w:t>
            </w:r>
          </w:p>
        </w:tc>
        <w:tc>
          <w:tcPr>
            <w:tcW w:w="4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5220" w:leader="none"/>
              </w:tabs>
              <w:jc w:val="center"/>
              <w:rPr/>
            </w:pPr>
            <w:r>
              <w:rPr/>
              <w:t>15 000 €</w:t>
            </w:r>
          </w:p>
        </w:tc>
      </w:tr>
      <w:tr>
        <w:trPr/>
        <w:tc>
          <w:tcPr>
            <w:tcW w:w="460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tabs>
                <w:tab w:val="left" w:pos="5220" w:leader="none"/>
              </w:tabs>
              <w:rPr/>
            </w:pPr>
            <w:r>
              <w:rPr/>
              <w:t>Décès-Invalidité Absolue et Définitive toutes causes</w:t>
            </w:r>
          </w:p>
        </w:tc>
        <w:tc>
          <w:tcPr>
            <w:tcW w:w="4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left" w:pos="5220" w:leader="none"/>
              </w:tabs>
              <w:jc w:val="center"/>
              <w:rPr/>
            </w:pPr>
            <w:r>
              <w:rPr/>
              <w:t>1 500 €</w:t>
            </w:r>
          </w:p>
        </w:tc>
      </w:tr>
    </w:tbl>
    <w:p>
      <w:pPr>
        <w:pStyle w:val="Normal"/>
        <w:tabs>
          <w:tab w:val="left" w:pos="5220" w:leader="none"/>
        </w:tabs>
        <w:spacing w:before="0" w:after="120"/>
        <w:rPr>
          <w:color w:val="1F497D"/>
        </w:rPr>
      </w:pPr>
      <w:r>
        <w:rPr>
          <w:color w:val="1F497D"/>
        </w:rPr>
      </w:r>
    </w:p>
    <w:sectPr>
      <w:headerReference w:type="default" r:id="rId6"/>
      <w:footerReference w:type="default" r:id="rId7"/>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2">
    <w:charset w:val="02"/>
    <w:family w:val="roman"/>
    <w:pitch w:val="variable"/>
  </w:font>
  <w:font w:name="Wingdings">
    <w:charset w:val="02"/>
    <w:family w:val="auto"/>
    <w:pitch w:val="variable"/>
  </w:font>
  <w:font w:name="Symbol">
    <w:charset w:val="01"/>
    <w:family w:val="roman"/>
    <w:pitch w:val="variable"/>
  </w:font>
  <w:font w:name="Courier New">
    <w:charset w:val="00"/>
    <w:family w:val="modern"/>
    <w:pitch w:val="default"/>
  </w:font>
  <w:font w:name="Calibri">
    <w:charset w:val="00"/>
    <w:family w:val="swiss"/>
    <w:pitch w:val="variable"/>
  </w:font>
  <w:font w:name="Wingdings 3">
    <w:charset w:val="02"/>
    <w:family w:val="roman"/>
    <w:pitch w:val="variable"/>
  </w:font>
  <w:font w:name="Tahoma">
    <w:charset w:val="00"/>
    <w:family w:val="swiss"/>
    <w:pitch w:val="variable"/>
  </w:font>
  <w:font w:name="Liberation Sans">
    <w:altName w:val="Arial"/>
    <w:charset w:val="01"/>
    <w:family w:val="swiss"/>
    <w:pitch w:val="variable"/>
  </w:font>
  <w:font w:name="Arial Unicode MS">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Style w:val="PageNumber"/>
      </w:rPr>
    </w:pPr>
    <w:r>
      <w:rPr>
        <w:rStyle w:val="PageNumber"/>
      </w:rPr>
      <w:fldChar w:fldCharType="begin"/>
    </w:r>
    <w:r>
      <w:instrText> PAGE </w:instrText>
    </w:r>
    <w:r>
      <w:fldChar w:fldCharType="separate"/>
    </w:r>
    <w:r>
      <w:t>8</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sz w:val="20"/>
        <w:szCs w:val="20"/>
      </w:rPr>
    </w:pPr>
    <w:r>
      <w:rPr>
        <w:sz w:val="20"/>
        <w:szCs w:val="20"/>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numFmt w:val="bullet"/>
      <w:lvlText w:val="-"/>
      <w:lvlJc w:val="left"/>
      <w:pPr>
        <w:tabs>
          <w:tab w:val="num" w:pos="720"/>
        </w:tabs>
        <w:ind w:left="720" w:hanging="360"/>
      </w:pPr>
      <w:rPr>
        <w:rFonts w:ascii="Times New Roman" w:hAnsi="Times New Roman" w:cs="Times New Roman" w:hint="default"/>
        <w:szCs w:val="24"/>
        <w:rFonts w:cs="Times New Roman"/>
      </w:rPr>
    </w:lvl>
  </w:abstractNum>
  <w:abstractNum w:abstractNumId="3">
    <w:lvl w:ilvl="0">
      <w:numFmt w:val="bullet"/>
      <w:lvlText w:val="-"/>
      <w:lvlJc w:val="left"/>
      <w:pPr>
        <w:ind w:left="720" w:hanging="360"/>
      </w:pPr>
      <w:rPr>
        <w:rFonts w:ascii="Times New Roman" w:hAnsi="Times New Roman" w:cs="Times New Roman" w:hint="default"/>
        <w:szCs w:val="24"/>
        <w:rFonts w:cs="Times New Roman"/>
      </w:rPr>
    </w:lvl>
  </w:abstractNum>
  <w:abstractNum w:abstractNumId="4">
    <w:lvl w:ilvl="0">
      <w:start w:val="4"/>
      <w:numFmt w:val="bullet"/>
      <w:lvlText w:val="-"/>
      <w:lvlJc w:val="left"/>
      <w:pPr>
        <w:ind w:left="720" w:hanging="360"/>
      </w:pPr>
      <w:rPr>
        <w:rFonts w:ascii="Times New Roman" w:hAnsi="Times New Roman" w:cs="Times New Roman" w:hint="default"/>
        <w:szCs w:val="24"/>
        <w:rFonts w:cs="Times New Roman"/>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Arial"/>
      <w:color w:val="auto"/>
      <w:sz w:val="24"/>
      <w:szCs w:val="18"/>
      <w:lang w:val="fr-FR" w:bidi="ar-SA" w:eastAsia="zh-CN"/>
    </w:rPr>
  </w:style>
  <w:style w:type="paragraph" w:styleId="Heading1">
    <w:name w:val="Heading 1"/>
    <w:basedOn w:val="Normal"/>
    <w:next w:val="Normal"/>
    <w:qFormat/>
    <w:pPr>
      <w:keepNext/>
      <w:numPr>
        <w:ilvl w:val="0"/>
        <w:numId w:val="1"/>
      </w:numPr>
      <w:jc w:val="center"/>
      <w:outlineLvl w:val="0"/>
      <w:outlineLvl w:val="0"/>
    </w:pPr>
    <w:rPr>
      <w:rFonts w:ascii="Arial" w:hAnsi="Arial" w:eastAsia="Arial Unicode MS" w:cs="Arial"/>
      <w:b/>
      <w:bCs/>
      <w:sz w:val="22"/>
    </w:rPr>
  </w:style>
  <w:style w:type="paragraph" w:styleId="Heading2">
    <w:name w:val="Heading 2"/>
    <w:basedOn w:val="Normal"/>
    <w:next w:val="Normal"/>
    <w:qFormat/>
    <w:pPr>
      <w:keepNext/>
      <w:numPr>
        <w:ilvl w:val="1"/>
        <w:numId w:val="1"/>
      </w:numPr>
      <w:ind w:firstLine="708"/>
      <w:outlineLvl w:val="1"/>
      <w:outlineLvl w:val="1"/>
    </w:pPr>
    <w:rPr>
      <w:rFonts w:cs="Times New Roman"/>
      <w:b/>
      <w:bCs/>
      <w:color w:val="FF6600"/>
    </w:rPr>
  </w:style>
  <w:style w:type="paragraph" w:styleId="Heading3">
    <w:name w:val="Heading 3"/>
    <w:basedOn w:val="Normal"/>
    <w:next w:val="Normal"/>
    <w:qFormat/>
    <w:pPr>
      <w:keepNext/>
      <w:numPr>
        <w:ilvl w:val="2"/>
        <w:numId w:val="1"/>
      </w:numPr>
      <w:ind w:firstLine="708"/>
      <w:jc w:val="both"/>
      <w:outlineLvl w:val="2"/>
      <w:outlineLvl w:val="2"/>
    </w:pPr>
    <w:rPr>
      <w:rFonts w:cs="Times New Roman"/>
      <w:b/>
      <w:bCs/>
      <w:color w:val="FF6600"/>
    </w:rPr>
  </w:style>
  <w:style w:type="paragraph" w:styleId="Heading4">
    <w:name w:val="Heading 4"/>
    <w:basedOn w:val="Normal"/>
    <w:next w:val="Normal"/>
    <w:qFormat/>
    <w:pPr>
      <w:keepNext/>
      <w:numPr>
        <w:ilvl w:val="3"/>
        <w:numId w:val="1"/>
      </w:numPr>
      <w:jc w:val="both"/>
      <w:outlineLvl w:val="3"/>
      <w:outlineLvl w:val="3"/>
    </w:pPr>
    <w:rPr>
      <w:rFonts w:eastAsia="Arial Unicode MS" w:cs="Times New Roman"/>
      <w:b/>
      <w:bCs/>
      <w:sz w:val="28"/>
      <w:u w:val="single"/>
    </w:rPr>
  </w:style>
  <w:style w:type="paragraph" w:styleId="Heading6">
    <w:name w:val="Heading 6"/>
    <w:basedOn w:val="Normal"/>
    <w:next w:val="Normal"/>
    <w:qFormat/>
    <w:pPr>
      <w:keepNext/>
      <w:numPr>
        <w:ilvl w:val="5"/>
        <w:numId w:val="1"/>
      </w:numPr>
      <w:jc w:val="both"/>
      <w:outlineLvl w:val="5"/>
      <w:outlineLvl w:val="5"/>
    </w:pPr>
    <w:rPr>
      <w:rFonts w:eastAsia="Arial Unicode MS" w:cs="Times New Roman"/>
      <w:b/>
      <w:bCs/>
      <w:color w:val="0000FF"/>
      <w:u w:val="single"/>
    </w:rPr>
  </w:style>
  <w:style w:type="paragraph" w:styleId="Heading8">
    <w:name w:val="Heading 8"/>
    <w:basedOn w:val="Normal"/>
    <w:next w:val="Normal"/>
    <w:qFormat/>
    <w:pPr>
      <w:keepNext/>
      <w:numPr>
        <w:ilvl w:val="7"/>
        <w:numId w:val="1"/>
      </w:numPr>
      <w:jc w:val="both"/>
      <w:outlineLvl w:val="7"/>
      <w:outlineLvl w:val="7"/>
    </w:pPr>
    <w:rPr>
      <w:rFonts w:cs="Times New Roman"/>
      <w:b/>
      <w:bCs/>
      <w:i/>
      <w:iCs/>
      <w:sz w:val="28"/>
      <w:u w:val="single"/>
    </w:rPr>
  </w:style>
  <w:style w:type="paragraph" w:styleId="Heading9">
    <w:name w:val="Heading 9"/>
    <w:basedOn w:val="Normal"/>
    <w:next w:val="Normal"/>
    <w:qFormat/>
    <w:pPr>
      <w:keepNext/>
      <w:numPr>
        <w:ilvl w:val="8"/>
        <w:numId w:val="1"/>
      </w:numPr>
      <w:outlineLvl w:val="8"/>
      <w:outlineLvl w:val="8"/>
    </w:pPr>
    <w:rPr>
      <w:b/>
      <w:bCs/>
      <w:color w:val="0000FF"/>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Wingdings 2" w:hAnsi="Wingdings 2" w:cs="Wingdings 2"/>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1z4">
    <w:name w:val="WW8Num1z4"/>
    <w:qFormat/>
    <w:rPr>
      <w:rFonts w:ascii="Courier New" w:hAnsi="Courier New" w:cs="Courier New"/>
    </w:rPr>
  </w:style>
  <w:style w:type="character" w:styleId="WW8Num2z0">
    <w:name w:val="WW8Num2z0"/>
    <w:qFormat/>
    <w:rPr>
      <w:rFonts w:ascii="Wingdings" w:hAnsi="Wingdings" w:cs="Wingdings"/>
    </w:rPr>
  </w:style>
  <w:style w:type="character" w:styleId="WW8Num2z1">
    <w:name w:val="WW8Num2z1"/>
    <w:qFormat/>
    <w:rPr>
      <w:rFonts w:ascii="Wingdings 2" w:hAnsi="Wingdings 2" w:cs="Wingdings 2"/>
    </w:rPr>
  </w:style>
  <w:style w:type="character" w:styleId="WW8Num2z3">
    <w:name w:val="WW8Num2z3"/>
    <w:qFormat/>
    <w:rPr>
      <w:rFonts w:ascii="Symbol" w:hAnsi="Symbol" w:cs="Symbol"/>
    </w:rPr>
  </w:style>
  <w:style w:type="character" w:styleId="WW8Num2z4">
    <w:name w:val="WW8Num2z4"/>
    <w:qFormat/>
    <w:rPr>
      <w:rFonts w:ascii="Courier New" w:hAnsi="Courier New" w:cs="Courier New"/>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Times New Roman" w:hAnsi="Times New Roman" w:eastAsia="Times New Roman" w:cs="Times New Roman"/>
      <w:szCs w:val="24"/>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Wingdings" w:hAnsi="Wingdings" w:cs="Wingdings"/>
    </w:rPr>
  </w:style>
  <w:style w:type="character" w:styleId="WW8Num5z3">
    <w:name w:val="WW8Num5z3"/>
    <w:qFormat/>
    <w:rPr>
      <w:rFonts w:ascii="Symbol" w:hAnsi="Symbol" w:cs="Symbol"/>
    </w:rPr>
  </w:style>
  <w:style w:type="character" w:styleId="WW8Num5z4">
    <w:name w:val="WW8Num5z4"/>
    <w:qFormat/>
    <w:rPr>
      <w:rFonts w:ascii="Courier New" w:hAnsi="Courier New" w:cs="Courier New"/>
    </w:rPr>
  </w:style>
  <w:style w:type="character" w:styleId="WW8Num6z0">
    <w:name w:val="WW8Num6z0"/>
    <w:qFormat/>
    <w:rPr/>
  </w:style>
  <w:style w:type="character" w:styleId="WW8Num7z0">
    <w:name w:val="WW8Num7z0"/>
    <w:qFormat/>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Wingdings" w:hAnsi="Wingdings" w:cs="Wingdings"/>
    </w:rPr>
  </w:style>
  <w:style w:type="character" w:styleId="WW8Num8z2">
    <w:name w:val="WW8Num8z2"/>
    <w:qFormat/>
    <w:rPr>
      <w:rFonts w:ascii="Symbol" w:hAnsi="Symbol" w:eastAsia="Times New Roman" w:cs="Times New Roman"/>
    </w:rPr>
  </w:style>
  <w:style w:type="character" w:styleId="WW8Num8z3">
    <w:name w:val="WW8Num8z3"/>
    <w:qFormat/>
    <w:rPr>
      <w:rFonts w:ascii="Symbol" w:hAnsi="Symbol" w:cs="Symbol"/>
    </w:rPr>
  </w:style>
  <w:style w:type="character" w:styleId="WW8Num8z4">
    <w:name w:val="WW8Num8z4"/>
    <w:qFormat/>
    <w:rPr>
      <w:rFonts w:ascii="Courier New" w:hAnsi="Courier New" w:cs="Courier New"/>
    </w:rPr>
  </w:style>
  <w:style w:type="character" w:styleId="WW8Num9z0">
    <w:name w:val="WW8Num9z0"/>
    <w:qFormat/>
    <w:rPr/>
  </w:style>
  <w:style w:type="character" w:styleId="WW8Num10z0">
    <w:name w:val="WW8Num10z0"/>
    <w:qFormat/>
    <w:rPr/>
  </w:style>
  <w:style w:type="character" w:styleId="WW8Num11z0">
    <w:name w:val="WW8Num11z0"/>
    <w:qFormat/>
    <w:rPr>
      <w:rFonts w:ascii="Times New Roman" w:hAnsi="Times New Roman" w:eastAsia="Times New Roman" w:cs="Times New Roman"/>
      <w:szCs w:val="24"/>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Wingdings" w:hAnsi="Wingdings" w:eastAsia="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style>
  <w:style w:type="character" w:styleId="WW8Num14z0">
    <w:name w:val="WW8Num14z0"/>
    <w:qFormat/>
    <w:rPr>
      <w:rFonts w:ascii="Times New Roman" w:hAnsi="Times New Roman" w:eastAsia="Times New Roman"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sz w:val="24"/>
      <w:szCs w:val="24"/>
    </w:rPr>
  </w:style>
  <w:style w:type="character" w:styleId="WW8Num16z0">
    <w:name w:val="WW8Num16z0"/>
    <w:qFormat/>
    <w:rPr>
      <w:rFonts w:ascii="Wingdings" w:hAnsi="Wingdings" w:cs="Wingdings"/>
    </w:rPr>
  </w:style>
  <w:style w:type="character" w:styleId="WW8Num16z1">
    <w:name w:val="WW8Num16z1"/>
    <w:qFormat/>
    <w:rPr>
      <w:rFonts w:ascii="Wingdings 2" w:hAnsi="Wingdings 2" w:cs="Wingdings 2"/>
    </w:rPr>
  </w:style>
  <w:style w:type="character" w:styleId="WW8Num16z3">
    <w:name w:val="WW8Num16z3"/>
    <w:qFormat/>
    <w:rPr>
      <w:rFonts w:ascii="Symbol" w:hAnsi="Symbol" w:cs="Symbol"/>
    </w:rPr>
  </w:style>
  <w:style w:type="character" w:styleId="WW8Num16z4">
    <w:name w:val="WW8Num16z4"/>
    <w:qFormat/>
    <w:rPr>
      <w:rFonts w:ascii="Courier New" w:hAnsi="Courier New" w:cs="Courier New"/>
    </w:rPr>
  </w:style>
  <w:style w:type="character" w:styleId="WW8Num17z0">
    <w:name w:val="WW8Num17z0"/>
    <w:qFormat/>
    <w:rPr>
      <w:rFonts w:ascii="Times New Roman" w:hAnsi="Times New Roman" w:cs="Times New Roman"/>
    </w:rPr>
  </w:style>
  <w:style w:type="character" w:styleId="WW8Num17z1">
    <w:name w:val="WW8Num17z1"/>
    <w:qFormat/>
    <w:rPr>
      <w:rFonts w:ascii="Wingdings 2" w:hAnsi="Wingdings 2" w:cs="Wingdings 2"/>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7z4">
    <w:name w:val="WW8Num17z4"/>
    <w:qFormat/>
    <w:rPr>
      <w:rFonts w:ascii="Courier New" w:hAnsi="Courier New" w:cs="Courier New"/>
    </w:rPr>
  </w:style>
  <w:style w:type="character" w:styleId="WW8Num18z0">
    <w:name w:val="WW8Num18z0"/>
    <w:qFormat/>
    <w:rPr/>
  </w:style>
  <w:style w:type="character" w:styleId="WW8Num19z0">
    <w:name w:val="WW8Num19z0"/>
    <w:qFormat/>
    <w:rPr/>
  </w:style>
  <w:style w:type="character" w:styleId="WW8Num20z0">
    <w:name w:val="WW8Num20z0"/>
    <w:qFormat/>
    <w:rPr/>
  </w:style>
  <w:style w:type="character" w:styleId="WW8Num21z0">
    <w:name w:val="WW8Num21z0"/>
    <w:qFormat/>
    <w:rPr>
      <w:rFonts w:ascii="Times New Roman" w:hAnsi="Times New Roman" w:eastAsia="Times New Roman" w:cs="Times New Roman"/>
      <w:szCs w:val="24"/>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style>
  <w:style w:type="character" w:styleId="WW8Num23z0">
    <w:name w:val="WW8Num23z0"/>
    <w:qFormat/>
    <w:rPr/>
  </w:style>
  <w:style w:type="character" w:styleId="WW8Num24z0">
    <w:name w:val="WW8Num24z0"/>
    <w:qFormat/>
    <w:rPr>
      <w:rFonts w:ascii="Times New Roman" w:hAnsi="Times New Roman" w:eastAsia="Times New Roman" w:cs="Times New Roman"/>
      <w:i w:val="false"/>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Times New Roman" w:hAnsi="Times New Roman" w:cs="Times New Roman"/>
    </w:rPr>
  </w:style>
  <w:style w:type="character" w:styleId="WW8Num25z1">
    <w:name w:val="WW8Num25z1"/>
    <w:qFormat/>
    <w:rPr>
      <w:rFonts w:ascii="Wingdings 2" w:hAnsi="Wingdings 2" w:cs="Wingdings 2"/>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5z4">
    <w:name w:val="WW8Num25z4"/>
    <w:qFormat/>
    <w:rPr>
      <w:rFonts w:ascii="Courier New" w:hAnsi="Courier New" w:cs="Courier New"/>
    </w:rPr>
  </w:style>
  <w:style w:type="character" w:styleId="WW8Num26z0">
    <w:name w:val="WW8Num26z0"/>
    <w:qFormat/>
    <w:rPr/>
  </w:style>
  <w:style w:type="character" w:styleId="WW8Num27z0">
    <w:name w:val="WW8Num27z0"/>
    <w:qFormat/>
    <w:rPr/>
  </w:style>
  <w:style w:type="character" w:styleId="WW8Num28z0">
    <w:name w:val="WW8Num28z0"/>
    <w:qFormat/>
    <w:rPr/>
  </w:style>
  <w:style w:type="character" w:styleId="WW8Num29z0">
    <w:name w:val="WW8Num29z0"/>
    <w:qFormat/>
    <w:rPr>
      <w:rFonts w:cs="Arial"/>
    </w:rPr>
  </w:style>
  <w:style w:type="character" w:styleId="WW8Num30z0">
    <w:name w:val="WW8Num30z0"/>
    <w:qFormat/>
    <w:rPr/>
  </w:style>
  <w:style w:type="character" w:styleId="WW8Num31z0">
    <w:name w:val="WW8Num31z0"/>
    <w:qFormat/>
    <w:rPr>
      <w:rFonts w:ascii="Times New Roman" w:hAnsi="Times New Roman" w:cs="Times New Roman"/>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1z4">
    <w:name w:val="WW8Num31z4"/>
    <w:qFormat/>
    <w:rPr>
      <w:rFonts w:ascii="Courier New" w:hAnsi="Courier New" w:cs="Courier New"/>
    </w:rPr>
  </w:style>
  <w:style w:type="character" w:styleId="WW8Num32z0">
    <w:name w:val="WW8Num32z0"/>
    <w:qFormat/>
    <w:rPr/>
  </w:style>
  <w:style w:type="character" w:styleId="WW8Num33z0">
    <w:name w:val="WW8Num33z0"/>
    <w:qFormat/>
    <w:rPr/>
  </w:style>
  <w:style w:type="character" w:styleId="WW8Num34z0">
    <w:name w:val="WW8Num34z0"/>
    <w:qFormat/>
    <w:rPr>
      <w:rFonts w:ascii="Calibri" w:hAnsi="Calibri" w:cs="Calibri"/>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WW8Num35z0">
    <w:name w:val="WW8Num35z0"/>
    <w:qFormat/>
    <w:rPr/>
  </w:style>
  <w:style w:type="character" w:styleId="WW8Num36z0">
    <w:name w:val="WW8Num36z0"/>
    <w:qFormat/>
    <w:rPr/>
  </w:style>
  <w:style w:type="character" w:styleId="WW8Num37z0">
    <w:name w:val="WW8Num37z0"/>
    <w:qFormat/>
    <w:rPr>
      <w:rFonts w:ascii="Wingdings 3" w:hAnsi="Wingdings 3" w:cs="Wingdings 3"/>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8z0">
    <w:name w:val="WW8Num38z0"/>
    <w:qFormat/>
    <w:rPr/>
  </w:style>
  <w:style w:type="character" w:styleId="WW8Num39z0">
    <w:name w:val="WW8Num39z0"/>
    <w:qFormat/>
    <w:rPr/>
  </w:style>
  <w:style w:type="character" w:styleId="WW8Num40z0">
    <w:name w:val="WW8Num40z0"/>
    <w:qFormat/>
    <w:rPr/>
  </w:style>
  <w:style w:type="character" w:styleId="WW8Num41z0">
    <w:name w:val="WW8Num41z0"/>
    <w:qFormat/>
    <w:rPr/>
  </w:style>
  <w:style w:type="character" w:styleId="Policepardfaut">
    <w:name w:val="Police par défaut"/>
    <w:qFormat/>
    <w:rPr/>
  </w:style>
  <w:style w:type="character" w:styleId="PageNumber">
    <w:name w:val="Page Number"/>
    <w:basedOn w:val="Policepardfaut"/>
    <w:rPr/>
  </w:style>
  <w:style w:type="character" w:styleId="StrongEmphasis">
    <w:name w:val="Strong Emphasis"/>
    <w:rPr>
      <w:b/>
      <w:bCs/>
    </w:rPr>
  </w:style>
  <w:style w:type="character" w:styleId="Surligne">
    <w:name w:val="surligne"/>
    <w:basedOn w:val="Policepardfaut"/>
    <w:qFormat/>
    <w:rPr/>
  </w:style>
  <w:style w:type="character" w:styleId="EntteCar">
    <w:name w:val="En-tête Car"/>
    <w:qFormat/>
    <w:rPr>
      <w:rFonts w:cs="Arial"/>
      <w:sz w:val="24"/>
      <w:szCs w:val="18"/>
    </w:rPr>
  </w:style>
  <w:style w:type="character" w:styleId="TextedebullesCar">
    <w:name w:val="Texte de bulles Car"/>
    <w:qFormat/>
    <w:rPr>
      <w:rFonts w:ascii="Tahoma" w:hAnsi="Tahoma" w:cs="Tahoma"/>
      <w:sz w:val="16"/>
      <w:szCs w:val="16"/>
    </w:rPr>
  </w:style>
  <w:style w:type="character" w:styleId="Marquedecommentaire">
    <w:name w:val="Marque de commentaire"/>
    <w:qFormat/>
    <w:rPr>
      <w:sz w:val="16"/>
      <w:szCs w:val="16"/>
    </w:rPr>
  </w:style>
  <w:style w:type="character" w:styleId="CommentaireCar">
    <w:name w:val="Commentaire Car"/>
    <w:qFormat/>
    <w:rPr>
      <w:rFonts w:cs="Arial"/>
    </w:rPr>
  </w:style>
  <w:style w:type="character" w:styleId="ObjetducommentaireCar">
    <w:name w:val="Objet du commentaire Car"/>
    <w:qFormat/>
    <w:rPr>
      <w:rFonts w:cs="Arial"/>
      <w:b/>
      <w:b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jc w:val="both"/>
    </w:pPr>
    <w:rPr>
      <w:b/>
      <w:bCs/>
      <w:sz w:val="28"/>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rpsdetexte2">
    <w:name w:val="Corps de texte 2"/>
    <w:basedOn w:val="Normal"/>
    <w:qFormat/>
    <w:pPr>
      <w:jc w:val="both"/>
    </w:pPr>
    <w:rPr/>
  </w:style>
  <w:style w:type="paragraph" w:styleId="NormalWeb">
    <w:name w:val="Normal (Web)"/>
    <w:basedOn w:val="Normal"/>
    <w:qFormat/>
    <w:pPr>
      <w:spacing w:before="280" w:after="280"/>
    </w:pPr>
    <w:rPr>
      <w:rFonts w:ascii="Arial Unicode MS" w:hAnsi="Arial Unicode MS" w:eastAsia="Arial Unicode MS" w:cs="Arial Unicode MS"/>
      <w:szCs w:val="24"/>
    </w:rPr>
  </w:style>
  <w:style w:type="paragraph" w:styleId="Corpsdetexte3">
    <w:name w:val="Corps de texte 3"/>
    <w:basedOn w:val="Normal"/>
    <w:qFormat/>
    <w:pPr>
      <w:jc w:val="both"/>
    </w:pPr>
    <w:rPr>
      <w:rFonts w:cs="Times New Roman"/>
      <w:b/>
      <w:bCs/>
      <w:color w:val="0000FF"/>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Paragraphedeliste">
    <w:name w:val="Paragraphe de liste"/>
    <w:basedOn w:val="Normal"/>
    <w:qFormat/>
    <w:pPr>
      <w:ind w:left="708" w:hanging="0"/>
    </w:pPr>
    <w:rPr/>
  </w:style>
  <w:style w:type="paragraph" w:styleId="Textedebulles">
    <w:name w:val="Texte de bulles"/>
    <w:basedOn w:val="Normal"/>
    <w:qFormat/>
    <w:pPr/>
    <w:rPr>
      <w:rFonts w:ascii="Tahoma" w:hAnsi="Tahoma" w:cs="Tahoma"/>
      <w:sz w:val="16"/>
      <w:szCs w:val="16"/>
    </w:rPr>
  </w:style>
  <w:style w:type="paragraph" w:styleId="Para">
    <w:name w:val="para"/>
    <w:basedOn w:val="Normal"/>
    <w:qFormat/>
    <w:pPr>
      <w:spacing w:before="100" w:after="100"/>
    </w:pPr>
    <w:rPr>
      <w:rFonts w:cs="Times New Roman"/>
      <w:szCs w:val="24"/>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Default">
    <w:name w:val="Default"/>
    <w:qFormat/>
    <w:pPr>
      <w:widowControl/>
      <w:autoSpaceDE w:val="false"/>
    </w:pPr>
    <w:rPr>
      <w:rFonts w:ascii="Times New Roman" w:hAnsi="Times New Roman" w:eastAsia="Times New Roman" w:cs="Times New Roman"/>
      <w:color w:val="000000"/>
      <w:sz w:val="24"/>
      <w:szCs w:val="24"/>
      <w:lang w:val="fr-FR" w:bidi="ar-SA" w:eastAsia="zh-CN"/>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 w:type="numbering" w:styleId="WW8Num41">
    <w:name w:val="WW8Num4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2017-09-27T11:16:00Z</cp:lastPrinted>
  <dcterms:created xsi:type="dcterms:W3CDTF">2017-10-06T09:23:00Z</dcterms:created>
  <dcterms:modified xsi:type="dcterms:W3CDTF">2017-10-09T09:00:00Z</dcterms:modified>
</cp:coreProperties>
</file>