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smallCaps/>
          <w:color w:val="4472C4"/>
        </w:rPr>
      </w:pPr>
      <w:r>
        <w:rPr>
          <w:smallCaps/>
          <w:color w:val="4472C4"/>
        </w:rPr>
        <w:t>ACCORD</w:t>
      </w:r>
    </w:p>
    <w:p>
      <w:pPr>
        <w:pStyle w:val="Normal"/>
        <w:jc w:val="center"/>
        <w:rPr>
          <w:rFonts w:cs="Times New Roman"/>
          <w:b/>
          <w:b/>
          <w:bCs/>
          <w:smallCaps/>
          <w:color w:val="4472C4"/>
          <w:sz w:val="32"/>
        </w:rPr>
      </w:pPr>
      <w:r>
        <w:rPr>
          <w:rFonts w:cs="Times New Roman"/>
          <w:b/>
          <w:bCs/>
          <w:smallCaps/>
          <w:color w:val="4472C4"/>
          <w:sz w:val="32"/>
        </w:rPr>
        <w:t>NEGOCIATION OBLIGATOIRE</w:t>
      </w:r>
    </w:p>
    <w:p>
      <w:pPr>
        <w:pStyle w:val="Normal"/>
        <w:jc w:val="center"/>
        <w:rPr>
          <w:rFonts w:ascii="Times New Roman Gras" w:hAnsi="Times New Roman Gras" w:cs="Times New Roman"/>
          <w:b/>
          <w:b/>
          <w:bCs/>
          <w:color w:val="4472C4"/>
          <w:sz w:val="32"/>
        </w:rPr>
      </w:pPr>
      <w:r>
        <w:rPr>
          <w:rFonts w:cs="Times New Roman" w:ascii="Times New Roman Gras" w:hAnsi="Times New Roman Gras"/>
          <w:b/>
          <w:bCs/>
          <w:color w:val="4472C4"/>
          <w:sz w:val="32"/>
        </w:rPr>
        <w:t>relative à l’Egalité professionnelle entre les femmes et les hommes</w:t>
      </w:r>
    </w:p>
    <w:p>
      <w:pPr>
        <w:pStyle w:val="Normal"/>
        <w:jc w:val="center"/>
        <w:rPr>
          <w:rFonts w:ascii="Times New Roman Gras" w:hAnsi="Times New Roman Gras" w:cs="Times New Roman"/>
          <w:color w:val="4472C4"/>
        </w:rPr>
      </w:pPr>
      <w:r>
        <w:rPr>
          <w:rFonts w:cs="Times New Roman" w:ascii="Times New Roman Gras" w:hAnsi="Times New Roman Gras"/>
          <w:b/>
          <w:bCs/>
          <w:color w:val="4472C4"/>
          <w:sz w:val="32"/>
        </w:rPr>
        <w:t>et à la Qualité de Vie au Travail</w:t>
      </w:r>
    </w:p>
    <w:p>
      <w:pPr>
        <w:pStyle w:val="Normal"/>
        <w:rPr>
          <w:rFonts w:ascii="Times New Roman Gras" w:hAnsi="Times New Roman Gras" w:cs="Times New Roman"/>
          <w:color w:val="4472C4"/>
          <w:szCs w:val="20"/>
        </w:rPr>
      </w:pPr>
      <w:r>
        <w:rPr>
          <w:rFonts w:cs="Times New Roman" w:ascii="Times New Roman Gras" w:hAnsi="Times New Roman Gras"/>
          <w:color w:val="4472C4"/>
          <w:szCs w:val="20"/>
        </w:rPr>
      </w:r>
    </w:p>
    <w:p>
      <w:pPr>
        <w:pStyle w:val="Normal"/>
        <w:rPr>
          <w:rFonts w:cs="Times New Roman"/>
          <w:szCs w:val="20"/>
        </w:rPr>
      </w:pPr>
      <w:r>
        <w:rPr>
          <w:rFonts w:cs="Times New Roman"/>
          <w:szCs w:val="20"/>
        </w:rPr>
      </w:r>
    </w:p>
    <w:p>
      <w:pPr>
        <w:pStyle w:val="Normal"/>
        <w:jc w:val="both"/>
        <w:rPr>
          <w:rFonts w:cs="Times New Roman"/>
          <w:szCs w:val="24"/>
        </w:rPr>
      </w:pPr>
      <w:bookmarkStart w:id="0" w:name="OLE_LINK7"/>
      <w:bookmarkEnd w:id="0"/>
      <w:r>
        <w:rPr>
          <w:rFonts w:cs="Times New Roman"/>
          <w:szCs w:val="24"/>
        </w:rPr>
        <w:t>Entre les soussignés :</w:t>
      </w:r>
    </w:p>
    <w:p>
      <w:pPr>
        <w:pStyle w:val="Normal"/>
        <w:jc w:val="both"/>
        <w:rPr>
          <w:rFonts w:cs="Times New Roman"/>
          <w:szCs w:val="24"/>
        </w:rPr>
      </w:pPr>
      <w:r>
        <w:rPr>
          <w:rFonts w:cs="Times New Roman"/>
          <w:szCs w:val="24"/>
        </w:rPr>
      </w:r>
    </w:p>
    <w:p>
      <w:pPr>
        <w:pStyle w:val="Normal"/>
        <w:numPr>
          <w:ilvl w:val="0"/>
          <w:numId w:val="2"/>
        </w:numPr>
        <w:spacing w:before="0" w:after="120"/>
        <w:ind w:left="284" w:hanging="284"/>
        <w:jc w:val="both"/>
        <w:rPr>
          <w:rFonts w:cs="Times New Roman"/>
          <w:szCs w:val="24"/>
        </w:rPr>
      </w:pPr>
      <w:r>
        <w:rPr>
          <w:rFonts w:cs="Times New Roman"/>
          <w:szCs w:val="24"/>
        </w:rPr>
        <w:t xml:space="preserve">Mutuelle Bleue, mutuelle soumise aux dispositions du Livre II du Code de la mutualité immatriculée au répertoire Sirene sous le numéro 775 671 993, dont le siège social est situé 68 rue du Rocher à Paris cedex 08 (75396), représentée par X ; </w:t>
      </w:r>
    </w:p>
    <w:p>
      <w:pPr>
        <w:pStyle w:val="Normal"/>
        <w:numPr>
          <w:ilvl w:val="0"/>
          <w:numId w:val="2"/>
        </w:numPr>
        <w:spacing w:before="0" w:after="120"/>
        <w:ind w:left="284" w:hanging="284"/>
        <w:jc w:val="both"/>
        <w:rPr>
          <w:rFonts w:cs="Times New Roman"/>
          <w:szCs w:val="24"/>
        </w:rPr>
      </w:pPr>
      <w:r>
        <w:rPr>
          <w:rFonts w:cs="Times New Roman"/>
          <w:szCs w:val="24"/>
        </w:rPr>
        <w:t>le G.I.E. Groupe les Hauts Mézereaux, immatriculé au RCS sous le numéro 389 734 914 dont le siège social est situé 14, rue René Cassin à Melun (77014), représenté par X ;</w:t>
      </w:r>
    </w:p>
    <w:p>
      <w:pPr>
        <w:pStyle w:val="Normal"/>
        <w:jc w:val="both"/>
        <w:rPr>
          <w:rFonts w:cs="Times New Roman"/>
          <w:szCs w:val="24"/>
        </w:rPr>
      </w:pPr>
      <w:r>
        <w:rPr>
          <w:rFonts w:cs="Times New Roman"/>
          <w:szCs w:val="24"/>
        </w:rPr>
      </w:r>
    </w:p>
    <w:p>
      <w:pPr>
        <w:pStyle w:val="Normal"/>
        <w:jc w:val="both"/>
        <w:rPr/>
      </w:pPr>
      <w:r>
        <w:rPr>
          <w:rFonts w:cs="Times New Roman"/>
          <w:szCs w:val="24"/>
        </w:rPr>
        <w:t>Ci-après dénommés « U.E.S. »</w:t>
      </w:r>
    </w:p>
    <w:p>
      <w:pPr>
        <w:pStyle w:val="Normal"/>
        <w:tabs>
          <w:tab w:val="left" w:pos="5370" w:leader="none"/>
        </w:tabs>
        <w:rPr>
          <w:rFonts w:cs="Times New Roman"/>
          <w:szCs w:val="24"/>
        </w:rPr>
      </w:pPr>
      <w:r>
        <w:rPr>
          <w:rFonts w:cs="Times New Roman"/>
          <w:szCs w:val="24"/>
        </w:rPr>
        <w:tab/>
      </w:r>
    </w:p>
    <w:p>
      <w:pPr>
        <w:pStyle w:val="Normal"/>
        <w:jc w:val="right"/>
        <w:rPr>
          <w:rFonts w:cs="Times New Roman"/>
          <w:b/>
          <w:b/>
          <w:szCs w:val="24"/>
        </w:rPr>
      </w:pPr>
      <w:r>
        <w:rPr>
          <w:rFonts w:cs="Times New Roman"/>
          <w:b/>
          <w:szCs w:val="24"/>
        </w:rPr>
        <w:t>d’une part,</w:t>
      </w:r>
    </w:p>
    <w:p>
      <w:pPr>
        <w:pStyle w:val="Normal"/>
        <w:jc w:val="both"/>
        <w:rPr>
          <w:rFonts w:cs="Times New Roman"/>
          <w:b/>
          <w:b/>
          <w:szCs w:val="24"/>
        </w:rPr>
      </w:pPr>
      <w:r>
        <w:rPr>
          <w:rFonts w:cs="Times New Roman"/>
          <w:b/>
          <w:szCs w:val="24"/>
        </w:rPr>
      </w:r>
    </w:p>
    <w:p>
      <w:pPr>
        <w:pStyle w:val="Normal"/>
        <w:jc w:val="both"/>
        <w:rPr>
          <w:rFonts w:cs="Times New Roman"/>
          <w:szCs w:val="24"/>
        </w:rPr>
      </w:pPr>
      <w:r>
        <w:rPr>
          <w:rFonts w:cs="Times New Roman"/>
          <w:szCs w:val="24"/>
        </w:rPr>
        <w:t xml:space="preserve">Et </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t>Les organisations syndicales représentatives au sens de l’article L2231-1 du Code du travail, ainsi représentées :</w:t>
      </w:r>
    </w:p>
    <w:p>
      <w:pPr>
        <w:pStyle w:val="Normal"/>
        <w:jc w:val="both"/>
        <w:rPr>
          <w:rFonts w:cs="Times New Roman"/>
          <w:szCs w:val="24"/>
        </w:rPr>
      </w:pPr>
      <w:r>
        <w:rPr>
          <w:rFonts w:cs="Times New Roman"/>
          <w:szCs w:val="24"/>
        </w:rPr>
      </w:r>
    </w:p>
    <w:p>
      <w:pPr>
        <w:pStyle w:val="Normal"/>
        <w:numPr>
          <w:ilvl w:val="0"/>
          <w:numId w:val="3"/>
        </w:numPr>
        <w:ind w:left="284" w:hanging="284"/>
        <w:jc w:val="both"/>
        <w:rPr/>
      </w:pPr>
      <w:r>
        <w:rPr>
          <w:rFonts w:cs="Times New Roman"/>
          <w:szCs w:val="24"/>
        </w:rPr>
        <w:t>Madame Y, agissant en qualité de déléguée syndicale de l’U.E.S désignée respectivement par l’organisation syndicale CFE-CGC</w:t>
      </w:r>
    </w:p>
    <w:p>
      <w:pPr>
        <w:pStyle w:val="Normal"/>
        <w:numPr>
          <w:ilvl w:val="0"/>
          <w:numId w:val="3"/>
        </w:numPr>
        <w:ind w:left="284" w:hanging="284"/>
        <w:jc w:val="both"/>
        <w:rPr/>
      </w:pPr>
      <w:r>
        <w:rPr>
          <w:rFonts w:cs="Times New Roman"/>
          <w:szCs w:val="24"/>
        </w:rPr>
        <w:t>Madame Z, agissant en qualité de déléguée syndicale de l’U.E.S désignée respectivement par l’organisation syndicale CGT</w:t>
      </w:r>
    </w:p>
    <w:p>
      <w:pPr>
        <w:pStyle w:val="Normal"/>
        <w:jc w:val="both"/>
        <w:rPr>
          <w:rFonts w:cs="Times New Roman"/>
          <w:szCs w:val="24"/>
        </w:rPr>
      </w:pPr>
      <w:r>
        <w:rPr>
          <w:rFonts w:cs="Times New Roman"/>
          <w:szCs w:val="24"/>
        </w:rPr>
      </w:r>
    </w:p>
    <w:p>
      <w:pPr>
        <w:pStyle w:val="Normal"/>
        <w:jc w:val="both"/>
        <w:rPr>
          <w:rFonts w:cs="Times New Roman"/>
          <w:b/>
          <w:b/>
          <w:szCs w:val="24"/>
        </w:rPr>
      </w:pPr>
      <w:r>
        <w:rPr>
          <w:rFonts w:cs="Times New Roman"/>
          <w:b/>
          <w:szCs w:val="24"/>
        </w:rPr>
      </w:r>
    </w:p>
    <w:p>
      <w:pPr>
        <w:pStyle w:val="Normal"/>
        <w:jc w:val="right"/>
        <w:rPr>
          <w:rFonts w:cs="Times New Roman"/>
          <w:b/>
          <w:b/>
          <w:szCs w:val="24"/>
        </w:rPr>
      </w:pPr>
      <w:r>
        <w:rPr>
          <w:rFonts w:cs="Times New Roman"/>
          <w:b/>
          <w:szCs w:val="24"/>
        </w:rPr>
        <w:t>d’autre part,</w:t>
      </w:r>
    </w:p>
    <w:p>
      <w:pPr>
        <w:pStyle w:val="Normal"/>
        <w:rPr>
          <w:rFonts w:cs="Times New Roman"/>
          <w:b/>
          <w:b/>
          <w:szCs w:val="20"/>
        </w:rPr>
      </w:pPr>
      <w:r>
        <w:rPr>
          <w:rFonts w:cs="Times New Roman"/>
          <w:b/>
          <w:szCs w:val="20"/>
        </w:rPr>
      </w:r>
    </w:p>
    <w:p>
      <w:pPr>
        <w:pStyle w:val="Normal"/>
        <w:rPr>
          <w:rFonts w:cs="Times New Roman"/>
          <w:szCs w:val="20"/>
        </w:rPr>
      </w:pPr>
      <w:r>
        <w:rPr>
          <w:rFonts w:cs="Times New Roman"/>
          <w:szCs w:val="20"/>
        </w:rPr>
      </w:r>
    </w:p>
    <w:p>
      <w:pPr>
        <w:pStyle w:val="Normal"/>
        <w:rPr>
          <w:rFonts w:cs="Times New Roman"/>
          <w:szCs w:val="20"/>
        </w:rPr>
      </w:pPr>
      <w:r>
        <w:rPr>
          <w:rFonts w:cs="Times New Roman"/>
          <w:szCs w:val="20"/>
        </w:rPr>
      </w:r>
    </w:p>
    <w:p>
      <w:pPr>
        <w:pStyle w:val="Heading2"/>
        <w:numPr>
          <w:ilvl w:val="1"/>
          <w:numId w:val="1"/>
        </w:numPr>
        <w:rPr>
          <w:color w:val="4472C4"/>
        </w:rPr>
      </w:pPr>
      <w:bookmarkStart w:id="1" w:name="OLE_LINK7"/>
      <w:bookmarkEnd w:id="1"/>
      <w:r>
        <w:rPr>
          <w:color w:val="4472C4"/>
        </w:rPr>
        <w:t>Préambule</w:t>
      </w:r>
    </w:p>
    <w:p>
      <w:pPr>
        <w:pStyle w:val="Normal"/>
        <w:rPr>
          <w:rFonts w:cs="Times New Roman"/>
          <w:color w:val="4472C4"/>
          <w:szCs w:val="20"/>
        </w:rPr>
      </w:pPr>
      <w:r>
        <w:rPr>
          <w:rFonts w:cs="Times New Roman"/>
          <w:color w:val="4472C4"/>
          <w:szCs w:val="20"/>
        </w:rPr>
      </w:r>
    </w:p>
    <w:p>
      <w:pPr>
        <w:pStyle w:val="Normal"/>
        <w:rPr>
          <w:rFonts w:cs="Times New Roman"/>
          <w:szCs w:val="20"/>
        </w:rPr>
      </w:pPr>
      <w:r>
        <w:rPr>
          <w:rFonts w:cs="Times New Roman"/>
          <w:szCs w:val="20"/>
        </w:rPr>
      </w:r>
    </w:p>
    <w:p>
      <w:pPr>
        <w:pStyle w:val="Normal"/>
        <w:spacing w:before="0" w:after="120"/>
        <w:jc w:val="both"/>
        <w:rPr>
          <w:szCs w:val="20"/>
        </w:rPr>
      </w:pPr>
      <w:r>
        <w:rPr>
          <w:rFonts w:cs="Times New Roman"/>
        </w:rPr>
        <w:t>Conformément aux articles L.2242-1 et suivants du Code du travail, une négociation sur l’égalité professionnelle entre les femmes et les hommes et la qualité de vie au travail s’est engagée entre la direction et les organisations syndicales représentatives au sein de l’U.E.S.</w:t>
      </w:r>
    </w:p>
    <w:p>
      <w:pPr>
        <w:pStyle w:val="Corpsdetexte3"/>
        <w:spacing w:before="0" w:after="120"/>
        <w:rPr>
          <w:rFonts w:ascii="Times New Roman" w:hAnsi="Times New Roman" w:cs="Times New Roman"/>
          <w:szCs w:val="20"/>
        </w:rPr>
      </w:pPr>
      <w:r>
        <w:rPr>
          <w:rFonts w:cs="Times New Roman" w:ascii="Times New Roman" w:hAnsi="Times New Roman"/>
        </w:rPr>
        <w:t>Cette négociation obligatoire, s’est déroulée lors des réunions des 6 juillet, 12 et 19 septembre 2017.</w:t>
      </w:r>
    </w:p>
    <w:p>
      <w:pPr>
        <w:pStyle w:val="Normal"/>
        <w:jc w:val="both"/>
        <w:rPr>
          <w:szCs w:val="20"/>
        </w:rPr>
      </w:pPr>
      <w:r>
        <w:rPr>
          <w:rFonts w:cs="Times New Roman"/>
        </w:rPr>
        <w:t xml:space="preserve">Après avoir échangé sur leurs dernières propositions, les parties aux présentes constatent lors de la réunion de clôture de ce jour, le 25 septembre 2017,  leur accord dans les matières faisant l’objet de cette négociation, selon les modalités suivantes : </w:t>
      </w:r>
    </w:p>
    <w:p>
      <w:pPr>
        <w:pStyle w:val="Normal"/>
        <w:jc w:val="both"/>
        <w:rPr>
          <w:rFonts w:cs="Times New Roman"/>
          <w:szCs w:val="20"/>
        </w:rPr>
      </w:pPr>
      <w:r>
        <w:rPr>
          <w:rFonts w:cs="Times New Roman"/>
          <w:szCs w:val="20"/>
        </w:rPr>
      </w:r>
    </w:p>
    <w:p>
      <w:pPr>
        <w:pStyle w:val="Heading2"/>
        <w:numPr>
          <w:ilvl w:val="1"/>
          <w:numId w:val="1"/>
        </w:numPr>
        <w:spacing w:before="0" w:after="240"/>
        <w:rPr>
          <w:color w:val="4472C4"/>
          <w:szCs w:val="20"/>
          <w:u w:val="none"/>
        </w:rPr>
      </w:pPr>
      <w:r>
        <w:rPr>
          <w:color w:val="4472C4"/>
          <w:u w:val="none"/>
        </w:rPr>
        <w:t>ARTICLE 1 - OBJET DE LA NEGOCIATION</w:t>
      </w:r>
    </w:p>
    <w:p>
      <w:pPr>
        <w:pStyle w:val="Heading4"/>
        <w:numPr>
          <w:ilvl w:val="3"/>
          <w:numId w:val="1"/>
        </w:numPr>
        <w:jc w:val="both"/>
        <w:rPr>
          <w:rFonts w:eastAsia="Arial Unicode MS"/>
          <w:color w:val="4472C4"/>
        </w:rPr>
      </w:pPr>
      <w:r>
        <w:rPr>
          <w:color w:val="4472C4"/>
        </w:rPr>
        <w:t>A/ Egalité professionnelle entre les femmes et les hommes et articulation entre la vie personnelle et la vie professionnelle</w:t>
      </w:r>
    </w:p>
    <w:p>
      <w:pPr>
        <w:pStyle w:val="Normal"/>
        <w:rPr>
          <w:rFonts w:eastAsia="Arial Unicode MS" w:cs="Times New Roman"/>
          <w:color w:val="4472C4"/>
        </w:rPr>
      </w:pPr>
      <w:r>
        <w:rPr>
          <w:rFonts w:eastAsia="Arial Unicode MS" w:cs="Times New Roman"/>
          <w:color w:val="4472C4"/>
        </w:rPr>
      </w:r>
    </w:p>
    <w:p>
      <w:pPr>
        <w:pStyle w:val="Normal"/>
        <w:spacing w:before="0" w:after="120"/>
        <w:jc w:val="both"/>
        <w:rPr>
          <w:rFonts w:cs="Times New Roman"/>
        </w:rPr>
      </w:pPr>
      <w:r>
        <w:rPr>
          <w:rFonts w:cs="Times New Roman"/>
        </w:rPr>
        <w:t>Les parties rappellent qu’un accord visant à garantir aux femmes comme aux hommes de Mutuelle Bleue et du GIE Groupe les Hauts Mézereaux une égalité professionnelle et salariale tout au long de leur parcours a été conclu le 25 septembre 2014.</w:t>
      </w:r>
    </w:p>
    <w:p>
      <w:pPr>
        <w:pStyle w:val="Heading4"/>
        <w:numPr>
          <w:ilvl w:val="3"/>
          <w:numId w:val="1"/>
        </w:numPr>
        <w:jc w:val="both"/>
        <w:rPr/>
      </w:pPr>
      <w:r>
        <w:rPr>
          <w:b w:val="false"/>
          <w:color w:val="000000"/>
          <w:u w:val="none"/>
        </w:rPr>
        <w:t>Sur la base du rapport relatif à l’égalité professionnelle entre les femmes et les hommes 2016, les parties conviennent de maintenir les objectifs de progression et les actions permettant de les atteindre, pour les 3 années à venir, dans les 4 domaines d’actions retenus au sein de l’accord du 25 septembre 2014 :</w:t>
      </w:r>
    </w:p>
    <w:p>
      <w:pPr>
        <w:pStyle w:val="Heading4"/>
        <w:numPr>
          <w:ilvl w:val="0"/>
          <w:numId w:val="3"/>
        </w:numPr>
        <w:ind w:left="284" w:hanging="284"/>
        <w:jc w:val="both"/>
        <w:rPr>
          <w:b w:val="false"/>
          <w:b w:val="false"/>
          <w:color w:val="000000"/>
          <w:u w:val="none"/>
        </w:rPr>
      </w:pPr>
      <w:r>
        <w:rPr>
          <w:b w:val="false"/>
          <w:color w:val="000000"/>
          <w:u w:val="none"/>
        </w:rPr>
        <w:t>Formation ;</w:t>
      </w:r>
    </w:p>
    <w:p>
      <w:pPr>
        <w:pStyle w:val="Heading4"/>
        <w:numPr>
          <w:ilvl w:val="0"/>
          <w:numId w:val="3"/>
        </w:numPr>
        <w:ind w:left="284" w:hanging="284"/>
        <w:jc w:val="both"/>
        <w:rPr>
          <w:b w:val="false"/>
          <w:b w:val="false"/>
          <w:color w:val="000000"/>
          <w:u w:val="none"/>
        </w:rPr>
      </w:pPr>
      <w:r>
        <w:rPr>
          <w:b w:val="false"/>
          <w:color w:val="000000"/>
          <w:u w:val="none"/>
        </w:rPr>
        <w:t>Evolution professionnelle ;</w:t>
      </w:r>
    </w:p>
    <w:p>
      <w:pPr>
        <w:pStyle w:val="Heading4"/>
        <w:numPr>
          <w:ilvl w:val="0"/>
          <w:numId w:val="3"/>
        </w:numPr>
        <w:ind w:left="284" w:hanging="284"/>
        <w:jc w:val="both"/>
        <w:rPr>
          <w:b w:val="false"/>
          <w:b w:val="false"/>
          <w:color w:val="000000"/>
          <w:u w:val="none"/>
        </w:rPr>
      </w:pPr>
      <w:r>
        <w:rPr>
          <w:b w:val="false"/>
          <w:color w:val="000000"/>
          <w:u w:val="none"/>
        </w:rPr>
        <w:t>Rémunération ;</w:t>
      </w:r>
    </w:p>
    <w:p>
      <w:pPr>
        <w:pStyle w:val="Heading4"/>
        <w:numPr>
          <w:ilvl w:val="0"/>
          <w:numId w:val="3"/>
        </w:numPr>
        <w:spacing w:before="0" w:after="120"/>
        <w:ind w:left="284" w:hanging="284"/>
        <w:jc w:val="both"/>
        <w:rPr/>
      </w:pPr>
      <w:r>
        <w:rPr>
          <w:b w:val="false"/>
          <w:color w:val="000000"/>
          <w:szCs w:val="24"/>
          <w:u w:val="none"/>
        </w:rPr>
        <w:t xml:space="preserve">Organisation du temps de travail et articulation entre la vie personnelle et la vie professionnelle. </w:t>
      </w:r>
    </w:p>
    <w:p>
      <w:pPr>
        <w:pStyle w:val="Art4"/>
        <w:spacing w:before="0" w:after="120"/>
        <w:jc w:val="both"/>
        <w:rPr/>
      </w:pPr>
      <w:r>
        <w:rPr/>
        <w:t xml:space="preserve">Cet accord fera néanmoins l’objet d’un avenant visant notamment à intégrer les dernières évolutions législatives et règlementaires issues de la Loi </w:t>
      </w:r>
      <w:r>
        <w:rPr>
          <w:rStyle w:val="StrongEmphasis"/>
          <w:b w:val="false"/>
          <w:color w:val="000000"/>
          <w:shd w:fill="FFFFFF" w:val="clear"/>
        </w:rPr>
        <w:t>relative au dialogue social et à l'emploi</w:t>
      </w:r>
      <w:r>
        <w:rPr>
          <w:b/>
        </w:rPr>
        <w:t xml:space="preserve"> </w:t>
      </w:r>
      <w:r>
        <w:rPr>
          <w:rStyle w:val="StrongEmphasis"/>
          <w:b w:val="false"/>
          <w:color w:val="000000"/>
          <w:shd w:fill="FFFFFF" w:val="clear"/>
        </w:rPr>
        <w:t>du 17 août 2015 et, de la</w:t>
      </w:r>
      <w:r>
        <w:rPr>
          <w:b/>
        </w:rPr>
        <w:t xml:space="preserve"> </w:t>
      </w:r>
      <w:r>
        <w:rPr/>
        <w:t>Loi relative au travail, à la modernisation du dialogue social et à la sécurisation des parcours professionnels du 8 août 2016</w:t>
      </w:r>
      <w:r>
        <w:rPr>
          <w:bCs/>
        </w:rPr>
        <w:t>.</w:t>
      </w:r>
    </w:p>
    <w:p>
      <w:pPr>
        <w:pStyle w:val="Normal"/>
        <w:jc w:val="both"/>
        <w:rPr/>
      </w:pPr>
      <w:r>
        <w:rPr/>
      </w:r>
    </w:p>
    <w:p>
      <w:pPr>
        <w:pStyle w:val="Heading4"/>
        <w:numPr>
          <w:ilvl w:val="3"/>
          <w:numId w:val="1"/>
        </w:numPr>
        <w:spacing w:before="0" w:after="240"/>
        <w:rPr>
          <w:color w:val="4472C4"/>
        </w:rPr>
      </w:pPr>
      <w:r>
        <w:rPr>
          <w:color w:val="4472C4"/>
        </w:rPr>
        <w:t>B/ Lutte contre les discriminations</w:t>
      </w:r>
    </w:p>
    <w:p>
      <w:pPr>
        <w:pStyle w:val="Corpsdetexte2"/>
        <w:tabs>
          <w:tab w:val="left" w:pos="360" w:leader="none"/>
        </w:tabs>
        <w:spacing w:before="0" w:after="120"/>
        <w:rPr>
          <w:rFonts w:ascii="Times New Roman" w:hAnsi="Times New Roman" w:cs="Times New Roman"/>
          <w:color w:val="000000"/>
        </w:rPr>
      </w:pPr>
      <w:r>
        <w:rPr>
          <w:rFonts w:cs="Times New Roman" w:ascii="Times New Roman" w:hAnsi="Times New Roman"/>
          <w:color w:val="000000"/>
        </w:rPr>
        <w:t>Mutuelle Bleue et le GIE Groupe les Hauts Mézereaux réaffirment leur respect du principe de non-discrimination dès le processus de recrutement ainsi que tout au long du parcours professionnel de ses salariés.</w:t>
      </w:r>
    </w:p>
    <w:p>
      <w:pPr>
        <w:pStyle w:val="Corpsdetexte2"/>
        <w:tabs>
          <w:tab w:val="left" w:pos="360" w:leader="none"/>
        </w:tabs>
        <w:spacing w:before="0" w:after="120"/>
        <w:rPr>
          <w:rFonts w:ascii="Times New Roman" w:hAnsi="Times New Roman" w:cs="Times New Roman"/>
          <w:color w:val="000000"/>
        </w:rPr>
      </w:pPr>
      <w:r>
        <w:rPr>
          <w:rFonts w:cs="Times New Roman" w:ascii="Times New Roman" w:hAnsi="Times New Roman"/>
          <w:color w:val="000000"/>
        </w:rPr>
        <w:t>L’</w:t>
      </w:r>
      <w:r>
        <w:rPr>
          <w:rFonts w:cs="Times New Roman" w:ascii="Times New Roman" w:hAnsi="Times New Roman"/>
          <w:bCs/>
          <w:color w:val="000000"/>
          <w:szCs w:val="24"/>
        </w:rPr>
        <w:t>origine</w:t>
      </w:r>
      <w:r>
        <w:rPr>
          <w:rFonts w:cs="Times New Roman" w:ascii="Times New Roman" w:hAnsi="Times New Roman"/>
          <w:color w:val="000000"/>
          <w:szCs w:val="24"/>
        </w:rPr>
        <w:t xml:space="preserve">, le </w:t>
      </w:r>
      <w:r>
        <w:rPr>
          <w:rFonts w:cs="Times New Roman" w:ascii="Times New Roman" w:hAnsi="Times New Roman"/>
          <w:bCs/>
          <w:color w:val="000000"/>
          <w:szCs w:val="24"/>
        </w:rPr>
        <w:t>sexe</w:t>
      </w:r>
      <w:r>
        <w:rPr>
          <w:rFonts w:cs="Times New Roman" w:ascii="Times New Roman" w:hAnsi="Times New Roman"/>
          <w:color w:val="000000"/>
          <w:szCs w:val="24"/>
        </w:rPr>
        <w:t xml:space="preserve">, les </w:t>
      </w:r>
      <w:r>
        <w:rPr>
          <w:rFonts w:cs="Times New Roman" w:ascii="Times New Roman" w:hAnsi="Times New Roman"/>
          <w:bCs/>
          <w:color w:val="000000"/>
          <w:szCs w:val="24"/>
        </w:rPr>
        <w:t>mœurs</w:t>
      </w:r>
      <w:r>
        <w:rPr>
          <w:rFonts w:cs="Times New Roman" w:ascii="Times New Roman" w:hAnsi="Times New Roman"/>
          <w:color w:val="000000"/>
          <w:szCs w:val="24"/>
        </w:rPr>
        <w:t>, l’</w:t>
      </w:r>
      <w:r>
        <w:rPr>
          <w:rFonts w:cs="Times New Roman" w:ascii="Times New Roman" w:hAnsi="Times New Roman"/>
          <w:bCs/>
          <w:color w:val="000000"/>
          <w:szCs w:val="24"/>
        </w:rPr>
        <w:t>orientation sexuelle</w:t>
      </w:r>
      <w:r>
        <w:rPr>
          <w:rFonts w:cs="Times New Roman" w:ascii="Times New Roman" w:hAnsi="Times New Roman"/>
          <w:color w:val="000000"/>
          <w:szCs w:val="24"/>
        </w:rPr>
        <w:t>, l’</w:t>
      </w:r>
      <w:r>
        <w:rPr>
          <w:rFonts w:cs="Times New Roman" w:ascii="Times New Roman" w:hAnsi="Times New Roman"/>
          <w:bCs/>
          <w:color w:val="000000"/>
          <w:szCs w:val="24"/>
        </w:rPr>
        <w:t>identité de genre</w:t>
      </w:r>
      <w:r>
        <w:rPr>
          <w:rFonts w:cs="Times New Roman" w:ascii="Times New Roman" w:hAnsi="Times New Roman"/>
          <w:color w:val="000000"/>
          <w:szCs w:val="24"/>
        </w:rPr>
        <w:t>, l’</w:t>
      </w:r>
      <w:r>
        <w:rPr>
          <w:rFonts w:cs="Times New Roman" w:ascii="Times New Roman" w:hAnsi="Times New Roman"/>
          <w:bCs/>
          <w:color w:val="000000"/>
          <w:szCs w:val="24"/>
        </w:rPr>
        <w:t>âge</w:t>
      </w:r>
      <w:r>
        <w:rPr>
          <w:rFonts w:cs="Times New Roman" w:ascii="Times New Roman" w:hAnsi="Times New Roman"/>
          <w:color w:val="000000"/>
          <w:szCs w:val="24"/>
        </w:rPr>
        <w:t xml:space="preserve">, la </w:t>
      </w:r>
      <w:r>
        <w:rPr>
          <w:rFonts w:cs="Times New Roman" w:ascii="Times New Roman" w:hAnsi="Times New Roman"/>
          <w:bCs/>
          <w:color w:val="000000"/>
          <w:szCs w:val="24"/>
        </w:rPr>
        <w:t xml:space="preserve">situation de famille </w:t>
      </w:r>
      <w:r>
        <w:rPr>
          <w:rFonts w:cs="Times New Roman" w:ascii="Times New Roman" w:hAnsi="Times New Roman"/>
          <w:color w:val="000000"/>
          <w:szCs w:val="24"/>
        </w:rPr>
        <w:t xml:space="preserve">ou la </w:t>
      </w:r>
      <w:r>
        <w:rPr>
          <w:rFonts w:cs="Times New Roman" w:ascii="Times New Roman" w:hAnsi="Times New Roman"/>
          <w:bCs/>
          <w:color w:val="000000"/>
          <w:szCs w:val="24"/>
        </w:rPr>
        <w:t>grossesse</w:t>
      </w:r>
      <w:r>
        <w:rPr>
          <w:rFonts w:cs="Times New Roman" w:ascii="Times New Roman" w:hAnsi="Times New Roman"/>
          <w:color w:val="000000"/>
          <w:szCs w:val="24"/>
        </w:rPr>
        <w:t xml:space="preserve">, les </w:t>
      </w:r>
      <w:r>
        <w:rPr>
          <w:rFonts w:cs="Times New Roman" w:ascii="Times New Roman" w:hAnsi="Times New Roman"/>
          <w:bCs/>
          <w:color w:val="000000"/>
          <w:szCs w:val="24"/>
        </w:rPr>
        <w:t>caractéristiques génétiques</w:t>
      </w:r>
      <w:r>
        <w:rPr>
          <w:rFonts w:cs="Times New Roman" w:ascii="Times New Roman" w:hAnsi="Times New Roman"/>
          <w:color w:val="000000"/>
          <w:szCs w:val="24"/>
        </w:rPr>
        <w:t xml:space="preserve">, la particulière vulnérabilité résultant d’une </w:t>
      </w:r>
      <w:r>
        <w:rPr>
          <w:rFonts w:cs="Times New Roman" w:ascii="Times New Roman" w:hAnsi="Times New Roman"/>
          <w:bCs/>
          <w:color w:val="000000"/>
          <w:szCs w:val="24"/>
        </w:rPr>
        <w:t>situation économique</w:t>
      </w:r>
      <w:r>
        <w:rPr>
          <w:rFonts w:cs="Times New Roman" w:ascii="Times New Roman" w:hAnsi="Times New Roman"/>
          <w:color w:val="000000"/>
          <w:szCs w:val="24"/>
        </w:rPr>
        <w:t>, l’</w:t>
      </w:r>
      <w:r>
        <w:rPr>
          <w:rFonts w:cs="Times New Roman" w:ascii="Times New Roman" w:hAnsi="Times New Roman"/>
          <w:bCs/>
          <w:color w:val="000000"/>
          <w:szCs w:val="24"/>
        </w:rPr>
        <w:t>appartenance ou non-appartenance</w:t>
      </w:r>
      <w:r>
        <w:rPr>
          <w:rFonts w:cs="Times New Roman" w:ascii="Times New Roman" w:hAnsi="Times New Roman"/>
          <w:color w:val="000000"/>
          <w:szCs w:val="24"/>
        </w:rPr>
        <w:t xml:space="preserve">, </w:t>
      </w:r>
      <w:r>
        <w:rPr>
          <w:rFonts w:cs="Times New Roman" w:ascii="Times New Roman" w:hAnsi="Times New Roman"/>
          <w:bCs/>
          <w:color w:val="000000"/>
          <w:szCs w:val="24"/>
        </w:rPr>
        <w:t>vraie ou supposée, à une ethnie, une nation ou une prétendue race</w:t>
      </w:r>
      <w:r>
        <w:rPr>
          <w:rFonts w:cs="Times New Roman" w:ascii="Times New Roman" w:hAnsi="Times New Roman"/>
          <w:color w:val="000000"/>
          <w:szCs w:val="24"/>
        </w:rPr>
        <w:t xml:space="preserve">, les </w:t>
      </w:r>
      <w:r>
        <w:rPr>
          <w:rFonts w:cs="Times New Roman" w:ascii="Times New Roman" w:hAnsi="Times New Roman"/>
          <w:bCs/>
          <w:color w:val="000000"/>
          <w:szCs w:val="24"/>
        </w:rPr>
        <w:t>opinions politiques</w:t>
      </w:r>
      <w:r>
        <w:rPr>
          <w:rFonts w:cs="Times New Roman" w:ascii="Times New Roman" w:hAnsi="Times New Roman"/>
          <w:color w:val="000000"/>
          <w:szCs w:val="24"/>
        </w:rPr>
        <w:t xml:space="preserve">, les </w:t>
      </w:r>
      <w:r>
        <w:rPr>
          <w:rFonts w:cs="Times New Roman" w:ascii="Times New Roman" w:hAnsi="Times New Roman"/>
          <w:bCs/>
          <w:color w:val="000000"/>
          <w:szCs w:val="24"/>
        </w:rPr>
        <w:t>activités syndicales ou mutualistes</w:t>
      </w:r>
      <w:r>
        <w:rPr>
          <w:rFonts w:cs="Times New Roman" w:ascii="Times New Roman" w:hAnsi="Times New Roman"/>
          <w:color w:val="000000"/>
          <w:szCs w:val="24"/>
        </w:rPr>
        <w:t xml:space="preserve">, les </w:t>
      </w:r>
      <w:r>
        <w:rPr>
          <w:rFonts w:cs="Times New Roman" w:ascii="Times New Roman" w:hAnsi="Times New Roman"/>
          <w:bCs/>
          <w:color w:val="000000"/>
          <w:szCs w:val="24"/>
        </w:rPr>
        <w:t>convictions religieuses</w:t>
      </w:r>
      <w:r>
        <w:rPr>
          <w:rFonts w:cs="Times New Roman" w:ascii="Times New Roman" w:hAnsi="Times New Roman"/>
          <w:color w:val="000000"/>
          <w:szCs w:val="24"/>
        </w:rPr>
        <w:t>, l’</w:t>
      </w:r>
      <w:r>
        <w:rPr>
          <w:rFonts w:cs="Times New Roman" w:ascii="Times New Roman" w:hAnsi="Times New Roman"/>
          <w:bCs/>
          <w:color w:val="000000"/>
          <w:szCs w:val="24"/>
        </w:rPr>
        <w:t>apparence physique</w:t>
      </w:r>
      <w:r>
        <w:rPr>
          <w:rFonts w:cs="Times New Roman" w:ascii="Times New Roman" w:hAnsi="Times New Roman"/>
          <w:color w:val="000000"/>
          <w:szCs w:val="24"/>
        </w:rPr>
        <w:t xml:space="preserve">, le </w:t>
      </w:r>
      <w:r>
        <w:rPr>
          <w:rFonts w:cs="Times New Roman" w:ascii="Times New Roman" w:hAnsi="Times New Roman"/>
          <w:bCs/>
          <w:color w:val="000000"/>
          <w:szCs w:val="24"/>
        </w:rPr>
        <w:t>nom de famille</w:t>
      </w:r>
      <w:r>
        <w:rPr>
          <w:rFonts w:cs="Times New Roman" w:ascii="Times New Roman" w:hAnsi="Times New Roman"/>
          <w:color w:val="000000"/>
          <w:szCs w:val="24"/>
        </w:rPr>
        <w:t xml:space="preserve">, le </w:t>
      </w:r>
      <w:r>
        <w:rPr>
          <w:rFonts w:cs="Times New Roman" w:ascii="Times New Roman" w:hAnsi="Times New Roman"/>
          <w:bCs/>
          <w:color w:val="000000"/>
          <w:szCs w:val="24"/>
        </w:rPr>
        <w:t xml:space="preserve">lieu de résidence </w:t>
      </w:r>
      <w:r>
        <w:rPr>
          <w:rFonts w:cs="Times New Roman" w:ascii="Times New Roman" w:hAnsi="Times New Roman"/>
          <w:color w:val="000000"/>
          <w:szCs w:val="24"/>
        </w:rPr>
        <w:t xml:space="preserve">ou de </w:t>
      </w:r>
      <w:r>
        <w:rPr>
          <w:rFonts w:cs="Times New Roman" w:ascii="Times New Roman" w:hAnsi="Times New Roman"/>
          <w:bCs/>
          <w:color w:val="000000"/>
          <w:szCs w:val="24"/>
        </w:rPr>
        <w:t>domiciliation bancaire</w:t>
      </w:r>
      <w:r>
        <w:rPr>
          <w:rFonts w:cs="Times New Roman" w:ascii="Times New Roman" w:hAnsi="Times New Roman"/>
          <w:color w:val="000000"/>
          <w:szCs w:val="24"/>
        </w:rPr>
        <w:t>, l’</w:t>
      </w:r>
      <w:r>
        <w:rPr>
          <w:rFonts w:cs="Times New Roman" w:ascii="Times New Roman" w:hAnsi="Times New Roman"/>
          <w:bCs/>
          <w:color w:val="000000"/>
          <w:szCs w:val="24"/>
        </w:rPr>
        <w:t>état de santé</w:t>
      </w:r>
      <w:r>
        <w:rPr>
          <w:rFonts w:cs="Times New Roman" w:ascii="Times New Roman" w:hAnsi="Times New Roman"/>
          <w:color w:val="000000"/>
          <w:szCs w:val="24"/>
        </w:rPr>
        <w:t xml:space="preserve">, la </w:t>
      </w:r>
      <w:r>
        <w:rPr>
          <w:rFonts w:cs="Times New Roman" w:ascii="Times New Roman" w:hAnsi="Times New Roman"/>
          <w:bCs/>
          <w:color w:val="000000"/>
          <w:szCs w:val="24"/>
        </w:rPr>
        <w:t xml:space="preserve">perte d'autonomie </w:t>
      </w:r>
      <w:r>
        <w:rPr>
          <w:rFonts w:cs="Times New Roman" w:ascii="Times New Roman" w:hAnsi="Times New Roman"/>
          <w:color w:val="000000"/>
          <w:szCs w:val="24"/>
        </w:rPr>
        <w:t>ou le</w:t>
      </w:r>
      <w:r>
        <w:rPr>
          <w:rFonts w:cs="Times New Roman" w:ascii="Times New Roman" w:hAnsi="Times New Roman"/>
          <w:bCs/>
          <w:color w:val="000000"/>
          <w:szCs w:val="24"/>
        </w:rPr>
        <w:t xml:space="preserve"> handicap</w:t>
      </w:r>
      <w:r>
        <w:rPr>
          <w:rFonts w:cs="Times New Roman" w:ascii="Times New Roman" w:hAnsi="Times New Roman"/>
          <w:color w:val="000000"/>
          <w:szCs w:val="24"/>
        </w:rPr>
        <w:t xml:space="preserve">, la </w:t>
      </w:r>
      <w:r>
        <w:rPr>
          <w:rFonts w:cs="Times New Roman" w:ascii="Times New Roman" w:hAnsi="Times New Roman"/>
          <w:bCs/>
          <w:color w:val="000000"/>
          <w:szCs w:val="24"/>
        </w:rPr>
        <w:t>capacité à s'exprimer dans une langue autre que le français</w:t>
      </w:r>
      <w:r>
        <w:rPr>
          <w:rFonts w:cs="Times New Roman" w:ascii="Times New Roman" w:hAnsi="Times New Roman"/>
          <w:color w:val="000000"/>
        </w:rPr>
        <w:t xml:space="preserve"> ne peuvent être des obstacles ni à l’embauche, ni à l’accès à la formation, ni à l’évolution des salariés.</w:t>
      </w:r>
    </w:p>
    <w:p>
      <w:pPr>
        <w:pStyle w:val="Normal"/>
        <w:kinsoku w:val="false"/>
        <w:overflowPunct w:val="false"/>
        <w:spacing w:before="0" w:after="120"/>
        <w:contextualSpacing/>
        <w:jc w:val="both"/>
        <w:textAlignment w:val="baseline"/>
        <w:rPr>
          <w:rFonts w:cs="Times New Roman"/>
          <w:szCs w:val="24"/>
        </w:rPr>
      </w:pPr>
      <w:r>
        <w:rPr>
          <w:rFonts w:cs="Times New Roman"/>
          <w:bCs/>
          <w:szCs w:val="24"/>
        </w:rPr>
        <w:t xml:space="preserve">Une formation à la non-discrimination à l’embauche sera notamment dispensée, tous les 5 ans, auprès des salariés en charge du recrutement. </w:t>
      </w:r>
    </w:p>
    <w:p>
      <w:pPr>
        <w:pStyle w:val="Heading4"/>
        <w:numPr>
          <w:ilvl w:val="3"/>
          <w:numId w:val="1"/>
        </w:numPr>
        <w:rPr>
          <w:rFonts w:cs="Times New Roman"/>
          <w:szCs w:val="24"/>
        </w:rPr>
      </w:pPr>
      <w:r>
        <w:rPr>
          <w:rFonts w:cs="Times New Roman"/>
          <w:szCs w:val="24"/>
        </w:rPr>
      </w:r>
    </w:p>
    <w:p>
      <w:pPr>
        <w:pStyle w:val="Heading4"/>
        <w:numPr>
          <w:ilvl w:val="3"/>
          <w:numId w:val="1"/>
        </w:numPr>
        <w:spacing w:before="0" w:after="240"/>
        <w:rPr>
          <w:color w:val="4472C4"/>
        </w:rPr>
      </w:pPr>
      <w:r>
        <w:rPr>
          <w:color w:val="4472C4"/>
        </w:rPr>
        <w:t>C/ Insertion professionnelle et maintien dans l’emploi des travailleurs handicapés</w:t>
      </w:r>
    </w:p>
    <w:p>
      <w:pPr>
        <w:pStyle w:val="Corpsdetexte3"/>
        <w:spacing w:before="0" w:after="120"/>
        <w:rPr/>
      </w:pPr>
      <w:r>
        <w:rPr>
          <w:rFonts w:cs="Times New Roman" w:ascii="Times New Roman" w:hAnsi="Times New Roman"/>
        </w:rPr>
        <w:t>Sur la base d’un rapport faisant état de la situation de Mutuelle Bleue au regard de l’obligation d’emploi, les parties conviennent de se montrer attentives quant à l’évolution de la situation.</w:t>
      </w:r>
    </w:p>
    <w:p>
      <w:pPr>
        <w:pStyle w:val="Corpsdetexte3"/>
        <w:spacing w:before="0" w:after="240"/>
        <w:rPr>
          <w:rFonts w:ascii="Times New Roman" w:hAnsi="Times New Roman" w:cs="Times New Roman"/>
        </w:rPr>
      </w:pPr>
      <w:r>
        <w:rPr>
          <w:rFonts w:cs="Times New Roman" w:ascii="Times New Roman" w:hAnsi="Times New Roman"/>
        </w:rPr>
        <w:t>La direction s’engage à poursuivre</w:t>
      </w:r>
      <w:r>
        <w:rPr>
          <w:rFonts w:cs="Times New Roman" w:ascii="Times New Roman" w:hAnsi="Times New Roman"/>
          <w:color w:val="00B050"/>
        </w:rPr>
        <w:t xml:space="preserve"> </w:t>
      </w:r>
      <w:r>
        <w:rPr>
          <w:rFonts w:cs="Times New Roman" w:ascii="Times New Roman" w:hAnsi="Times New Roman"/>
        </w:rPr>
        <w:t xml:space="preserve">les actions favorisant l’insertion professionnelle des travailleurs handicapés. </w:t>
      </w:r>
    </w:p>
    <w:p>
      <w:pPr>
        <w:pStyle w:val="Heading4"/>
        <w:numPr>
          <w:ilvl w:val="3"/>
          <w:numId w:val="1"/>
        </w:numPr>
        <w:spacing w:before="0" w:after="120"/>
        <w:rPr>
          <w:rFonts w:eastAsia="Arial Unicode MS"/>
          <w:color w:val="4472C4"/>
        </w:rPr>
      </w:pPr>
      <w:r>
        <w:rPr>
          <w:color w:val="4472C4"/>
        </w:rPr>
        <w:t>D/ Prévoyance et Complémentaire santé</w:t>
      </w:r>
    </w:p>
    <w:p>
      <w:pPr>
        <w:pStyle w:val="Corpsdetexte3"/>
        <w:spacing w:before="0" w:after="120"/>
        <w:rPr>
          <w:rFonts w:ascii="Times New Roman" w:hAnsi="Times New Roman" w:cs="Times New Roman"/>
          <w:u w:val="single"/>
        </w:rPr>
      </w:pPr>
      <w:r>
        <w:rPr>
          <w:rFonts w:cs="Times New Roman" w:ascii="Times New Roman" w:hAnsi="Times New Roman"/>
          <w:u w:val="single"/>
        </w:rPr>
        <w:t>1/ Prévoyance</w:t>
      </w:r>
    </w:p>
    <w:p>
      <w:pPr>
        <w:pStyle w:val="Corpsdetexte3"/>
        <w:spacing w:before="0" w:after="120"/>
        <w:rPr/>
      </w:pPr>
      <w:r>
        <w:rPr>
          <w:rFonts w:cs="Times New Roman" w:ascii="Times New Roman" w:hAnsi="Times New Roman"/>
        </w:rPr>
        <w:t xml:space="preserve">Les parties rappellent que les salariés bénéficient du régime de prévoyance définie par la Convention Collective de la Mutualité. </w:t>
      </w:r>
    </w:p>
    <w:p>
      <w:pPr>
        <w:pStyle w:val="Corpsdetexte3"/>
        <w:spacing w:before="0" w:after="120"/>
        <w:rPr>
          <w:rFonts w:ascii="Times New Roman" w:hAnsi="Times New Roman" w:cs="Times New Roman"/>
        </w:rPr>
      </w:pPr>
      <w:r>
        <w:rPr>
          <w:rFonts w:cs="Times New Roman" w:ascii="Times New Roman" w:hAnsi="Times New Roman"/>
        </w:rPr>
        <w:t>Ils bénéficient, par ailleurs, de garanties prévoyance décès supplémentaires via le contrat de complémentaire santé Mutuelle Bleue et dans le cadre d’un contrat souscrit auprès de la Mutuelle de Saint Simon.</w:t>
      </w:r>
    </w:p>
    <w:p>
      <w:pPr>
        <w:pStyle w:val="Corpsdetexte3"/>
        <w:spacing w:before="0" w:after="240"/>
        <w:rPr>
          <w:rFonts w:ascii="Times New Roman" w:hAnsi="Times New Roman" w:cs="Times New Roman"/>
        </w:rPr>
      </w:pPr>
      <w:r>
        <w:rPr>
          <w:rFonts w:cs="Times New Roman" w:ascii="Times New Roman" w:hAnsi="Times New Roman"/>
        </w:rPr>
        <w:t>Les parties conviennent de modifier, à compter du 1</w:t>
      </w:r>
      <w:r>
        <w:rPr>
          <w:rFonts w:cs="Times New Roman" w:ascii="Times New Roman" w:hAnsi="Times New Roman"/>
          <w:vertAlign w:val="superscript"/>
        </w:rPr>
        <w:t>er</w:t>
      </w:r>
      <w:r>
        <w:rPr>
          <w:rFonts w:cs="Times New Roman" w:ascii="Times New Roman" w:hAnsi="Times New Roman"/>
        </w:rPr>
        <w:t xml:space="preserve"> janvier 2018, le montant du capital de la garantie « Décès – Invalidité Absolue et Définitive toutes causes »  prévue au sein du contrat complémentaire santé de Mutuelle Bleue.</w:t>
      </w:r>
    </w:p>
    <w:p>
      <w:pPr>
        <w:pStyle w:val="Corpsdetexte3"/>
        <w:spacing w:before="0" w:after="120"/>
        <w:rPr>
          <w:rFonts w:ascii="Times New Roman" w:hAnsi="Times New Roman" w:cs="Times New Roman"/>
          <w:u w:val="single"/>
        </w:rPr>
      </w:pPr>
      <w:r>
        <w:rPr>
          <w:rFonts w:cs="Times New Roman" w:ascii="Times New Roman" w:hAnsi="Times New Roman"/>
          <w:u w:val="single"/>
        </w:rPr>
        <w:t>2/ Complémentaire santé</w:t>
      </w:r>
    </w:p>
    <w:p>
      <w:pPr>
        <w:pStyle w:val="Corpsdetexte2"/>
        <w:spacing w:before="0" w:after="120"/>
        <w:rPr>
          <w:rFonts w:ascii="Times New Roman" w:hAnsi="Times New Roman" w:cs="Times New Roman"/>
          <w:color w:val="000000"/>
          <w:szCs w:val="24"/>
        </w:rPr>
      </w:pPr>
      <w:r>
        <w:rPr>
          <w:rFonts w:cs="Times New Roman" w:ascii="Times New Roman" w:hAnsi="Times New Roman"/>
          <w:color w:val="000000"/>
          <w:szCs w:val="24"/>
          <w:shd w:fill="FFFFFF" w:val="clear"/>
        </w:rPr>
        <w:t>La</w:t>
      </w:r>
      <w:r>
        <w:rPr>
          <w:rFonts w:cs="Times New Roman" w:ascii="Times New Roman" w:hAnsi="Times New Roman"/>
          <w:color w:val="000000"/>
          <w:szCs w:val="24"/>
        </w:rPr>
        <w:t xml:space="preserve"> Direction a souhaité faire évoluer le niveau de prestations du régime complémentaire santé </w:t>
      </w:r>
      <w:r>
        <w:rPr>
          <w:rFonts w:cs="Times New Roman" w:ascii="Times New Roman" w:hAnsi="Times New Roman"/>
          <w:color w:val="000000"/>
        </w:rPr>
        <w:t>défini au sein de l’avenant, conclu le 2 novembre 2015, à l’accord relatif au régime de complémentaire santé du 7 novembre 2014.</w:t>
      </w:r>
    </w:p>
    <w:p>
      <w:pPr>
        <w:pStyle w:val="Corpsdetexte2"/>
        <w:spacing w:before="0" w:after="120"/>
        <w:rPr/>
      </w:pPr>
      <w:r>
        <w:rPr>
          <w:rFonts w:cs="Times New Roman" w:ascii="Times New Roman" w:hAnsi="Times New Roman"/>
          <w:color w:val="000000"/>
          <w:szCs w:val="24"/>
        </w:rPr>
        <w:t>A compter du 1</w:t>
      </w:r>
      <w:r>
        <w:rPr>
          <w:rFonts w:cs="Times New Roman" w:ascii="Times New Roman" w:hAnsi="Times New Roman"/>
          <w:color w:val="000000"/>
          <w:szCs w:val="24"/>
          <w:vertAlign w:val="superscript"/>
        </w:rPr>
        <w:t>er</w:t>
      </w:r>
      <w:r>
        <w:rPr>
          <w:rFonts w:cs="Times New Roman" w:ascii="Times New Roman" w:hAnsi="Times New Roman"/>
          <w:color w:val="000000"/>
          <w:szCs w:val="24"/>
        </w:rPr>
        <w:t xml:space="preserve"> janvier 2018, les salariés bénéficieront de garanties optimisées notamment en matière d’optique et de dentaire et ce, sans hausse de leur cotisation.</w:t>
      </w:r>
    </w:p>
    <w:p>
      <w:pPr>
        <w:pStyle w:val="Corpsdetexte3"/>
        <w:spacing w:before="0" w:after="120"/>
        <w:rPr/>
      </w:pPr>
      <w:r>
        <w:rPr>
          <w:rFonts w:cs="Times New Roman" w:ascii="Times New Roman" w:hAnsi="Times New Roman"/>
          <w:szCs w:val="24"/>
          <w:shd w:fill="FFFFFF" w:val="clear"/>
        </w:rPr>
        <w:t>En outre, les parties conviennent de modifier les modalités de prise en charge de la cotisation santé des retraités</w:t>
      </w:r>
      <w:r>
        <w:rPr>
          <w:rFonts w:cs="Times New Roman" w:ascii="Times New Roman" w:hAnsi="Times New Roman"/>
        </w:rPr>
        <w:t xml:space="preserve">. </w:t>
      </w:r>
    </w:p>
    <w:p>
      <w:pPr>
        <w:pStyle w:val="Corpsdetexte3"/>
        <w:spacing w:before="0" w:after="120"/>
        <w:rPr/>
      </w:pPr>
      <w:r>
        <w:rPr>
          <w:rFonts w:cs="Times New Roman" w:ascii="Times New Roman" w:hAnsi="Times New Roman"/>
          <w:szCs w:val="24"/>
        </w:rPr>
        <w:t xml:space="preserve">Les dispositions de l’accord relatives au montant de la cotisation des retraités seront, par ailleurs, ajustées au regard des évolutions règlementaires issues du Décret du 21 mars 2017 </w:t>
      </w:r>
      <w:r>
        <w:rPr>
          <w:rStyle w:val="StrongEmphasis"/>
          <w:rFonts w:cs="Times New Roman" w:ascii="Times New Roman" w:hAnsi="Times New Roman"/>
          <w:b w:val="false"/>
          <w:szCs w:val="24"/>
          <w:shd w:fill="FFFFFF" w:val="clear"/>
        </w:rPr>
        <w:t>relatif à l'application de l'article 4 de la loi Evin.</w:t>
      </w:r>
      <w:r>
        <w:rPr>
          <w:rFonts w:cs="Times New Roman" w:ascii="Times New Roman" w:hAnsi="Times New Roman"/>
          <w:szCs w:val="24"/>
          <w:shd w:fill="FFFFFF" w:val="clear"/>
        </w:rPr>
        <w:t xml:space="preserve">  </w:t>
      </w:r>
    </w:p>
    <w:p>
      <w:pPr>
        <w:pStyle w:val="Corpsdetexte3"/>
        <w:rPr>
          <w:rFonts w:ascii="Times New Roman" w:hAnsi="Times New Roman" w:cs="Times New Roman"/>
          <w:szCs w:val="24"/>
          <w:shd w:fill="FFFFFF" w:val="clear"/>
        </w:rPr>
      </w:pPr>
      <w:r>
        <w:rPr>
          <w:rFonts w:cs="Times New Roman" w:ascii="Times New Roman" w:hAnsi="Times New Roman"/>
          <w:szCs w:val="24"/>
          <w:shd w:fill="FFFFFF" w:val="clear"/>
        </w:rPr>
      </w:r>
    </w:p>
    <w:p>
      <w:pPr>
        <w:pStyle w:val="Heading4"/>
        <w:numPr>
          <w:ilvl w:val="3"/>
          <w:numId w:val="1"/>
        </w:numPr>
        <w:spacing w:before="0" w:after="120"/>
        <w:rPr>
          <w:rFonts w:eastAsia="Arial Unicode MS"/>
          <w:color w:val="4472C4"/>
        </w:rPr>
      </w:pPr>
      <w:r>
        <w:rPr>
          <w:color w:val="4472C4"/>
        </w:rPr>
        <w:t>E/ Droit d’expression directe et collective</w:t>
      </w:r>
    </w:p>
    <w:p>
      <w:pPr>
        <w:pStyle w:val="NormalWeb"/>
        <w:kinsoku w:val="false"/>
        <w:overflowPunct w:val="false"/>
        <w:spacing w:before="0" w:after="120"/>
        <w:jc w:val="both"/>
        <w:textAlignment w:val="baseline"/>
        <w:rPr/>
      </w:pPr>
      <w:r>
        <w:rPr>
          <w:iCs/>
        </w:rPr>
        <w:t xml:space="preserve">La Direction rappelle que les salariés bénéficient d'un droit d'expression directe et collective sur le contenu, les conditions d'exercice et l'organisation de leur travail. </w:t>
      </w:r>
    </w:p>
    <w:p>
      <w:pPr>
        <w:pStyle w:val="Normal"/>
        <w:spacing w:before="0" w:after="120"/>
        <w:jc w:val="both"/>
        <w:rPr/>
      </w:pPr>
      <w:r>
        <w:rPr>
          <w:rFonts w:cs="Times New Roman"/>
          <w:szCs w:val="24"/>
        </w:rPr>
        <w:t>Les parties conviennent que les modalités d’exercice de ce droit feront l’objet d’une consultation du Comité d’Entreprise.</w:t>
      </w:r>
    </w:p>
    <w:p>
      <w:pPr>
        <w:pStyle w:val="Normal"/>
        <w:jc w:val="both"/>
        <w:rPr>
          <w:rFonts w:cs="Times New Roman"/>
          <w:szCs w:val="24"/>
        </w:rPr>
      </w:pPr>
      <w:r>
        <w:rPr>
          <w:rFonts w:cs="Times New Roman"/>
          <w:szCs w:val="24"/>
        </w:rPr>
      </w:r>
    </w:p>
    <w:p>
      <w:pPr>
        <w:pStyle w:val="Heading4"/>
        <w:numPr>
          <w:ilvl w:val="3"/>
          <w:numId w:val="1"/>
        </w:numPr>
        <w:spacing w:before="0" w:after="120"/>
        <w:rPr>
          <w:rFonts w:eastAsia="Arial Unicode MS"/>
          <w:color w:val="4472C4"/>
        </w:rPr>
      </w:pPr>
      <w:r>
        <w:rPr>
          <w:color w:val="4472C4"/>
        </w:rPr>
        <w:t>F/ Droit à la déconnexion</w:t>
      </w:r>
    </w:p>
    <w:p>
      <w:pPr>
        <w:pStyle w:val="Corpsdetexte2"/>
        <w:tabs>
          <w:tab w:val="left" w:pos="360" w:leader="none"/>
        </w:tabs>
        <w:spacing w:before="0" w:after="120"/>
        <w:rPr>
          <w:rFonts w:ascii="Times New Roman" w:hAnsi="Times New Roman" w:cs="Times New Roman"/>
          <w:color w:val="000000"/>
        </w:rPr>
      </w:pPr>
      <w:r>
        <w:rPr>
          <w:rFonts w:cs="Times New Roman" w:ascii="Times New Roman" w:hAnsi="Times New Roman"/>
          <w:color w:val="000000"/>
        </w:rPr>
        <w:t>La Direction rappelle que tout salarié dispose d’un droit à la déconnexion.</w:t>
      </w:r>
    </w:p>
    <w:p>
      <w:pPr>
        <w:pStyle w:val="Normal"/>
        <w:spacing w:before="0" w:after="480"/>
        <w:jc w:val="both"/>
        <w:rPr>
          <w:rFonts w:cs="Times New Roman"/>
          <w:bCs/>
          <w:color w:val="000000"/>
          <w:szCs w:val="24"/>
        </w:rPr>
      </w:pPr>
      <w:r>
        <w:rPr>
          <w:rFonts w:cs="Times New Roman"/>
          <w:bCs/>
          <w:color w:val="000000"/>
          <w:szCs w:val="24"/>
        </w:rPr>
        <w:t>Les parties conviennent que les mesures visant à réguler l’utilisation des outils numériques de Mutuelle Bleue et du GIE Groupe les Hauts Mézereaux et, permettant d’assurer le respect des temps de repos et l’équilibre entre vie personnelle et vie professionnelle des salariés, seront définies et rappelées au sein de la charte informatique.</w:t>
      </w:r>
    </w:p>
    <w:p>
      <w:pPr>
        <w:pStyle w:val="Normal"/>
        <w:spacing w:before="0" w:after="480"/>
        <w:jc w:val="both"/>
        <w:rPr>
          <w:rFonts w:cs="Times New Roman"/>
          <w:bCs/>
          <w:color w:val="000000"/>
          <w:szCs w:val="24"/>
        </w:rPr>
      </w:pPr>
      <w:r>
        <w:rPr>
          <w:rFonts w:cs="Times New Roman"/>
          <w:bCs/>
          <w:color w:val="000000"/>
          <w:szCs w:val="24"/>
        </w:rPr>
      </w:r>
    </w:p>
    <w:p>
      <w:pPr>
        <w:pStyle w:val="Normal"/>
        <w:spacing w:before="0" w:after="480"/>
        <w:jc w:val="both"/>
        <w:rPr>
          <w:rFonts w:cs="Times New Roman"/>
          <w:bCs/>
          <w:color w:val="000000"/>
          <w:szCs w:val="24"/>
        </w:rPr>
      </w:pPr>
      <w:r>
        <w:rPr>
          <w:rFonts w:cs="Times New Roman"/>
          <w:bCs/>
          <w:color w:val="000000"/>
          <w:szCs w:val="24"/>
        </w:rPr>
      </w:r>
    </w:p>
    <w:p>
      <w:pPr>
        <w:pStyle w:val="Heading3"/>
        <w:numPr>
          <w:ilvl w:val="2"/>
          <w:numId w:val="1"/>
        </w:numPr>
        <w:spacing w:before="0" w:after="240"/>
        <w:rPr>
          <w:rFonts w:ascii="Times New Roman" w:hAnsi="Times New Roman" w:cs="Times New Roman"/>
          <w:color w:val="4472C4"/>
        </w:rPr>
      </w:pPr>
      <w:r>
        <w:rPr>
          <w:rFonts w:cs="Times New Roman" w:ascii="Times New Roman" w:hAnsi="Times New Roman"/>
          <w:color w:val="4472C4"/>
        </w:rPr>
        <w:t>ARTICLE 2 - CHAMP D'APPLICATION DE L’ACCORD</w:t>
      </w:r>
    </w:p>
    <w:p>
      <w:pPr>
        <w:pStyle w:val="Corpsdetexte3"/>
        <w:spacing w:before="0" w:after="480"/>
        <w:rPr/>
      </w:pPr>
      <w:r>
        <w:rPr>
          <w:rFonts w:cs="Times New Roman" w:ascii="Times New Roman" w:hAnsi="Times New Roman"/>
        </w:rPr>
        <w:t>Le présent accord s’applique au personnel de l’U.E.S. composée de : Mutuelle Bleue et du G.I.E. Groupe les Hauts Mézereaux, soumis à la Convention Collective de la Mutualité.</w:t>
      </w:r>
    </w:p>
    <w:p>
      <w:pPr>
        <w:pStyle w:val="Normal"/>
        <w:spacing w:before="0" w:after="240"/>
        <w:jc w:val="center"/>
        <w:rPr>
          <w:rFonts w:eastAsia="Arial Unicode MS" w:cs="Times New Roman"/>
          <w:b/>
          <w:b/>
          <w:bCs/>
          <w:color w:val="4472C4"/>
        </w:rPr>
      </w:pPr>
      <w:r>
        <w:rPr>
          <w:rFonts w:cs="Times New Roman"/>
          <w:b/>
          <w:bCs/>
          <w:color w:val="4472C4"/>
        </w:rPr>
        <w:t>ARTICLE 3 – ENTREE EN VIGUEUR – DUREE – PUBLICITE DE L’ACCORD</w:t>
      </w:r>
    </w:p>
    <w:p>
      <w:pPr>
        <w:pStyle w:val="Heading4"/>
        <w:numPr>
          <w:ilvl w:val="3"/>
          <w:numId w:val="1"/>
        </w:numPr>
        <w:spacing w:before="0" w:after="120"/>
        <w:jc w:val="both"/>
        <w:rPr>
          <w:b w:val="false"/>
          <w:b w:val="false"/>
          <w:color w:val="000000"/>
          <w:u w:val="none"/>
        </w:rPr>
      </w:pPr>
      <w:r>
        <w:rPr>
          <w:b w:val="false"/>
          <w:color w:val="000000"/>
          <w:u w:val="none"/>
        </w:rPr>
        <w:t xml:space="preserve">Les dispositions relatives à l’égalité professionnelle entre les femmes et les hommes, à l’articulation entre la vie personnelle et la vie professionnelle, à la lutte contre les discriminations, à l’insertion professionnelle et au maintien dans l’emploi des travailleurs handicapés, au droit d’expression directe et collective et au droit à la déconnexion du présent accord seront applicables à compter de sa date de dépôt. </w:t>
      </w:r>
    </w:p>
    <w:p>
      <w:pPr>
        <w:pStyle w:val="Corpsdetexte2"/>
        <w:spacing w:before="0" w:after="120"/>
        <w:rPr>
          <w:rFonts w:ascii="Times New Roman" w:hAnsi="Times New Roman" w:cs="Times New Roman"/>
          <w:color w:val="000000"/>
        </w:rPr>
      </w:pPr>
      <w:r>
        <w:rPr>
          <w:rFonts w:cs="Times New Roman" w:ascii="Times New Roman" w:hAnsi="Times New Roman"/>
          <w:color w:val="000000"/>
        </w:rPr>
        <w:t>Elles sont conclues pour une durée déterminée de trois ans.</w:t>
      </w:r>
    </w:p>
    <w:p>
      <w:pPr>
        <w:pStyle w:val="Corpsdetexte2"/>
        <w:spacing w:before="0" w:after="120"/>
        <w:rPr>
          <w:rFonts w:ascii="Times New Roman" w:hAnsi="Times New Roman" w:cs="Times New Roman"/>
          <w:color w:val="000000"/>
        </w:rPr>
      </w:pPr>
      <w:r>
        <w:rPr>
          <w:rFonts w:cs="Times New Roman" w:ascii="Times New Roman" w:hAnsi="Times New Roman"/>
          <w:color w:val="000000"/>
        </w:rPr>
        <w:t>Les dispositions relatives à la prévoyance et à la complémentaire santé feront l’objet d’un avenant à l’accord relatif au régime complémentaire santé du 7 novembre 2014 et, seront applicables à compter du 1</w:t>
      </w:r>
      <w:r>
        <w:rPr>
          <w:rFonts w:cs="Times New Roman" w:ascii="Times New Roman" w:hAnsi="Times New Roman"/>
          <w:color w:val="000000"/>
          <w:vertAlign w:val="superscript"/>
        </w:rPr>
        <w:t>er</w:t>
      </w:r>
      <w:r>
        <w:rPr>
          <w:rFonts w:cs="Times New Roman" w:ascii="Times New Roman" w:hAnsi="Times New Roman"/>
          <w:color w:val="000000"/>
        </w:rPr>
        <w:t xml:space="preserve"> janvier 2018 pour une durée indéterminée. </w:t>
      </w:r>
    </w:p>
    <w:p>
      <w:pPr>
        <w:pStyle w:val="Corpsdetexte2"/>
        <w:rPr>
          <w:rFonts w:ascii="Times New Roman" w:hAnsi="Times New Roman" w:cs="Times New Roman"/>
          <w:color w:val="000000"/>
        </w:rPr>
      </w:pPr>
      <w:r>
        <w:rPr>
          <w:rFonts w:cs="Times New Roman" w:ascii="Times New Roman" w:hAnsi="Times New Roman"/>
          <w:color w:val="000000"/>
        </w:rPr>
        <w:t xml:space="preserve">Le présent accord sera déposé en deux exemplaires </w:t>
      </w:r>
      <w:bookmarkStart w:id="2" w:name="OLE_LINK13"/>
      <w:r>
        <w:rPr>
          <w:rFonts w:cs="Times New Roman" w:ascii="Times New Roman" w:hAnsi="Times New Roman"/>
          <w:color w:val="000000"/>
        </w:rPr>
        <w:t xml:space="preserve">(une version papier signée et une version électronique) </w:t>
      </w:r>
      <w:bookmarkEnd w:id="2"/>
      <w:r>
        <w:rPr>
          <w:rFonts w:cs="Times New Roman" w:ascii="Times New Roman" w:hAnsi="Times New Roman"/>
          <w:color w:val="000000"/>
        </w:rPr>
        <w:t>à la Direccte de Paris et en un exemplaire au secrétariat-greffe du Conseil de prud'hommes de Paris.</w:t>
      </w:r>
      <w:r>
        <w:rPr>
          <w:rFonts w:cs="Times New Roman" w:ascii="Times New Roman" w:hAnsi="Times New Roman"/>
          <w:b/>
          <w:color w:val="000000"/>
        </w:rPr>
        <w:t xml:space="preserve"> </w:t>
      </w:r>
    </w:p>
    <w:p>
      <w:pPr>
        <w:pStyle w:val="Normal"/>
        <w:jc w:val="both"/>
        <w:rPr>
          <w:rFonts w:ascii="Times New Roman" w:hAnsi="Times New Roman" w:cs="Times New Roman"/>
          <w:color w:val="000000"/>
          <w:szCs w:val="20"/>
        </w:rPr>
      </w:pPr>
      <w:r>
        <w:rPr>
          <w:rFonts w:cs="Times New Roman"/>
          <w:color w:val="000000"/>
          <w:szCs w:val="20"/>
        </w:rPr>
      </w:r>
    </w:p>
    <w:p>
      <w:pPr>
        <w:pStyle w:val="Normal"/>
        <w:jc w:val="both"/>
        <w:rPr>
          <w:rFonts w:cs="Times New Roman"/>
          <w:szCs w:val="20"/>
        </w:rPr>
      </w:pPr>
      <w:r>
        <w:rPr>
          <w:rFonts w:cs="Times New Roman"/>
          <w:szCs w:val="20"/>
        </w:rPr>
      </w:r>
    </w:p>
    <w:p>
      <w:pPr>
        <w:pStyle w:val="Normal"/>
        <w:jc w:val="both"/>
        <w:rPr/>
      </w:pPr>
      <w:r>
        <w:rPr>
          <w:rFonts w:cs="Times New Roman"/>
        </w:rPr>
        <w:t>Fait à Paris,</w:t>
      </w:r>
      <w:r>
        <w:rPr>
          <w:rFonts w:cs="Times New Roman"/>
          <w:szCs w:val="20"/>
        </w:rPr>
        <w:t xml:space="preserve"> l</w:t>
      </w:r>
      <w:r>
        <w:rPr>
          <w:rFonts w:cs="Times New Roman"/>
        </w:rPr>
        <w:t>e</w:t>
      </w:r>
      <w:r>
        <w:rPr>
          <w:rFonts w:cs="Times New Roman"/>
          <w:color w:val="FF6600"/>
        </w:rPr>
        <w:t xml:space="preserve"> </w:t>
      </w:r>
      <w:r>
        <w:rPr>
          <w:rFonts w:cs="Times New Roman"/>
        </w:rPr>
        <w:t xml:space="preserve">25 septembre 2017, </w:t>
      </w:r>
    </w:p>
    <w:p>
      <w:pPr>
        <w:pStyle w:val="Normal"/>
        <w:jc w:val="both"/>
        <w:rPr>
          <w:rFonts w:cs="Times New Roman"/>
          <w:szCs w:val="20"/>
        </w:rPr>
      </w:pPr>
      <w:r>
        <w:rPr>
          <w:rFonts w:cs="Times New Roman"/>
        </w:rPr>
        <w:t>En 6 exemplaires.</w:t>
      </w:r>
    </w:p>
    <w:p>
      <w:pPr>
        <w:pStyle w:val="Normal"/>
        <w:rPr>
          <w:rFonts w:cs="Times New Roman"/>
          <w:szCs w:val="20"/>
        </w:rPr>
      </w:pPr>
      <w:r>
        <w:rPr>
          <w:rFonts w:cs="Times New Roman"/>
          <w:szCs w:val="20"/>
        </w:rPr>
      </w:r>
    </w:p>
    <w:p>
      <w:pPr>
        <w:pStyle w:val="Header"/>
        <w:rPr>
          <w:rFonts w:cs="Times New Roman"/>
          <w:sz w:val="22"/>
          <w:szCs w:val="20"/>
        </w:rPr>
      </w:pPr>
      <w:r>
        <w:rPr>
          <w:rFonts w:cs="Times New Roman"/>
          <w:sz w:val="22"/>
          <w:szCs w:val="20"/>
        </w:rPr>
      </w:r>
    </w:p>
    <w:sectPr>
      <w:footerReference w:type="default" r:id="rId2"/>
      <w:type w:val="nextPage"/>
      <w:pgSz w:w="11906" w:h="16838"/>
      <w:pgMar w:left="1417" w:right="1417" w:header="0" w:top="708"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nivers">
    <w:altName w:val="Arial"/>
    <w:charset w:val="00"/>
    <w:family w:val="swiss"/>
    <w:pitch w:val="default"/>
  </w:font>
  <w:font w:name="Courier New">
    <w:charset w:val="00"/>
    <w:family w:val="modern"/>
    <w:pitch w:val="default"/>
  </w:font>
  <w:font w:name="Wingdings">
    <w:charset w:val="02"/>
    <w:family w:val="auto"/>
    <w:pitch w:val="variable"/>
  </w:font>
  <w:font w:name="Symbol">
    <w:charset w:val="01"/>
    <w:family w:val="roman"/>
    <w:pitch w:val="variable"/>
  </w:font>
  <w:font w:name="Wingdings 3">
    <w:charset w:val="02"/>
    <w:family w:val="roman"/>
    <w:pitch w:val="variable"/>
  </w:font>
  <w:font w:name="Calibri">
    <w:charset w:val="00"/>
    <w:family w:val="swiss"/>
    <w:pitch w:val="variable"/>
  </w:font>
  <w:font w:name="Tahoma">
    <w:charset w:val="00"/>
    <w:family w:val="swiss"/>
    <w:pitch w:val="variable"/>
  </w:font>
  <w:font w:name="Times New Roman Gras">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Style w:val="PageNumber"/>
      </w:rPr>
    </w:pPr>
    <w:r>
      <w:rPr>
        <w:rStyle w:val="PageNumber"/>
      </w:rPr>
      <w:fldChar w:fldCharType="begin"/>
    </w:r>
    <w:r>
      <w:instrText> PAGE </w:instrText>
    </w:r>
    <w:r>
      <w:fldChar w:fldCharType="separate"/>
    </w:r>
    <w:r>
      <w:t>4</w:t>
    </w:r>
    <w:r>
      <w:fldChar w:fldCharType="end"/>
    </w:r>
    <w:r>
      <w:rPr>
        <w:rStyle w:val="PageNumber"/>
      </w:rPr>
      <w:t>/</w:t>
    </w:r>
    <w:r>
      <w:rPr>
        <w:rStyle w:val="PageNumber"/>
      </w:rPr>
      <w:fldChar w:fldCharType="begin"/>
    </w:r>
    <w:r>
      <w:instrText> NUMPAGES \* ARABIC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Times New Roman" w:hAnsi="Times New Roman" w:cs="Times New Roman" w:hint="default"/>
        <w:szCs w:val="24"/>
        <w:rFonts w:cs="Times New Roman"/>
      </w:rPr>
    </w:lvl>
  </w:abstractNum>
  <w:abstractNum w:abstractNumId="3">
    <w:lvl w:ilvl="0">
      <w:start w:val="4"/>
      <w:numFmt w:val="bullet"/>
      <w:lvlText w:val="-"/>
      <w:lvlJc w:val="left"/>
      <w:pPr>
        <w:ind w:left="720" w:hanging="360"/>
      </w:pPr>
      <w:rPr>
        <w:rFonts w:ascii="Times New Roman" w:hAnsi="Times New Roman" w:cs="Times New Roman" w:hint="default"/>
        <w:szCs w:val="24"/>
        <w:rFonts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Arial"/>
      <w:color w:val="auto"/>
      <w:sz w:val="24"/>
      <w:szCs w:val="18"/>
      <w:lang w:val="fr-FR" w:bidi="ar-SA" w:eastAsia="zh-CN"/>
    </w:rPr>
  </w:style>
  <w:style w:type="paragraph" w:styleId="Heading1">
    <w:name w:val="Heading 1"/>
    <w:basedOn w:val="Normal"/>
    <w:next w:val="Normal"/>
    <w:qFormat/>
    <w:pPr>
      <w:keepNext/>
      <w:numPr>
        <w:ilvl w:val="0"/>
        <w:numId w:val="1"/>
      </w:numPr>
      <w:jc w:val="both"/>
      <w:outlineLvl w:val="0"/>
      <w:outlineLvl w:val="0"/>
    </w:pPr>
    <w:rPr>
      <w:rFonts w:ascii="Arial" w:hAnsi="Arial" w:cs="Arial"/>
      <w:b/>
      <w:bCs/>
      <w:color w:val="0000FF"/>
      <w:u w:val="single"/>
    </w:rPr>
  </w:style>
  <w:style w:type="paragraph" w:styleId="Heading2">
    <w:name w:val="Heading 2"/>
    <w:basedOn w:val="Normal"/>
    <w:next w:val="Normal"/>
    <w:qFormat/>
    <w:pPr>
      <w:keepNext/>
      <w:numPr>
        <w:ilvl w:val="1"/>
        <w:numId w:val="1"/>
      </w:numPr>
      <w:jc w:val="center"/>
      <w:outlineLvl w:val="1"/>
      <w:outlineLvl w:val="1"/>
    </w:pPr>
    <w:rPr>
      <w:rFonts w:cs="Times New Roman"/>
      <w:b/>
      <w:bCs/>
      <w:color w:val="0000FF"/>
      <w:u w:val="single"/>
    </w:rPr>
  </w:style>
  <w:style w:type="paragraph" w:styleId="Heading3">
    <w:name w:val="Heading 3"/>
    <w:basedOn w:val="Normal"/>
    <w:next w:val="Normal"/>
    <w:qFormat/>
    <w:pPr>
      <w:keepNext/>
      <w:numPr>
        <w:ilvl w:val="2"/>
        <w:numId w:val="1"/>
      </w:numPr>
      <w:jc w:val="center"/>
      <w:outlineLvl w:val="2"/>
      <w:outlineLvl w:val="2"/>
    </w:pPr>
    <w:rPr>
      <w:rFonts w:ascii="Arial" w:hAnsi="Arial" w:cs="Arial"/>
      <w:b/>
      <w:bCs/>
      <w:color w:val="0000FF"/>
    </w:rPr>
  </w:style>
  <w:style w:type="paragraph" w:styleId="Heading4">
    <w:name w:val="Heading 4"/>
    <w:basedOn w:val="Normal"/>
    <w:next w:val="Normal"/>
    <w:qFormat/>
    <w:pPr>
      <w:keepNext/>
      <w:numPr>
        <w:ilvl w:val="3"/>
        <w:numId w:val="1"/>
      </w:numPr>
      <w:outlineLvl w:val="3"/>
      <w:outlineLvl w:val="3"/>
    </w:pPr>
    <w:rPr>
      <w:rFonts w:cs="Times New Roman"/>
      <w:b/>
      <w:bCs/>
      <w:color w:val="0000FF"/>
      <w:u w:val="single"/>
    </w:rPr>
  </w:style>
  <w:style w:type="paragraph" w:styleId="Heading7">
    <w:name w:val="Heading 7"/>
    <w:basedOn w:val="Normal"/>
    <w:next w:val="Normal"/>
    <w:qFormat/>
    <w:pPr>
      <w:keepNext/>
      <w:widowControl w:val="false"/>
      <w:numPr>
        <w:ilvl w:val="6"/>
        <w:numId w:val="1"/>
      </w:numPr>
      <w:snapToGrid w:val="false"/>
      <w:spacing w:lineRule="auto" w:line="223"/>
      <w:jc w:val="center"/>
      <w:outlineLvl w:val="6"/>
      <w:outlineLvl w:val="6"/>
    </w:pPr>
    <w:rPr>
      <w:rFonts w:ascii="Univers;Arial" w:hAnsi="Univers;Arial" w:cs="Univers;Arial"/>
      <w:color w:val="0000FF"/>
      <w:szCs w:val="20"/>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2">
    <w:name w:val="WW8Num3z2"/>
    <w:qFormat/>
    <w:rPr>
      <w:rFonts w:ascii="Wingdings 3" w:hAnsi="Wingdings 3" w:cs="Wingdings 3"/>
    </w:rPr>
  </w:style>
  <w:style w:type="character" w:styleId="WW8Num4z0">
    <w:name w:val="WW8Num4z0"/>
    <w:qFormat/>
    <w:rPr>
      <w:rFonts w:ascii="Calibri" w:hAnsi="Calibri" w:cs="Calibri"/>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6z2">
    <w:name w:val="WW8Num6z2"/>
    <w:qFormat/>
    <w:rPr>
      <w:rFonts w:ascii="Wingdings 3" w:hAnsi="Wingdings 3" w:cs="Wingdings 3"/>
    </w:rPr>
  </w:style>
  <w:style w:type="character" w:styleId="WW8Num7z0">
    <w:name w:val="WW8Num7z0"/>
    <w:qFormat/>
    <w:rPr>
      <w:rFonts w:ascii="Calibri" w:hAnsi="Calibri"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3" w:hAnsi="Wingdings 3" w:cs="Wingdings 3"/>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3" w:hAnsi="Wingdings 3" w:cs="Wingdings 3"/>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cs="Arial"/>
    </w:rPr>
  </w:style>
  <w:style w:type="character" w:styleId="WW8Num11z1">
    <w:name w:val="WW8Num11z1"/>
    <w:qFormat/>
    <w:rPr>
      <w:rFonts w:ascii="Wingdings 3" w:hAnsi="Wingdings 3" w:eastAsia="Times New Roman" w:cs="Times New Roman"/>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4z0">
    <w:name w:val="WW8Num14z0"/>
    <w:qFormat/>
    <w:rPr>
      <w:rFonts w:ascii="Wingdings 3" w:hAnsi="Wingdings 3" w:cs="Wingdings 3"/>
      <w:color w:val="40404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Times New Roman" w:cs="Times New Roman"/>
      <w:color w:val="000000"/>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7z0">
    <w:name w:val="WW8Num17z0"/>
    <w:qFormat/>
    <w:rPr>
      <w:rFonts w:ascii="Wingdings 3" w:hAnsi="Wingdings 3" w:cs="Wingdings 3"/>
    </w:rPr>
  </w:style>
  <w:style w:type="character" w:styleId="WW8Num18z0">
    <w:name w:val="WW8Num18z0"/>
    <w:qFormat/>
    <w:rPr>
      <w:rFonts w:ascii="Times New Roman" w:hAnsi="Times New Roman" w:eastAsia="Times New Roman" w:cs="Times New Roman"/>
      <w:b w:val="false"/>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rPr>
  </w:style>
  <w:style w:type="character" w:styleId="WW8Num21z0">
    <w:name w:val="WW8Num21z0"/>
    <w:qFormat/>
    <w:rPr>
      <w:rFonts w:ascii="Wingdings 3" w:hAnsi="Wingdings 3" w:cs="Wingdings 3"/>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Calibri" w:hAnsi="Calibri" w:cs="Calibri"/>
      <w:b/>
      <w:i w:val="false"/>
      <w:color w:val="1F497D"/>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TitreCar">
    <w:name w:val="Titre Car"/>
    <w:qFormat/>
    <w:rPr>
      <w:b/>
      <w:bCs/>
      <w:color w:val="0000FF"/>
      <w:sz w:val="32"/>
      <w:szCs w:val="18"/>
    </w:rPr>
  </w:style>
  <w:style w:type="character" w:styleId="StrongEmphasis">
    <w:name w:val="Strong Emphasis"/>
    <w:rPr>
      <w:b/>
      <w:bCs/>
    </w:rPr>
  </w:style>
  <w:style w:type="paragraph" w:styleId="Heading">
    <w:name w:val="Heading"/>
    <w:basedOn w:val="Normal"/>
    <w:next w:val="TextBody"/>
    <w:qFormat/>
    <w:pPr>
      <w:jc w:val="center"/>
    </w:pPr>
    <w:rPr>
      <w:rFonts w:cs="Times New Roman"/>
      <w:b/>
      <w:bCs/>
      <w:color w:val="0000FF"/>
      <w:sz w:val="32"/>
    </w:rPr>
  </w:style>
  <w:style w:type="paragraph" w:styleId="TextBody">
    <w:name w:val="Text Body"/>
    <w:basedOn w:val="Normal"/>
    <w:pPr>
      <w:jc w:val="both"/>
    </w:pPr>
    <w:rPr>
      <w:rFonts w:ascii="Arial" w:hAnsi="Arial" w:cs="Arial"/>
      <w:b/>
      <w:color w:val="0000FF"/>
      <w:u w:val="singl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rFonts w:ascii="Arial" w:hAnsi="Arial" w:cs="Arial"/>
      <w:color w:val="FF6600"/>
    </w:rPr>
  </w:style>
  <w:style w:type="paragraph" w:styleId="Corpsdetexte3">
    <w:name w:val="Corps de texte 3"/>
    <w:basedOn w:val="Normal"/>
    <w:qFormat/>
    <w:pPr>
      <w:jc w:val="both"/>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Art4">
    <w:name w:val="art4"/>
    <w:basedOn w:val="Normal"/>
    <w:qFormat/>
    <w:pPr>
      <w:spacing w:before="280" w:after="280"/>
    </w:pPr>
    <w:rPr>
      <w:rFonts w:cs="Times New Roman"/>
      <w:szCs w:val="24"/>
    </w:rPr>
  </w:style>
  <w:style w:type="paragraph" w:styleId="Textedebulles">
    <w:name w:val="Texte de bulles"/>
    <w:basedOn w:val="Normal"/>
    <w:qFormat/>
    <w:pPr/>
    <w:rPr>
      <w:rFonts w:ascii="Tahoma" w:hAnsi="Tahoma" w:cs="Tahoma"/>
      <w:sz w:val="16"/>
      <w:szCs w:val="16"/>
    </w:rPr>
  </w:style>
  <w:style w:type="paragraph" w:styleId="Default">
    <w:name w:val="Default"/>
    <w:qFormat/>
    <w:pPr>
      <w:widowControl/>
      <w:autoSpaceDE w:val="false"/>
    </w:pPr>
    <w:rPr>
      <w:rFonts w:ascii="Calibri" w:hAnsi="Calibri" w:eastAsia="Times New Roman" w:cs="Calibri"/>
      <w:color w:val="000000"/>
      <w:sz w:val="24"/>
      <w:szCs w:val="24"/>
      <w:lang w:val="fr-FR" w:bidi="ar-SA" w:eastAsia="zh-CN"/>
    </w:rPr>
  </w:style>
  <w:style w:type="paragraph" w:styleId="Paragraphedeliste">
    <w:name w:val="Paragraphe de liste"/>
    <w:basedOn w:val="Normal"/>
    <w:qFormat/>
    <w:pPr>
      <w:ind w:left="708" w:hanging="0"/>
    </w:pPr>
    <w:rPr>
      <w:rFonts w:cs="Times New Roman"/>
      <w:szCs w:val="24"/>
    </w:rPr>
  </w:style>
  <w:style w:type="paragraph" w:styleId="NormalWeb">
    <w:name w:val="Normal (Web)"/>
    <w:basedOn w:val="Normal"/>
    <w:qFormat/>
    <w:pPr>
      <w:spacing w:before="280" w:after="280"/>
    </w:pPr>
    <w:rPr>
      <w:rFonts w:cs="Times New Roman"/>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2017-10-06T10:24:00Z</cp:lastPrinted>
  <dcterms:created xsi:type="dcterms:W3CDTF">2017-10-16T10:54:00Z</dcterms:created>
  <dcterms:modified xsi:type="dcterms:W3CDTF">2017-10-16T10:54:00Z</dcterms:modified>
</cp:coreProperties>
</file>