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cs="Arial"/>
          <w:b/>
          <w:b/>
          <w:sz w:val="16"/>
          <w:szCs w:val="16"/>
        </w:rPr>
      </w:pPr>
      <w:r>
        <w:rPr>
          <w:rFonts w:cs="Arial"/>
          <w:b/>
          <w:sz w:val="16"/>
          <w:szCs w:val="16"/>
        </w:rPr>
      </w:r>
    </w:p>
    <w:p>
      <w:pPr>
        <w:pStyle w:val="Normal"/>
        <w:pBdr>
          <w:top w:val="single" w:sz="4" w:space="1" w:color="000000"/>
          <w:left w:val="single" w:sz="4" w:space="4" w:color="000000"/>
          <w:bottom w:val="single" w:sz="4" w:space="1" w:color="000000"/>
          <w:right w:val="single" w:sz="4" w:space="4" w:color="000000"/>
        </w:pBdr>
        <w:jc w:val="center"/>
        <w:rPr>
          <w:rFonts w:cs="Arial"/>
          <w:b/>
          <w:b/>
          <w:sz w:val="22"/>
          <w:szCs w:val="22"/>
        </w:rPr>
      </w:pPr>
      <w:r>
        <w:rPr>
          <w:rFonts w:cs="Arial"/>
          <w:b/>
          <w:sz w:val="22"/>
          <w:szCs w:val="22"/>
        </w:rPr>
        <w:t xml:space="preserve">ACCORD DEFINISSANT LES CONDITIONS APPLICABLES </w:t>
      </w:r>
    </w:p>
    <w:p>
      <w:pPr>
        <w:pStyle w:val="Normal"/>
        <w:pBdr>
          <w:top w:val="single" w:sz="4" w:space="1" w:color="000000"/>
          <w:left w:val="single" w:sz="4" w:space="4" w:color="000000"/>
          <w:bottom w:val="single" w:sz="4" w:space="1" w:color="000000"/>
          <w:right w:val="single" w:sz="4" w:space="4" w:color="000000"/>
        </w:pBdr>
        <w:jc w:val="center"/>
        <w:rPr>
          <w:rFonts w:cs="Arial"/>
          <w:b/>
          <w:b/>
          <w:sz w:val="22"/>
          <w:szCs w:val="22"/>
        </w:rPr>
      </w:pPr>
      <w:r>
        <w:rPr>
          <w:rFonts w:cs="Arial"/>
          <w:b/>
          <w:sz w:val="22"/>
          <w:szCs w:val="22"/>
        </w:rPr>
        <w:t>AU REGIME DE RETRAITE SUPPLEMENTAIRE BNP PARIBAS</w:t>
      </w:r>
    </w:p>
    <w:p>
      <w:pPr>
        <w:pStyle w:val="Normal"/>
        <w:pBdr>
          <w:top w:val="single" w:sz="4" w:space="1" w:color="000000"/>
          <w:left w:val="single" w:sz="4" w:space="4" w:color="000000"/>
          <w:bottom w:val="single" w:sz="4" w:space="1" w:color="000000"/>
          <w:right w:val="single" w:sz="4" w:space="4" w:color="000000"/>
        </w:pBdr>
        <w:jc w:val="center"/>
        <w:rPr>
          <w:rFonts w:cs="Arial"/>
          <w:b/>
          <w:b/>
          <w:sz w:val="22"/>
          <w:szCs w:val="22"/>
        </w:rPr>
      </w:pPr>
      <w:r>
        <w:rPr>
          <w:rFonts w:cs="Arial"/>
          <w:b/>
          <w:sz w:val="22"/>
          <w:szCs w:val="22"/>
        </w:rPr>
        <w:t>AU SEIN DE LA SOCIETE BNP PARIBAS SECURITIES SERVICES</w:t>
      </w:r>
    </w:p>
    <w:p>
      <w:pPr>
        <w:pStyle w:val="Normal"/>
        <w:pBdr>
          <w:top w:val="single" w:sz="4" w:space="1" w:color="000000"/>
          <w:left w:val="single" w:sz="4" w:space="4" w:color="000000"/>
          <w:bottom w:val="single" w:sz="4" w:space="1" w:color="000000"/>
          <w:right w:val="single" w:sz="4" w:space="4" w:color="000000"/>
        </w:pBdr>
        <w:jc w:val="center"/>
        <w:rPr>
          <w:rFonts w:cs="Arial"/>
          <w:b/>
          <w:b/>
          <w:sz w:val="16"/>
          <w:szCs w:val="16"/>
        </w:rPr>
      </w:pPr>
      <w:r>
        <w:rPr>
          <w:rFonts w:cs="Arial"/>
          <w:b/>
          <w:sz w:val="16"/>
          <w:szCs w:val="16"/>
        </w:rPr>
      </w:r>
    </w:p>
    <w:p>
      <w:pPr>
        <w:pStyle w:val="Normal"/>
        <w:rPr>
          <w:rFonts w:cs="Arial"/>
          <w:b/>
          <w:b/>
          <w:sz w:val="16"/>
          <w:szCs w:val="16"/>
        </w:rPr>
      </w:pPr>
      <w:r>
        <w:rPr>
          <w:rFonts w:cs="Arial"/>
          <w:b/>
          <w:sz w:val="16"/>
          <w:szCs w:val="16"/>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jc w:val="both"/>
        <w:rPr>
          <w:rFonts w:cs="Arial"/>
          <w:b/>
          <w:b/>
          <w:sz w:val="22"/>
          <w:szCs w:val="22"/>
          <w:u w:val="single"/>
        </w:rPr>
      </w:pPr>
      <w:r>
        <w:rPr>
          <w:rFonts w:cs="Arial"/>
          <w:b/>
          <w:sz w:val="22"/>
          <w:szCs w:val="22"/>
          <w:u w:val="single"/>
        </w:rPr>
        <w:t xml:space="preserve">PREAMBULE </w:t>
      </w:r>
    </w:p>
    <w:p>
      <w:pPr>
        <w:pStyle w:val="Normal"/>
        <w:rPr>
          <w:rFonts w:cs="Arial"/>
          <w:b/>
          <w:b/>
          <w:sz w:val="22"/>
          <w:szCs w:val="22"/>
          <w:u w:val="single"/>
        </w:rPr>
      </w:pPr>
      <w:r>
        <w:rPr>
          <w:rFonts w:cs="Arial"/>
          <w:b/>
          <w:sz w:val="22"/>
          <w:szCs w:val="22"/>
          <w:u w:val="single"/>
        </w:rPr>
      </w:r>
    </w:p>
    <w:p>
      <w:pPr>
        <w:pStyle w:val="Normal"/>
        <w:jc w:val="both"/>
        <w:rPr/>
      </w:pPr>
      <w:r>
        <w:rPr>
          <w:rFonts w:cs="Arial"/>
          <w:sz w:val="22"/>
          <w:szCs w:val="22"/>
        </w:rPr>
        <w:t>Par accord de groupe conclu en date du 3 octobre 2017, un régime de retraite supplémentaire à cotisations définies a été mis en place au sein du Groupe BNP Paribas.</w:t>
      </w:r>
    </w:p>
    <w:p>
      <w:pPr>
        <w:pStyle w:val="Normal"/>
        <w:jc w:val="both"/>
        <w:rPr>
          <w:rFonts w:cs="Arial"/>
          <w:sz w:val="22"/>
          <w:szCs w:val="22"/>
        </w:rPr>
      </w:pPr>
      <w:r>
        <w:rPr>
          <w:rFonts w:cs="Arial"/>
          <w:sz w:val="22"/>
          <w:szCs w:val="22"/>
        </w:rPr>
      </w:r>
    </w:p>
    <w:p>
      <w:pPr>
        <w:pStyle w:val="Footnote"/>
        <w:rPr>
          <w:rFonts w:cs="Arial"/>
          <w:sz w:val="22"/>
          <w:szCs w:val="22"/>
        </w:rPr>
      </w:pPr>
      <w:r>
        <w:rPr>
          <w:rFonts w:cs="Arial"/>
          <w:sz w:val="22"/>
          <w:szCs w:val="22"/>
        </w:rPr>
        <w:t>Conformément aux dispositions de l’article 2 de l’accord de groupe précité, le présent accord a pour objet de définir les modalités spécifiques d’application du régime de retraite supplémentaire BNP Paribas souscrit auprès de Cardif Assurance Vie.</w:t>
      </w:r>
      <w:r>
        <w:br w:type="page"/>
      </w:r>
    </w:p>
    <w:p>
      <w:pPr>
        <w:pStyle w:val="Footnote"/>
        <w:rPr>
          <w:rStyle w:val="PageNumber"/>
          <w:rFonts w:cs="Arial"/>
          <w:b/>
          <w:b/>
          <w:caps/>
          <w:sz w:val="22"/>
          <w:szCs w:val="22"/>
        </w:rPr>
      </w:pPr>
      <w:r>
        <w:rPr>
          <w:rStyle w:val="PageNumber"/>
          <w:rFonts w:cs="Arial"/>
          <w:b/>
          <w:caps/>
          <w:sz w:val="22"/>
          <w:szCs w:val="22"/>
          <w:u w:val="single"/>
        </w:rPr>
        <w:t>ARTICLE 1</w:t>
      </w:r>
      <w:r>
        <w:rPr>
          <w:rStyle w:val="PageNumber"/>
          <w:rFonts w:cs="Arial"/>
          <w:b/>
          <w:caps/>
          <w:sz w:val="22"/>
          <w:szCs w:val="22"/>
        </w:rPr>
        <w:t xml:space="preserve"> </w:t>
      </w:r>
      <w:r>
        <w:rPr>
          <w:rFonts w:cs="Arial"/>
          <w:b/>
          <w:caps/>
          <w:sz w:val="22"/>
          <w:szCs w:val="22"/>
        </w:rPr>
        <w:t xml:space="preserve">– </w:t>
      </w:r>
      <w:r>
        <w:rPr>
          <w:rStyle w:val="PageNumber"/>
          <w:rFonts w:cs="Arial"/>
          <w:b/>
          <w:caps/>
          <w:sz w:val="22"/>
          <w:szCs w:val="22"/>
        </w:rPr>
        <w:t>BENEFICIAIRES</w:t>
      </w:r>
    </w:p>
    <w:p>
      <w:pPr>
        <w:pStyle w:val="Normal"/>
        <w:autoSpaceDE w:val="false"/>
        <w:jc w:val="both"/>
        <w:rPr>
          <w:rStyle w:val="PageNumber"/>
          <w:rFonts w:cs="Arial"/>
          <w:b/>
          <w:b/>
          <w:caps/>
          <w:sz w:val="22"/>
          <w:szCs w:val="22"/>
        </w:rPr>
      </w:pPr>
      <w:r>
        <w:rPr/>
      </w:r>
    </w:p>
    <w:p>
      <w:pPr>
        <w:pStyle w:val="Normal"/>
        <w:spacing w:before="0" w:after="120"/>
        <w:ind w:left="567" w:hanging="567"/>
        <w:rPr>
          <w:rFonts w:cs="Arial"/>
          <w:sz w:val="22"/>
          <w:szCs w:val="22"/>
        </w:rPr>
      </w:pPr>
      <w:r>
        <w:rPr>
          <w:rFonts w:cs="Arial"/>
          <w:sz w:val="22"/>
          <w:szCs w:val="22"/>
        </w:rPr>
        <w:t>Le présent accord s’applique obligatoirement :</w:t>
      </w:r>
    </w:p>
    <w:p>
      <w:pPr>
        <w:pStyle w:val="Normal"/>
        <w:numPr>
          <w:ilvl w:val="2"/>
          <w:numId w:val="4"/>
        </w:numPr>
        <w:tabs>
          <w:tab w:val="left" w:pos="284" w:leader="none"/>
        </w:tabs>
        <w:spacing w:before="0" w:after="60"/>
        <w:ind w:left="284" w:hanging="284"/>
        <w:jc w:val="both"/>
        <w:rPr>
          <w:sz w:val="22"/>
          <w:szCs w:val="22"/>
        </w:rPr>
      </w:pPr>
      <w:r>
        <w:rPr>
          <w:sz w:val="22"/>
          <w:szCs w:val="22"/>
        </w:rPr>
        <w:t>aux salariés sous contrat de travail inscrits à l’effectif de BNP Paribas Securities Services à la date d’entrée en vigueur des présentes ou embauchés postérieurement ;</w:t>
      </w:r>
    </w:p>
    <w:p>
      <w:pPr>
        <w:pStyle w:val="Normal"/>
        <w:numPr>
          <w:ilvl w:val="2"/>
          <w:numId w:val="4"/>
        </w:numPr>
        <w:tabs>
          <w:tab w:val="left" w:pos="284" w:leader="none"/>
        </w:tabs>
        <w:spacing w:before="0" w:after="60"/>
        <w:ind w:left="284" w:hanging="284"/>
        <w:jc w:val="both"/>
        <w:rPr/>
      </w:pPr>
      <w:r>
        <w:rPr>
          <w:sz w:val="22"/>
          <w:szCs w:val="22"/>
        </w:rPr>
        <w:t>aux salariés détachés auprès de BNP Paribas Securities Services dès lors que leur contrat de travail avec leur société d’origine est suspendu et qu’ils sont rémunérés par BNP Paribas Securities Services. Inversement, il ne s'applique pas aux salariés de BNP Paribas Securities Services dont le contrat de travail est suspendu à l’occasion d’un détachement auprès d’une autre entreprise et qui ne donne lieu à aucune rémunération de la part de BNP Paribas Securities Services ;</w:t>
      </w:r>
    </w:p>
    <w:p>
      <w:pPr>
        <w:pStyle w:val="Normal"/>
        <w:numPr>
          <w:ilvl w:val="2"/>
          <w:numId w:val="4"/>
        </w:numPr>
        <w:tabs>
          <w:tab w:val="left" w:pos="284" w:leader="none"/>
        </w:tabs>
        <w:ind w:left="284" w:hanging="284"/>
        <w:jc w:val="both"/>
        <w:rPr>
          <w:sz w:val="22"/>
          <w:szCs w:val="22"/>
        </w:rPr>
      </w:pPr>
      <w:r>
        <w:rPr>
          <w:sz w:val="22"/>
          <w:szCs w:val="22"/>
        </w:rPr>
        <w:t>aux éventuels mandataires sociaux de BNP Paribas Securities Services, assimilés salariés au sens de la sécurité sociale après décision de l’organe compétent de l’entreprise de leur appliquer ce régime.</w:t>
      </w:r>
    </w:p>
    <w:p>
      <w:pPr>
        <w:pStyle w:val="Normal"/>
        <w:rPr>
          <w:sz w:val="18"/>
          <w:szCs w:val="18"/>
        </w:rPr>
      </w:pPr>
      <w:r>
        <w:rPr>
          <w:sz w:val="18"/>
          <w:szCs w:val="18"/>
        </w:rPr>
      </w:r>
    </w:p>
    <w:p>
      <w:pPr>
        <w:pStyle w:val="Normal"/>
        <w:jc w:val="both"/>
        <w:rPr/>
      </w:pPr>
      <w:r>
        <w:rPr>
          <w:sz w:val="22"/>
          <w:szCs w:val="22"/>
        </w:rPr>
        <w:t>Il est précisé que le régime de retraite supplémentaire BNP Paribas est maintenu dans tous ses effets aux salariés sous contrat de travail BNP Paribas Securities Services en situation d’expatriation.</w:t>
      </w:r>
    </w:p>
    <w:p>
      <w:pPr>
        <w:pStyle w:val="Normal"/>
        <w:rPr>
          <w:sz w:val="18"/>
          <w:szCs w:val="18"/>
        </w:rPr>
      </w:pPr>
      <w:r>
        <w:rPr>
          <w:sz w:val="18"/>
          <w:szCs w:val="18"/>
        </w:rPr>
      </w:r>
    </w:p>
    <w:p>
      <w:pPr>
        <w:pStyle w:val="Normal"/>
        <w:jc w:val="both"/>
        <w:rPr/>
      </w:pPr>
      <w:r>
        <w:rPr>
          <w:sz w:val="22"/>
          <w:szCs w:val="22"/>
        </w:rPr>
        <w:t xml:space="preserve">Pour être bénéficiaires du présent accord et donc être affiliés au </w:t>
      </w:r>
      <w:r>
        <w:rPr>
          <w:rFonts w:cs="Arial"/>
          <w:sz w:val="22"/>
          <w:szCs w:val="22"/>
        </w:rPr>
        <w:t xml:space="preserve">contrat de retraite supplémentaire BNP Paribas, </w:t>
      </w:r>
      <w:r>
        <w:rPr>
          <w:sz w:val="22"/>
          <w:szCs w:val="22"/>
        </w:rPr>
        <w:t>les salariés visés ci-dessus doivent justifier d’au moins 12 mois d’ancienneté au sein du Groupe BNP Paribas.</w:t>
      </w:r>
    </w:p>
    <w:p>
      <w:pPr>
        <w:pStyle w:val="Normal"/>
        <w:jc w:val="both"/>
        <w:rPr>
          <w:rStyle w:val="PageNumber"/>
          <w:rFonts w:cs="Arial"/>
          <w:strike/>
          <w:sz w:val="22"/>
          <w:szCs w:val="22"/>
        </w:rPr>
      </w:pPr>
      <w:r>
        <w:rPr>
          <w:sz w:val="22"/>
          <w:szCs w:val="22"/>
          <w:highlight w:val="lightGray"/>
        </w:rPr>
      </w:r>
    </w:p>
    <w:p>
      <w:pPr>
        <w:pStyle w:val="Normal"/>
        <w:jc w:val="both"/>
        <w:rPr>
          <w:rStyle w:val="PageNumber"/>
          <w:rFonts w:cs="Arial"/>
          <w:strike/>
          <w:sz w:val="22"/>
          <w:szCs w:val="22"/>
        </w:rPr>
      </w:pPr>
      <w:r>
        <w:rPr>
          <w:highlight w:val="lightGray"/>
        </w:rPr>
      </w:r>
    </w:p>
    <w:p>
      <w:pPr>
        <w:pStyle w:val="Normal"/>
        <w:tabs>
          <w:tab w:val="left" w:pos="1276" w:leader="none"/>
        </w:tabs>
        <w:ind w:left="1418" w:hanging="1418"/>
        <w:rPr>
          <w:rFonts w:ascii="Arial Gras;Arial" w:hAnsi="Arial Gras;Arial" w:cs="Arial Gras;Arial"/>
          <w:b/>
          <w:b/>
          <w:caps/>
          <w:sz w:val="22"/>
          <w:szCs w:val="22"/>
        </w:rPr>
      </w:pPr>
      <w:r>
        <w:rPr>
          <w:b/>
          <w:caps/>
          <w:sz w:val="22"/>
          <w:szCs w:val="22"/>
          <w:u w:val="single"/>
        </w:rPr>
        <w:t xml:space="preserve">ARTICLE 2 </w:t>
      </w:r>
      <w:r>
        <w:rPr>
          <w:rFonts w:cs="Arial"/>
          <w:b/>
          <w:caps/>
          <w:sz w:val="22"/>
          <w:szCs w:val="22"/>
        </w:rPr>
        <w:t>–</w:t>
      </w:r>
      <w:r>
        <w:rPr>
          <w:b/>
          <w:caps/>
          <w:sz w:val="22"/>
          <w:szCs w:val="22"/>
        </w:rPr>
        <w:t xml:space="preserve"> financement du regime</w:t>
      </w:r>
    </w:p>
    <w:p>
      <w:pPr>
        <w:pStyle w:val="Normal"/>
        <w:rPr>
          <w:rFonts w:ascii="Arial Gras;Arial" w:hAnsi="Arial Gras;Arial" w:cs="Arial Gras;Arial"/>
          <w:b/>
          <w:b/>
          <w:caps/>
          <w:sz w:val="22"/>
          <w:szCs w:val="22"/>
        </w:rPr>
      </w:pPr>
      <w:r>
        <w:rPr>
          <w:rFonts w:cs="Arial Gras;Arial" w:ascii="Arial Gras;Arial" w:hAnsi="Arial Gras;Arial"/>
          <w:b/>
          <w:caps/>
          <w:sz w:val="22"/>
          <w:szCs w:val="22"/>
        </w:rPr>
      </w:r>
    </w:p>
    <w:p>
      <w:pPr>
        <w:pStyle w:val="Normal"/>
        <w:jc w:val="both"/>
        <w:rPr/>
      </w:pPr>
      <w:r>
        <w:rPr>
          <w:rFonts w:cs="Arial"/>
          <w:color w:val="000000"/>
          <w:sz w:val="22"/>
          <w:szCs w:val="22"/>
        </w:rPr>
        <w:t>Dans l’attente de l’ouverture de nouvelles négociations, les parties signataires conviennent de reconduire les cotisations actuellement en vigueur au titre du PERE BNP Paribas.</w:t>
      </w:r>
    </w:p>
    <w:p>
      <w:pPr>
        <w:pStyle w:val="Normal"/>
        <w:jc w:val="both"/>
        <w:rPr>
          <w:rFonts w:cs="Arial"/>
          <w:color w:val="000000"/>
          <w:sz w:val="22"/>
          <w:szCs w:val="22"/>
        </w:rPr>
      </w:pPr>
      <w:r>
        <w:rPr>
          <w:rFonts w:cs="Arial"/>
          <w:color w:val="000000"/>
          <w:sz w:val="22"/>
          <w:szCs w:val="22"/>
        </w:rPr>
        <w:t xml:space="preserve">Ainsi, à la date d’effet du présent accord, le financement du régime est exclusivement assuré par l’entreprise. </w:t>
      </w:r>
    </w:p>
    <w:p>
      <w:pPr>
        <w:pStyle w:val="Normal"/>
        <w:jc w:val="both"/>
        <w:rPr>
          <w:rFonts w:cs="Arial"/>
          <w:color w:val="000000"/>
          <w:sz w:val="18"/>
          <w:szCs w:val="18"/>
        </w:rPr>
      </w:pPr>
      <w:r>
        <w:rPr>
          <w:rFonts w:cs="Arial"/>
          <w:color w:val="000000"/>
          <w:sz w:val="18"/>
          <w:szCs w:val="18"/>
        </w:rPr>
      </w:r>
    </w:p>
    <w:p>
      <w:pPr>
        <w:pStyle w:val="Normal"/>
        <w:spacing w:before="0" w:after="120"/>
        <w:rPr>
          <w:rFonts w:cs="Arial"/>
          <w:b/>
          <w:b/>
          <w:i/>
          <w:i/>
          <w:sz w:val="22"/>
          <w:szCs w:val="22"/>
        </w:rPr>
      </w:pPr>
      <w:r>
        <w:rPr>
          <w:rFonts w:cs="Arial"/>
          <w:b/>
          <w:i/>
          <w:sz w:val="22"/>
          <w:szCs w:val="22"/>
        </w:rPr>
        <w:t>2.1 - Assiette des cotisations - Taux :</w:t>
      </w:r>
    </w:p>
    <w:p>
      <w:pPr>
        <w:pStyle w:val="Normal"/>
        <w:jc w:val="both"/>
        <w:rPr>
          <w:rFonts w:cs="Arial"/>
          <w:color w:val="000000"/>
          <w:sz w:val="22"/>
          <w:szCs w:val="22"/>
        </w:rPr>
      </w:pPr>
      <w:r>
        <w:rPr>
          <w:rFonts w:cs="Arial"/>
          <w:sz w:val="22"/>
          <w:szCs w:val="22"/>
        </w:rPr>
        <w:t xml:space="preserve">L’assiette des cotisations est le salaire soumis aux cotisations de sécurité sociale, pris dans la </w:t>
      </w:r>
      <w:r>
        <w:rPr>
          <w:rFonts w:cs="Arial"/>
          <w:color w:val="000000"/>
          <w:sz w:val="22"/>
          <w:szCs w:val="22"/>
        </w:rPr>
        <w:t>limite de 1,1 fois le plafond annuel de la sécurité sociale.</w:t>
      </w:r>
    </w:p>
    <w:p>
      <w:pPr>
        <w:pStyle w:val="Normal"/>
        <w:jc w:val="both"/>
        <w:rPr>
          <w:rFonts w:cs="Arial"/>
          <w:color w:val="000000"/>
          <w:sz w:val="18"/>
          <w:szCs w:val="18"/>
          <w:highlight w:val="lightGray"/>
        </w:rPr>
      </w:pPr>
      <w:r>
        <w:rPr>
          <w:rFonts w:cs="Arial"/>
          <w:color w:val="000000"/>
          <w:sz w:val="18"/>
          <w:szCs w:val="18"/>
          <w:highlight w:val="lightGray"/>
        </w:rPr>
      </w:r>
    </w:p>
    <w:p>
      <w:pPr>
        <w:pStyle w:val="Normal"/>
        <w:jc w:val="both"/>
        <w:rPr>
          <w:rFonts w:cs="Arial"/>
          <w:sz w:val="22"/>
          <w:szCs w:val="22"/>
        </w:rPr>
      </w:pPr>
      <w:r>
        <w:rPr>
          <w:rFonts w:cs="Arial"/>
          <w:sz w:val="22"/>
          <w:szCs w:val="22"/>
        </w:rPr>
        <w:t>Pour les salariés en situation d’expatriation, l’assiette des cotisations est le salaire soumis aux cotisations des régimes de retraite complémentaire ARRCO AGIRC, pris dans la limite de 1,1 fois le plafond annuel d’assujettissement aux cotisations de sécurité sociale.</w:t>
      </w:r>
    </w:p>
    <w:p>
      <w:pPr>
        <w:pStyle w:val="Normal"/>
        <w:jc w:val="both"/>
        <w:rPr>
          <w:rFonts w:cs="Arial"/>
          <w:sz w:val="18"/>
          <w:szCs w:val="18"/>
        </w:rPr>
      </w:pPr>
      <w:r>
        <w:rPr>
          <w:rFonts w:cs="Arial"/>
          <w:sz w:val="18"/>
          <w:szCs w:val="18"/>
        </w:rPr>
      </w:r>
    </w:p>
    <w:p>
      <w:pPr>
        <w:pStyle w:val="Normal"/>
        <w:spacing w:before="0" w:after="120"/>
        <w:jc w:val="both"/>
        <w:rPr/>
      </w:pPr>
      <w:r>
        <w:rPr>
          <w:rFonts w:cs="Arial"/>
          <w:sz w:val="22"/>
          <w:szCs w:val="22"/>
        </w:rPr>
        <w:t>Les taux de cotisations applicables à la date d’effet du présent accord</w:t>
      </w:r>
      <w:r>
        <w:rPr/>
        <w:t xml:space="preserve"> sont fixés comme suit :</w:t>
      </w:r>
    </w:p>
    <w:tbl>
      <w:tblPr>
        <w:tblW w:w="9224"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87"/>
        <w:gridCol w:w="1417"/>
        <w:gridCol w:w="1191"/>
        <w:gridCol w:w="1229"/>
      </w:tblGrid>
      <w:tr>
        <w:trPr>
          <w:trHeight w:val="198" w:hRule="atLeast"/>
          <w:cantSplit w:val="true"/>
        </w:trPr>
        <w:tc>
          <w:tcPr>
            <w:tcW w:w="5387" w:type="dxa"/>
            <w:vMerge w:val="restart"/>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120" w:after="120"/>
              <w:jc w:val="center"/>
              <w:rPr>
                <w:rFonts w:cs="Arial"/>
                <w:b/>
                <w:b/>
                <w:sz w:val="22"/>
                <w:szCs w:val="22"/>
              </w:rPr>
            </w:pPr>
            <w:r>
              <w:rPr>
                <w:rFonts w:cs="Arial"/>
                <w:b/>
                <w:sz w:val="22"/>
                <w:szCs w:val="22"/>
              </w:rPr>
              <w:t>Assiette de cotisation</w:t>
            </w:r>
          </w:p>
        </w:tc>
        <w:tc>
          <w:tcPr>
            <w:tcW w:w="38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left w:w="103" w:type="dxa"/>
            </w:tcMar>
            <w:vAlign w:val="center"/>
          </w:tcPr>
          <w:p>
            <w:pPr>
              <w:pStyle w:val="Normal"/>
              <w:spacing w:before="60" w:after="60"/>
              <w:jc w:val="center"/>
              <w:rPr>
                <w:rFonts w:cs="Arial"/>
                <w:b/>
                <w:b/>
                <w:sz w:val="22"/>
                <w:szCs w:val="22"/>
              </w:rPr>
            </w:pPr>
            <w:r>
              <w:rPr>
                <w:rFonts w:cs="Arial"/>
                <w:b/>
                <w:sz w:val="22"/>
                <w:szCs w:val="22"/>
              </w:rPr>
              <w:t>Taux de cotisation</w:t>
            </w:r>
          </w:p>
        </w:tc>
      </w:tr>
      <w:tr>
        <w:trPr>
          <w:trHeight w:val="358" w:hRule="atLeast"/>
          <w:cantSplit w:val="true"/>
        </w:trPr>
        <w:tc>
          <w:tcPr>
            <w:tcW w:w="5387" w:type="dxa"/>
            <w:vMerge w:val="continue"/>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spacing w:before="120" w:after="120"/>
              <w:jc w:val="center"/>
              <w:rPr>
                <w:rFonts w:cs="Arial"/>
                <w:b/>
                <w:b/>
                <w:sz w:val="22"/>
                <w:szCs w:val="22"/>
              </w:rPr>
            </w:pPr>
            <w:r>
              <w:rPr>
                <w:rFonts w:cs="Arial"/>
                <w:b/>
                <w:sz w:val="22"/>
                <w:szCs w:val="22"/>
              </w:rPr>
            </w:r>
          </w:p>
        </w:tc>
        <w:tc>
          <w:tcPr>
            <w:tcW w:w="1417" w:type="dxa"/>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60" w:after="60"/>
              <w:jc w:val="center"/>
              <w:rPr>
                <w:rFonts w:cs="Arial"/>
                <w:b/>
                <w:b/>
                <w:sz w:val="22"/>
                <w:szCs w:val="22"/>
              </w:rPr>
            </w:pPr>
            <w:r>
              <w:rPr>
                <w:rFonts w:cs="Arial"/>
                <w:b/>
                <w:sz w:val="22"/>
                <w:szCs w:val="22"/>
              </w:rPr>
              <w:t>Entreprise</w:t>
            </w:r>
          </w:p>
        </w:tc>
        <w:tc>
          <w:tcPr>
            <w:tcW w:w="1191" w:type="dxa"/>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60" w:after="60"/>
              <w:jc w:val="center"/>
              <w:rPr>
                <w:rFonts w:cs="Arial"/>
                <w:b/>
                <w:b/>
                <w:sz w:val="22"/>
                <w:szCs w:val="22"/>
              </w:rPr>
            </w:pPr>
            <w:r>
              <w:rPr>
                <w:rFonts w:cs="Arial"/>
                <w:b/>
                <w:sz w:val="22"/>
                <w:szCs w:val="22"/>
              </w:rPr>
              <w:t>Salarié</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0C0C0" w:val="clear"/>
            <w:tcMar>
              <w:left w:w="103" w:type="dxa"/>
            </w:tcMar>
            <w:vAlign w:val="center"/>
          </w:tcPr>
          <w:p>
            <w:pPr>
              <w:pStyle w:val="Normal"/>
              <w:spacing w:before="60" w:after="60"/>
              <w:jc w:val="center"/>
              <w:rPr>
                <w:rFonts w:cs="Arial"/>
                <w:b/>
                <w:b/>
                <w:sz w:val="22"/>
                <w:szCs w:val="22"/>
              </w:rPr>
            </w:pPr>
            <w:r>
              <w:rPr>
                <w:rFonts w:cs="Arial"/>
                <w:b/>
                <w:sz w:val="22"/>
                <w:szCs w:val="22"/>
              </w:rPr>
              <w:t>Total</w:t>
            </w:r>
          </w:p>
        </w:tc>
      </w:tr>
      <w:tr>
        <w:trPr>
          <w:trHeight w:val="351" w:hRule="atLeast"/>
        </w:trPr>
        <w:tc>
          <w:tcPr>
            <w:tcW w:w="5387" w:type="dxa"/>
            <w:tcBorders>
              <w:top w:val="single" w:sz="4" w:space="0" w:color="000000"/>
              <w:left w:val="single" w:sz="4" w:space="0" w:color="000000"/>
              <w:bottom w:val="single" w:sz="4" w:space="0" w:color="000000"/>
              <w:insideH w:val="single" w:sz="4" w:space="0" w:color="000000"/>
            </w:tcBorders>
            <w:shd w:fill="auto" w:val="clear"/>
            <w:tcMar>
              <w:left w:w="65" w:type="dxa"/>
              <w:right w:w="70" w:type="dxa"/>
            </w:tcMar>
            <w:vAlign w:val="center"/>
          </w:tcPr>
          <w:p>
            <w:pPr>
              <w:pStyle w:val="Normal"/>
              <w:snapToGrid w:val="false"/>
              <w:jc w:val="both"/>
              <w:rPr>
                <w:rFonts w:cs="Arial"/>
                <w:b/>
                <w:b/>
                <w:sz w:val="22"/>
                <w:szCs w:val="22"/>
              </w:rPr>
            </w:pPr>
            <w:r>
              <w:rPr>
                <w:rFonts w:cs="Arial"/>
                <w:b/>
                <w:sz w:val="22"/>
                <w:szCs w:val="22"/>
              </w:rPr>
            </w:r>
          </w:p>
          <w:p>
            <w:pPr>
              <w:pStyle w:val="Normal"/>
              <w:jc w:val="both"/>
              <w:rPr/>
            </w:pPr>
            <w:r>
              <w:rPr>
                <w:rFonts w:cs="Arial"/>
                <w:sz w:val="22"/>
                <w:szCs w:val="22"/>
              </w:rPr>
              <w:t>Partie du salaire limitée à 1,1 plafond sécurité sociale</w:t>
            </w:r>
          </w:p>
          <w:p>
            <w:pPr>
              <w:pStyle w:val="Normal"/>
              <w:jc w:val="both"/>
              <w:rPr>
                <w:rFonts w:cs="Arial"/>
                <w:sz w:val="22"/>
                <w:szCs w:val="22"/>
              </w:rPr>
            </w:pPr>
            <w:r>
              <w:rPr>
                <w:rFonts w:cs="Arial"/>
                <w:sz w:val="22"/>
                <w:szCs w:val="22"/>
              </w:rPr>
            </w:r>
          </w:p>
        </w:tc>
        <w:tc>
          <w:tcPr>
            <w:tcW w:w="1417" w:type="dxa"/>
            <w:tcBorders>
              <w:top w:val="single" w:sz="4" w:space="0" w:color="000000"/>
              <w:left w:val="single" w:sz="4" w:space="0" w:color="000000"/>
              <w:bottom w:val="single" w:sz="4" w:space="0" w:color="000000"/>
              <w:insideH w:val="single" w:sz="4" w:space="0" w:color="000000"/>
            </w:tcBorders>
            <w:shd w:fill="auto" w:val="clear"/>
            <w:tcMar>
              <w:left w:w="65" w:type="dxa"/>
              <w:right w:w="70" w:type="dxa"/>
            </w:tcMar>
            <w:vAlign w:val="center"/>
          </w:tcPr>
          <w:p>
            <w:pPr>
              <w:pStyle w:val="Normal"/>
              <w:jc w:val="center"/>
              <w:rPr/>
            </w:pPr>
            <w:r>
              <w:rPr>
                <w:rFonts w:cs="Arial"/>
                <w:sz w:val="22"/>
                <w:szCs w:val="22"/>
              </w:rPr>
              <w:t>1,00 %</w:t>
            </w:r>
          </w:p>
        </w:tc>
        <w:tc>
          <w:tcPr>
            <w:tcW w:w="1191" w:type="dxa"/>
            <w:tcBorders>
              <w:top w:val="single" w:sz="4" w:space="0" w:color="000000"/>
              <w:left w:val="single" w:sz="4" w:space="0" w:color="000000"/>
              <w:bottom w:val="single" w:sz="4" w:space="0" w:color="000000"/>
              <w:insideH w:val="single" w:sz="4" w:space="0" w:color="000000"/>
            </w:tcBorders>
            <w:shd w:fill="auto" w:val="clear"/>
            <w:tcMar>
              <w:left w:w="65" w:type="dxa"/>
              <w:right w:w="70" w:type="dxa"/>
            </w:tcMar>
            <w:vAlign w:val="center"/>
          </w:tcPr>
          <w:p>
            <w:pPr>
              <w:pStyle w:val="Normal"/>
              <w:jc w:val="center"/>
              <w:rPr/>
            </w:pPr>
            <w:r>
              <w:rPr>
                <w:rFonts w:cs="Arial"/>
                <w:sz w:val="22"/>
                <w:szCs w:val="22"/>
              </w:rPr>
              <w:t>0,00 %</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right w:w="70" w:type="dxa"/>
            </w:tcMar>
            <w:vAlign w:val="center"/>
          </w:tcPr>
          <w:p>
            <w:pPr>
              <w:pStyle w:val="Normal"/>
              <w:jc w:val="center"/>
              <w:rPr/>
            </w:pPr>
            <w:r>
              <w:rPr>
                <w:rFonts w:cs="Arial"/>
                <w:sz w:val="22"/>
                <w:szCs w:val="22"/>
              </w:rPr>
              <w:t>1,00 %</w:t>
            </w:r>
          </w:p>
        </w:tc>
      </w:tr>
    </w:tbl>
    <w:p>
      <w:pPr>
        <w:pStyle w:val="Normal"/>
        <w:rPr>
          <w:rFonts w:cs="Arial"/>
          <w:sz w:val="22"/>
          <w:szCs w:val="22"/>
        </w:rPr>
      </w:pPr>
      <w:r>
        <w:rPr>
          <w:rFonts w:cs="Arial"/>
          <w:sz w:val="22"/>
          <w:szCs w:val="22"/>
        </w:rPr>
      </w:r>
      <w:r>
        <w:br w:type="page"/>
      </w:r>
    </w:p>
    <w:p>
      <w:pPr>
        <w:pStyle w:val="Normal"/>
        <w:spacing w:before="0" w:after="120"/>
        <w:rPr>
          <w:rFonts w:cs="Arial"/>
          <w:b/>
          <w:b/>
          <w:i/>
          <w:i/>
          <w:sz w:val="22"/>
          <w:szCs w:val="22"/>
        </w:rPr>
      </w:pPr>
      <w:r>
        <w:rPr>
          <w:rFonts w:cs="Arial"/>
          <w:b/>
          <w:i/>
          <w:sz w:val="22"/>
          <w:szCs w:val="22"/>
        </w:rPr>
        <w:t>2.2 -  Modalités de financement - Précompte des cotisations :</w:t>
      </w:r>
    </w:p>
    <w:p>
      <w:pPr>
        <w:pStyle w:val="Normal"/>
        <w:jc w:val="both"/>
        <w:rPr/>
      </w:pPr>
      <w:r>
        <w:rPr>
          <w:rFonts w:cs="Arial"/>
          <w:sz w:val="22"/>
          <w:szCs w:val="22"/>
        </w:rPr>
        <w:t>L’entreprise procèdera mensuellement au précompte direct, sur leur bulletin de paie, des contributions sociales dues par les salariés sur les cotisations de l’entreprise ; ce précompte sur le salaire s’impose à tous les bénéficiaires visés à l'article 1 ci-dessus.</w:t>
      </w:r>
    </w:p>
    <w:p>
      <w:pPr>
        <w:pStyle w:val="Normal"/>
        <w:rPr>
          <w:rFonts w:cs="Arial"/>
          <w:sz w:val="22"/>
          <w:szCs w:val="22"/>
        </w:rPr>
      </w:pPr>
      <w:r>
        <w:rPr>
          <w:rFonts w:cs="Arial"/>
          <w:sz w:val="22"/>
          <w:szCs w:val="22"/>
        </w:rPr>
      </w:r>
    </w:p>
    <w:p>
      <w:pPr>
        <w:pStyle w:val="Normal"/>
        <w:ind w:left="709" w:hanging="709"/>
        <w:rPr>
          <w:rFonts w:cs="Arial"/>
          <w:sz w:val="22"/>
          <w:szCs w:val="22"/>
        </w:rPr>
      </w:pPr>
      <w:r>
        <w:rPr>
          <w:rFonts w:cs="Arial"/>
          <w:sz w:val="22"/>
          <w:szCs w:val="22"/>
        </w:rPr>
      </w:r>
    </w:p>
    <w:p>
      <w:pPr>
        <w:pStyle w:val="Normal"/>
        <w:rPr>
          <w:b/>
          <w:b/>
          <w:caps/>
          <w:sz w:val="22"/>
          <w:szCs w:val="22"/>
        </w:rPr>
      </w:pPr>
      <w:r>
        <w:rPr>
          <w:b/>
          <w:caps/>
          <w:sz w:val="22"/>
          <w:szCs w:val="22"/>
          <w:u w:val="single"/>
        </w:rPr>
        <w:t>ARTICLE 3</w:t>
      </w:r>
      <w:r>
        <w:rPr>
          <w:b/>
          <w:caps/>
          <w:sz w:val="22"/>
          <w:szCs w:val="22"/>
        </w:rPr>
        <w:t xml:space="preserve"> </w:t>
      </w:r>
      <w:r>
        <w:rPr>
          <w:b/>
          <w:sz w:val="22"/>
          <w:szCs w:val="22"/>
        </w:rPr>
        <w:t xml:space="preserve">– </w:t>
      </w:r>
      <w:r>
        <w:rPr>
          <w:b/>
          <w:caps/>
          <w:sz w:val="22"/>
          <w:szCs w:val="22"/>
        </w:rPr>
        <w:t xml:space="preserve">EVOLUTION REGLEMENTAIRE - CLAUSE DE SAUVEGARDE </w:t>
      </w:r>
    </w:p>
    <w:p>
      <w:pPr>
        <w:pStyle w:val="Normal"/>
        <w:rPr>
          <w:b/>
          <w:b/>
          <w:caps/>
          <w:sz w:val="22"/>
          <w:szCs w:val="22"/>
        </w:rPr>
      </w:pPr>
      <w:r>
        <w:rPr>
          <w:b/>
          <w:caps/>
          <w:sz w:val="22"/>
          <w:szCs w:val="22"/>
        </w:rPr>
      </w:r>
    </w:p>
    <w:p>
      <w:pPr>
        <w:pStyle w:val="Normal"/>
        <w:jc w:val="both"/>
        <w:rPr/>
      </w:pPr>
      <w:r>
        <w:rPr>
          <w:sz w:val="22"/>
          <w:szCs w:val="22"/>
        </w:rPr>
        <w:t>Les termes du présent accord ont été arrêtés en fonction des dispositions conventionnelles, légales et réglementaires applicables à la date de sa conclusion, y compris en matière fiscale et sociale.</w:t>
      </w:r>
    </w:p>
    <w:p>
      <w:pPr>
        <w:pStyle w:val="Normal"/>
        <w:jc w:val="both"/>
        <w:rPr>
          <w:rFonts w:cs="Arial"/>
          <w:sz w:val="22"/>
          <w:szCs w:val="22"/>
        </w:rPr>
      </w:pPr>
      <w:r>
        <w:rPr>
          <w:rFonts w:cs="Arial"/>
          <w:sz w:val="22"/>
          <w:szCs w:val="22"/>
        </w:rPr>
      </w:r>
    </w:p>
    <w:p>
      <w:pPr>
        <w:pStyle w:val="Normal"/>
        <w:jc w:val="both"/>
        <w:rPr/>
      </w:pPr>
      <w:r>
        <w:rPr>
          <w:rFonts w:cs="Arial"/>
          <w:sz w:val="22"/>
          <w:szCs w:val="22"/>
        </w:rPr>
        <w:t>En cas de modifications conventionnelles, législatives ou réglementaires impactant cet environnement juridique, fiscal et social, les règles d’ordre public s’appliqueront au présent accord conformément aux nouvelles dispositions conventionnelles, légales et réglementaires sans que les parties signataires aient à le renégocier.</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Toutefois, si ces nouvelles règles sont de nature à modifier de manière significative les dispositions du présent accord et notamment l’équilibre économique ayant présidé à sa conclusion, les parties signataires se rencontreront en vue d’en tirer les conséquences et de procéder aux aménagements qui pourraient s’avérer nécessaires. </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Il en sera de même en cas de modifications qui ne seraient pas d’ordre public.</w:t>
      </w:r>
    </w:p>
    <w:p>
      <w:pPr>
        <w:pStyle w:val="Normal"/>
        <w:rPr>
          <w:rFonts w:cs="Arial"/>
          <w:sz w:val="22"/>
          <w:szCs w:val="22"/>
        </w:rPr>
      </w:pPr>
      <w:r>
        <w:rPr>
          <w:rFonts w:cs="Arial"/>
          <w:sz w:val="22"/>
          <w:szCs w:val="22"/>
        </w:rPr>
      </w:r>
    </w:p>
    <w:p>
      <w:pPr>
        <w:pStyle w:val="Normal"/>
        <w:rPr>
          <w:sz w:val="22"/>
          <w:szCs w:val="22"/>
        </w:rPr>
      </w:pPr>
      <w:r>
        <w:rPr>
          <w:sz w:val="22"/>
          <w:szCs w:val="22"/>
        </w:rPr>
      </w:r>
    </w:p>
    <w:p>
      <w:pPr>
        <w:pStyle w:val="Normal"/>
        <w:rPr>
          <w:b/>
          <w:b/>
          <w:caps/>
          <w:sz w:val="22"/>
          <w:szCs w:val="22"/>
        </w:rPr>
      </w:pPr>
      <w:r>
        <w:rPr>
          <w:b/>
          <w:caps/>
          <w:sz w:val="22"/>
          <w:szCs w:val="22"/>
          <w:u w:val="single"/>
        </w:rPr>
        <w:t>Article 4</w:t>
      </w:r>
      <w:r>
        <w:rPr>
          <w:b/>
          <w:caps/>
          <w:sz w:val="22"/>
          <w:szCs w:val="22"/>
        </w:rPr>
        <w:t xml:space="preserve"> – REVISION - DENONCIATION</w:t>
      </w:r>
    </w:p>
    <w:p>
      <w:pPr>
        <w:pStyle w:val="Normal"/>
        <w:rPr>
          <w:b/>
          <w:b/>
          <w:caps/>
          <w:sz w:val="22"/>
          <w:szCs w:val="22"/>
        </w:rPr>
      </w:pPr>
      <w:r>
        <w:rPr>
          <w:b/>
          <w:caps/>
          <w:sz w:val="22"/>
          <w:szCs w:val="22"/>
        </w:rPr>
      </w:r>
    </w:p>
    <w:p>
      <w:pPr>
        <w:pStyle w:val="Normal"/>
        <w:spacing w:before="0" w:after="120"/>
        <w:rPr>
          <w:i/>
          <w:i/>
          <w:iCs/>
          <w:sz w:val="22"/>
          <w:szCs w:val="22"/>
        </w:rPr>
      </w:pPr>
      <w:r>
        <w:rPr>
          <w:b/>
          <w:i/>
          <w:iCs/>
          <w:sz w:val="22"/>
          <w:szCs w:val="22"/>
        </w:rPr>
        <w:t>4.1 - Révision :</w:t>
      </w:r>
    </w:p>
    <w:p>
      <w:pPr>
        <w:pStyle w:val="Normal"/>
        <w:jc w:val="both"/>
        <w:rPr>
          <w:sz w:val="22"/>
          <w:szCs w:val="22"/>
        </w:rPr>
      </w:pPr>
      <w:r>
        <w:rPr>
          <w:sz w:val="22"/>
          <w:szCs w:val="22"/>
        </w:rPr>
        <w:t>La demande de révision du présent accord à l’initiative d’une de ses parties devra être accompagnée des propositions de modification.</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Toute modification donnera lieu à l’établissement d’un avenant au présent accord.</w:t>
      </w:r>
    </w:p>
    <w:p>
      <w:pPr>
        <w:pStyle w:val="Normal"/>
        <w:jc w:val="both"/>
        <w:rPr>
          <w:rFonts w:cs="Arial"/>
          <w:sz w:val="22"/>
          <w:szCs w:val="22"/>
        </w:rPr>
      </w:pPr>
      <w:r>
        <w:rPr>
          <w:rFonts w:cs="Arial"/>
          <w:sz w:val="22"/>
          <w:szCs w:val="22"/>
        </w:rPr>
      </w:r>
    </w:p>
    <w:p>
      <w:pPr>
        <w:pStyle w:val="Normal"/>
        <w:spacing w:before="0" w:after="120"/>
        <w:rPr>
          <w:i/>
          <w:i/>
          <w:iCs/>
          <w:sz w:val="22"/>
          <w:szCs w:val="22"/>
        </w:rPr>
      </w:pPr>
      <w:r>
        <w:rPr>
          <w:b/>
          <w:i/>
          <w:iCs/>
          <w:sz w:val="22"/>
          <w:szCs w:val="22"/>
        </w:rPr>
        <w:t>4.2 - Dénonciation :</w:t>
      </w:r>
    </w:p>
    <w:p>
      <w:pPr>
        <w:pStyle w:val="Normal"/>
        <w:jc w:val="both"/>
        <w:rPr/>
      </w:pPr>
      <w:r>
        <w:rPr>
          <w:rFonts w:cs="Arial"/>
          <w:sz w:val="22"/>
          <w:szCs w:val="22"/>
        </w:rPr>
        <w:t>Le présent accord pourra être dénoncé conformément aux dispositions légales en vigueur.</w:t>
      </w:r>
    </w:p>
    <w:p>
      <w:pPr>
        <w:pStyle w:val="Normal"/>
        <w:jc w:val="both"/>
        <w:rPr>
          <w:rFonts w:cs="Arial"/>
          <w:sz w:val="22"/>
          <w:szCs w:val="22"/>
        </w:rPr>
      </w:pPr>
      <w:r>
        <w:rPr>
          <w:rFonts w:cs="Arial"/>
          <w:sz w:val="22"/>
          <w:szCs w:val="22"/>
        </w:rPr>
      </w:r>
    </w:p>
    <w:p>
      <w:pPr>
        <w:pStyle w:val="Normal"/>
        <w:jc w:val="both"/>
        <w:rPr>
          <w:rFonts w:cs="Arial"/>
          <w:sz w:val="22"/>
          <w:szCs w:val="22"/>
        </w:rPr>
      </w:pPr>
      <w:r>
        <w:rPr>
          <w:sz w:val="22"/>
          <w:szCs w:val="22"/>
        </w:rPr>
        <w:t xml:space="preserve">Le présent accord et l’accord de groupe conclu le 3 octobre 2017, constituent un ensemble indivisible ; </w:t>
      </w:r>
      <w:r>
        <w:rPr>
          <w:rFonts w:cs="Arial"/>
          <w:sz w:val="22"/>
          <w:szCs w:val="22"/>
        </w:rPr>
        <w:t>la dénonciation de l’accord de groupe entraînera la dénonciation du présent accord.</w:t>
      </w:r>
    </w:p>
    <w:p>
      <w:pPr>
        <w:pStyle w:val="Normal"/>
        <w:rPr>
          <w:rFonts w:cs="Arial"/>
          <w:sz w:val="22"/>
          <w:szCs w:val="22"/>
        </w:rPr>
      </w:pPr>
      <w:r>
        <w:rPr>
          <w:rFonts w:cs="Arial"/>
          <w:sz w:val="22"/>
          <w:szCs w:val="22"/>
        </w:rPr>
      </w:r>
    </w:p>
    <w:p>
      <w:pPr>
        <w:pStyle w:val="Normal"/>
        <w:jc w:val="both"/>
        <w:rPr/>
      </w:pPr>
      <w:r>
        <w:rPr>
          <w:sz w:val="22"/>
          <w:szCs w:val="22"/>
        </w:rPr>
        <w:t>En cas de dénonciation, une négociation sera ouverte dans les 3 mois entre la Direction de l'entreprise et ses organisations syndicales représentatives en vue d'en tirer les conséquences.</w:t>
      </w:r>
    </w:p>
    <w:p>
      <w:pPr>
        <w:pStyle w:val="Normal"/>
        <w:rPr>
          <w:sz w:val="22"/>
          <w:szCs w:val="22"/>
        </w:rPr>
      </w:pPr>
      <w:r>
        <w:rPr>
          <w:sz w:val="22"/>
          <w:szCs w:val="22"/>
        </w:rPr>
      </w:r>
    </w:p>
    <w:p>
      <w:pPr>
        <w:pStyle w:val="Normal"/>
        <w:rPr>
          <w:sz w:val="22"/>
          <w:szCs w:val="22"/>
        </w:rPr>
      </w:pPr>
      <w:r>
        <w:rPr>
          <w:sz w:val="22"/>
          <w:szCs w:val="22"/>
        </w:rPr>
      </w:r>
    </w:p>
    <w:p>
      <w:pPr>
        <w:pStyle w:val="Normal"/>
        <w:rPr>
          <w:b/>
          <w:b/>
          <w:caps/>
          <w:sz w:val="22"/>
          <w:szCs w:val="22"/>
          <w:u w:val="single"/>
        </w:rPr>
      </w:pPr>
      <w:r>
        <w:rPr>
          <w:b/>
          <w:caps/>
          <w:sz w:val="22"/>
          <w:szCs w:val="22"/>
          <w:u w:val="single"/>
        </w:rPr>
        <w:t>Article 5</w:t>
      </w:r>
      <w:r>
        <w:rPr>
          <w:b/>
          <w:caps/>
          <w:sz w:val="22"/>
          <w:szCs w:val="22"/>
        </w:rPr>
        <w:t xml:space="preserve"> – EntRée en vigueUr - DATE D’EFFET - DUREE</w:t>
      </w:r>
    </w:p>
    <w:p>
      <w:pPr>
        <w:pStyle w:val="Normal"/>
        <w:rPr>
          <w:b/>
          <w:b/>
          <w:caps/>
          <w:sz w:val="22"/>
          <w:szCs w:val="22"/>
          <w:u w:val="single"/>
        </w:rPr>
      </w:pPr>
      <w:r>
        <w:rPr>
          <w:b/>
          <w:caps/>
          <w:sz w:val="22"/>
          <w:szCs w:val="22"/>
          <w:u w:val="single"/>
        </w:rPr>
      </w:r>
    </w:p>
    <w:p>
      <w:pPr>
        <w:pStyle w:val="Normal"/>
        <w:spacing w:before="0" w:after="120"/>
        <w:rPr>
          <w:i/>
          <w:i/>
          <w:iCs/>
          <w:sz w:val="22"/>
          <w:szCs w:val="22"/>
        </w:rPr>
      </w:pPr>
      <w:r>
        <w:rPr>
          <w:b/>
          <w:i/>
          <w:iCs/>
          <w:sz w:val="22"/>
          <w:szCs w:val="22"/>
        </w:rPr>
        <w:t>5.1 - Entrée en vigueur :</w:t>
      </w:r>
    </w:p>
    <w:p>
      <w:pPr>
        <w:pStyle w:val="Normal"/>
        <w:jc w:val="both"/>
        <w:rPr>
          <w:rFonts w:cs="Arial"/>
          <w:sz w:val="22"/>
          <w:szCs w:val="22"/>
        </w:rPr>
      </w:pPr>
      <w:r>
        <w:rPr>
          <w:rFonts w:cs="Arial"/>
          <w:sz w:val="22"/>
          <w:szCs w:val="22"/>
        </w:rPr>
        <w:t>Le présent accord a été soumis à la consultation du Comité d’entreprise.</w:t>
      </w:r>
    </w:p>
    <w:p>
      <w:pPr>
        <w:pStyle w:val="Normal"/>
        <w:jc w:val="both"/>
        <w:rPr>
          <w:rFonts w:cs="Arial"/>
          <w:sz w:val="22"/>
          <w:szCs w:val="22"/>
        </w:rPr>
      </w:pPr>
      <w:r>
        <w:rPr>
          <w:rFonts w:cs="Arial"/>
          <w:sz w:val="22"/>
          <w:szCs w:val="22"/>
        </w:rPr>
      </w:r>
    </w:p>
    <w:p>
      <w:pPr>
        <w:pStyle w:val="Normal"/>
        <w:jc w:val="both"/>
        <w:rPr>
          <w:rFonts w:cs="Arial"/>
          <w:sz w:val="22"/>
          <w:szCs w:val="22"/>
        </w:rPr>
      </w:pPr>
      <w:r>
        <w:rPr>
          <w:rFonts w:eastAsia="MS Mincho;ＭＳ 明朝" w:cs="Arial"/>
          <w:sz w:val="22"/>
          <w:szCs w:val="22"/>
        </w:rPr>
        <w:t>L’entrée en vigueur du présent accord est subordonnée, conformément aux dispositions de l'article L. 2232-12 du Code du travail, à sa signature par une ou plusieurs organisations syndicales représentatives ayant recueilli au moins 30 % des suffrages exprimés au premier tour des dernières élections des titulaires au Comité d’entreprise ; à défaut d’opposition, et sous réserve d'une telle signature, il entrera en vigueur le 9</w:t>
      </w:r>
      <w:r>
        <w:rPr>
          <w:rFonts w:eastAsia="MS Mincho;ＭＳ 明朝" w:cs="Arial"/>
          <w:sz w:val="22"/>
          <w:szCs w:val="22"/>
          <w:vertAlign w:val="superscript"/>
        </w:rPr>
        <w:t>ème</w:t>
      </w:r>
      <w:r>
        <w:rPr>
          <w:rFonts w:eastAsia="MS Mincho;ＭＳ 明朝" w:cs="Arial"/>
          <w:sz w:val="22"/>
          <w:szCs w:val="22"/>
        </w:rPr>
        <w:t xml:space="preserve"> jour suivant la date de sa dernière notification aux organisations syndicales représentatives.</w:t>
      </w:r>
    </w:p>
    <w:p>
      <w:pPr>
        <w:pStyle w:val="Normal"/>
        <w:rPr>
          <w:rFonts w:cs="Arial"/>
          <w:sz w:val="22"/>
          <w:szCs w:val="22"/>
        </w:rPr>
      </w:pPr>
      <w:r>
        <w:rPr>
          <w:rFonts w:cs="Arial"/>
          <w:sz w:val="22"/>
          <w:szCs w:val="22"/>
        </w:rPr>
      </w:r>
    </w:p>
    <w:p>
      <w:pPr>
        <w:pStyle w:val="Normal"/>
        <w:spacing w:before="0" w:after="120"/>
        <w:rPr>
          <w:b/>
          <w:b/>
          <w:i/>
          <w:i/>
          <w:iCs/>
          <w:sz w:val="22"/>
          <w:szCs w:val="22"/>
        </w:rPr>
      </w:pPr>
      <w:r>
        <w:rPr>
          <w:b/>
          <w:i/>
          <w:iCs/>
          <w:sz w:val="22"/>
          <w:szCs w:val="22"/>
        </w:rPr>
        <w:t>5.2 - Durée :</w:t>
      </w:r>
    </w:p>
    <w:p>
      <w:pPr>
        <w:pStyle w:val="Normal"/>
        <w:tabs>
          <w:tab w:val="left" w:pos="9923" w:leader="none"/>
        </w:tabs>
        <w:ind w:right="-58" w:hanging="0"/>
        <w:jc w:val="both"/>
        <w:rPr>
          <w:sz w:val="22"/>
          <w:szCs w:val="22"/>
        </w:rPr>
      </w:pPr>
      <w:r>
        <w:rPr>
          <w:sz w:val="22"/>
          <w:szCs w:val="22"/>
        </w:rPr>
        <w:t xml:space="preserve">Le présent accord qui prendra effet à compter du </w:t>
      </w:r>
      <w:r>
        <w:rPr>
          <w:bCs/>
          <w:sz w:val="22"/>
          <w:szCs w:val="22"/>
        </w:rPr>
        <w:t>1</w:t>
      </w:r>
      <w:r>
        <w:rPr>
          <w:bCs/>
          <w:sz w:val="22"/>
          <w:szCs w:val="22"/>
          <w:vertAlign w:val="superscript"/>
        </w:rPr>
        <w:t>er</w:t>
      </w:r>
      <w:r>
        <w:rPr>
          <w:bCs/>
          <w:sz w:val="22"/>
          <w:szCs w:val="22"/>
        </w:rPr>
        <w:t xml:space="preserve"> janvier 2018</w:t>
      </w:r>
      <w:r>
        <w:rPr>
          <w:sz w:val="22"/>
          <w:szCs w:val="22"/>
        </w:rPr>
        <w:t xml:space="preserve">, est conclu pour une durée déterminée d’un an </w:t>
      </w:r>
      <w:r>
        <w:rPr>
          <w:rFonts w:cs="Arial"/>
          <w:sz w:val="22"/>
          <w:szCs w:val="22"/>
        </w:rPr>
        <w:t xml:space="preserve">et </w:t>
      </w:r>
      <w:r>
        <w:rPr>
          <w:rFonts w:cs="Arial"/>
          <w:color w:val="000000"/>
          <w:sz w:val="22"/>
          <w:szCs w:val="22"/>
        </w:rPr>
        <w:t xml:space="preserve">cessera de plein droit de s’appliquer au 31 décembre 2018. </w:t>
      </w:r>
    </w:p>
    <w:p>
      <w:pPr>
        <w:pStyle w:val="Normal"/>
        <w:ind w:left="709" w:hanging="709"/>
        <w:rPr>
          <w:sz w:val="22"/>
          <w:szCs w:val="22"/>
        </w:rPr>
      </w:pPr>
      <w:r>
        <w:rPr>
          <w:sz w:val="22"/>
          <w:szCs w:val="22"/>
        </w:rPr>
      </w:r>
    </w:p>
    <w:p>
      <w:pPr>
        <w:pStyle w:val="Normal"/>
        <w:ind w:left="709" w:hanging="709"/>
        <w:rPr>
          <w:sz w:val="22"/>
          <w:szCs w:val="22"/>
        </w:rPr>
      </w:pPr>
      <w:r>
        <w:rPr>
          <w:sz w:val="22"/>
          <w:szCs w:val="22"/>
        </w:rPr>
      </w:r>
    </w:p>
    <w:p>
      <w:pPr>
        <w:pStyle w:val="Normal"/>
        <w:rPr/>
      </w:pPr>
      <w:r>
        <w:rPr>
          <w:b/>
          <w:caps/>
          <w:sz w:val="22"/>
          <w:szCs w:val="22"/>
          <w:u w:val="single"/>
        </w:rPr>
        <w:t>ARTICLE 6</w:t>
      </w:r>
      <w:r>
        <w:rPr>
          <w:b/>
          <w:caps/>
          <w:sz w:val="22"/>
          <w:szCs w:val="22"/>
        </w:rPr>
        <w:t xml:space="preserve"> – PUBLICITE - DEPOT</w:t>
      </w:r>
    </w:p>
    <w:p>
      <w:pPr>
        <w:pStyle w:val="Normal"/>
        <w:rPr>
          <w:b/>
          <w:b/>
          <w:caps/>
          <w:sz w:val="22"/>
          <w:szCs w:val="22"/>
        </w:rPr>
      </w:pPr>
      <w:r>
        <w:rPr>
          <w:b/>
          <w:caps/>
          <w:sz w:val="22"/>
          <w:szCs w:val="22"/>
        </w:rPr>
      </w:r>
    </w:p>
    <w:p>
      <w:pPr>
        <w:pStyle w:val="Header"/>
        <w:tabs>
          <w:tab w:val="center" w:pos="4536" w:leader="none"/>
        </w:tabs>
        <w:jc w:val="both"/>
        <w:rPr>
          <w:rFonts w:cs="Arial"/>
          <w:sz w:val="22"/>
          <w:szCs w:val="22"/>
        </w:rPr>
      </w:pPr>
      <w:r>
        <w:rPr>
          <w:rFonts w:cs="Arial"/>
          <w:sz w:val="22"/>
          <w:szCs w:val="22"/>
        </w:rPr>
        <w:t>Le présent accord sera déposé, dans le respect des dispositions légales et réglementaires,</w:t>
      </w:r>
      <w:r>
        <w:rPr>
          <w:rFonts w:cs="Arial"/>
          <w:bCs/>
          <w:sz w:val="22"/>
          <w:szCs w:val="22"/>
        </w:rPr>
        <w:t xml:space="preserve"> </w:t>
      </w:r>
      <w:r>
        <w:rPr>
          <w:rFonts w:cs="Arial"/>
          <w:sz w:val="22"/>
          <w:szCs w:val="22"/>
        </w:rPr>
        <w:t>en deux exemplaires - une version papier sous forme d'un exemplaire original et une version électronique - auprès de la Direction Régionale des Entreprises, de la Concurrence, de la Consommation, du Travail et de l’Emploi (DIRECCTE), et en un exemplaire auprès du Greffe du Conseil de Prud’hommes territorialement compétents.</w:t>
      </w:r>
    </w:p>
    <w:p>
      <w:pPr>
        <w:pStyle w:val="Normal"/>
        <w:jc w:val="both"/>
        <w:rPr>
          <w:rFonts w:cs="Arial"/>
          <w:sz w:val="22"/>
          <w:szCs w:val="22"/>
        </w:rPr>
      </w:pPr>
      <w:r>
        <w:rPr>
          <w:rFonts w:cs="Arial"/>
          <w:sz w:val="22"/>
          <w:szCs w:val="22"/>
        </w:rPr>
        <w:t>Conformément aux dispositions de l’article L. 2231-5-1 du Code du travail, le présent accord sera rendu public et versé dans une base de données nationale.</w:t>
      </w:r>
    </w:p>
    <w:p>
      <w:pPr>
        <w:pStyle w:val="Normal"/>
        <w:tabs>
          <w:tab w:val="left" w:pos="5940" w:leader="none"/>
        </w:tabs>
        <w:jc w:val="both"/>
        <w:rPr>
          <w:rFonts w:cs="Arial"/>
          <w:sz w:val="22"/>
          <w:szCs w:val="22"/>
        </w:rPr>
      </w:pPr>
      <w:r>
        <w:rPr>
          <w:rFonts w:cs="Arial"/>
          <w:sz w:val="22"/>
          <w:szCs w:val="22"/>
        </w:rPr>
      </w:r>
    </w:p>
    <w:p>
      <w:pPr>
        <w:pStyle w:val="Header"/>
        <w:tabs>
          <w:tab w:val="center" w:pos="4536" w:leader="none"/>
        </w:tabs>
        <w:jc w:val="both"/>
        <w:rPr>
          <w:sz w:val="22"/>
          <w:szCs w:val="22"/>
        </w:rPr>
      </w:pPr>
      <w:r>
        <w:rPr>
          <w:sz w:val="22"/>
          <w:szCs w:val="22"/>
        </w:rPr>
        <w:t>Un exemplaire sera remis à chacune des parties signataires. Une copie sera remise aux organisations syndicales représentatives non signataires.</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 xml:space="preserve">Fait à Paris, le </w:t>
      </w:r>
      <w:r>
        <w:rPr>
          <w:sz w:val="22"/>
          <w:szCs w:val="22"/>
        </w:rPr>
        <w:t>30</w:t>
      </w:r>
      <w:r>
        <w:rPr>
          <w:color w:val="FF0000"/>
          <w:sz w:val="22"/>
          <w:szCs w:val="22"/>
        </w:rPr>
        <w:t xml:space="preserve"> </w:t>
      </w:r>
      <w:r>
        <w:rPr>
          <w:rFonts w:cs="Arial"/>
          <w:sz w:val="22"/>
          <w:szCs w:val="22"/>
        </w:rPr>
        <w:t>novembre 2017 en 6 exemplaires originaux</w:t>
      </w:r>
    </w:p>
    <w:p>
      <w:pPr>
        <w:pStyle w:val="Normal"/>
        <w:tabs>
          <w:tab w:val="left" w:pos="5940" w:leader="none"/>
        </w:tabs>
        <w:jc w:val="both"/>
        <w:rPr>
          <w:rFonts w:cs="Arial"/>
          <w:sz w:val="22"/>
          <w:szCs w:val="22"/>
        </w:rPr>
      </w:pPr>
      <w:r>
        <w:rPr>
          <w:rFonts w:cs="Arial"/>
          <w:sz w:val="22"/>
          <w:szCs w:val="22"/>
        </w:rPr>
      </w:r>
    </w:p>
    <w:tbl>
      <w:tblPr>
        <w:tblW w:w="9220" w:type="dxa"/>
        <w:jc w:val="left"/>
        <w:tblInd w:w="-5" w:type="dxa"/>
        <w:tblBorders>
          <w:bottom w:val="single" w:sz="4" w:space="0" w:color="000000"/>
          <w:insideH w:val="single" w:sz="4" w:space="0" w:color="000000"/>
        </w:tblBorders>
        <w:tblCellMar>
          <w:top w:w="0" w:type="dxa"/>
          <w:left w:w="70" w:type="dxa"/>
          <w:bottom w:w="0" w:type="dxa"/>
          <w:right w:w="70" w:type="dxa"/>
        </w:tblCellMar>
      </w:tblPr>
      <w:tblGrid>
        <w:gridCol w:w="3331"/>
        <w:gridCol w:w="2809"/>
        <w:gridCol w:w="3080"/>
      </w:tblGrid>
      <w:tr>
        <w:trPr/>
        <w:tc>
          <w:tcPr>
            <w:tcW w:w="3331" w:type="dxa"/>
            <w:tcBorders>
              <w:bottom w:val="single" w:sz="4" w:space="0" w:color="000000"/>
              <w:insideH w:val="single" w:sz="4" w:space="0" w:color="000000"/>
            </w:tcBorders>
            <w:shd w:fill="auto" w:val="clear"/>
          </w:tcPr>
          <w:p>
            <w:pPr>
              <w:pStyle w:val="Normal"/>
              <w:snapToGrid w:val="false"/>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r>
          </w:p>
          <w:p>
            <w:pPr>
              <w:pStyle w:val="Normal"/>
              <w:jc w:val="center"/>
              <w:rPr>
                <w:rFonts w:cs="Arial"/>
                <w:sz w:val="22"/>
                <w:szCs w:val="22"/>
              </w:rPr>
            </w:pPr>
            <w:r>
              <w:rPr>
                <w:rFonts w:cs="Arial"/>
                <w:sz w:val="22"/>
                <w:szCs w:val="22"/>
              </w:rPr>
            </w:r>
          </w:p>
        </w:tc>
        <w:tc>
          <w:tcPr>
            <w:tcW w:w="28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jc w:val="center"/>
              <w:rPr>
                <w:rFonts w:cs="Arial"/>
                <w:b/>
                <w:b/>
                <w:bCs/>
                <w:sz w:val="22"/>
                <w:szCs w:val="22"/>
              </w:rPr>
            </w:pPr>
            <w:r>
              <w:rPr>
                <w:rFonts w:cs="Arial"/>
                <w:b/>
                <w:bCs/>
                <w:sz w:val="22"/>
                <w:szCs w:val="22"/>
              </w:rPr>
            </w:r>
          </w:p>
          <w:p>
            <w:pPr>
              <w:pStyle w:val="Normal"/>
              <w:jc w:val="center"/>
              <w:rPr/>
            </w:pPr>
            <w:r>
              <w:rPr>
                <w:rFonts w:cs="Arial"/>
                <w:b/>
                <w:bCs/>
                <w:sz w:val="22"/>
                <w:szCs w:val="22"/>
              </w:rPr>
              <w:t>Noms des signataires</w:t>
            </w:r>
          </w:p>
          <w:p>
            <w:pPr>
              <w:pStyle w:val="Normal"/>
              <w:jc w:val="center"/>
              <w:rPr>
                <w:rFonts w:cs="Arial"/>
                <w:b/>
                <w:b/>
                <w:bCs/>
                <w:sz w:val="22"/>
                <w:szCs w:val="22"/>
              </w:rPr>
            </w:pPr>
            <w:r>
              <w:rPr>
                <w:rFonts w:cs="Arial"/>
                <w:b/>
                <w:bCs/>
                <w:sz w:val="22"/>
                <w:szCs w:val="22"/>
              </w:rPr>
            </w:r>
          </w:p>
        </w:tc>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jc w:val="center"/>
              <w:rPr>
                <w:rFonts w:cs="Arial"/>
                <w:b/>
                <w:b/>
                <w:bCs/>
                <w:sz w:val="22"/>
                <w:szCs w:val="22"/>
              </w:rPr>
            </w:pPr>
            <w:r>
              <w:rPr>
                <w:rFonts w:cs="Arial"/>
                <w:b/>
                <w:bCs/>
                <w:sz w:val="22"/>
                <w:szCs w:val="22"/>
              </w:rPr>
            </w:r>
          </w:p>
          <w:p>
            <w:pPr>
              <w:pStyle w:val="Normal"/>
              <w:jc w:val="center"/>
              <w:rPr>
                <w:rFonts w:cs="Arial"/>
                <w:b/>
                <w:b/>
                <w:bCs/>
                <w:sz w:val="22"/>
                <w:szCs w:val="22"/>
              </w:rPr>
            </w:pPr>
            <w:r>
              <w:rPr>
                <w:rFonts w:cs="Arial"/>
                <w:b/>
                <w:bCs/>
                <w:sz w:val="22"/>
                <w:szCs w:val="22"/>
              </w:rPr>
              <w:t>Signatures</w:t>
            </w:r>
          </w:p>
        </w:tc>
      </w:tr>
      <w:tr>
        <w:trPr/>
        <w:tc>
          <w:tcPr>
            <w:tcW w:w="333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b/>
                <w:b/>
                <w:bCs/>
                <w:sz w:val="22"/>
                <w:szCs w:val="22"/>
              </w:rPr>
            </w:pPr>
            <w:r>
              <w:rPr>
                <w:rFonts w:cs="Arial"/>
                <w:b/>
                <w:bCs/>
                <w:sz w:val="22"/>
                <w:szCs w:val="22"/>
              </w:rPr>
            </w:r>
          </w:p>
          <w:p>
            <w:pPr>
              <w:pStyle w:val="Normal"/>
              <w:rPr>
                <w:rFonts w:cs="Arial"/>
                <w:sz w:val="22"/>
                <w:szCs w:val="22"/>
              </w:rPr>
            </w:pPr>
            <w:r>
              <w:rPr>
                <w:rFonts w:cs="Arial"/>
                <w:sz w:val="22"/>
                <w:szCs w:val="22"/>
              </w:rPr>
              <w:t xml:space="preserve">Pour BNP Paribas </w:t>
            </w:r>
          </w:p>
          <w:p>
            <w:pPr>
              <w:pStyle w:val="Normal"/>
              <w:rPr>
                <w:rFonts w:cs="Arial"/>
                <w:sz w:val="22"/>
                <w:szCs w:val="22"/>
              </w:rPr>
            </w:pPr>
            <w:r>
              <w:rPr>
                <w:rFonts w:cs="Arial"/>
                <w:sz w:val="22"/>
                <w:szCs w:val="22"/>
              </w:rPr>
              <w:t>Securities Services</w:t>
            </w:r>
          </w:p>
          <w:p>
            <w:pPr>
              <w:pStyle w:val="Normal"/>
              <w:rPr>
                <w:rFonts w:cs="Arial"/>
                <w:sz w:val="22"/>
                <w:szCs w:val="22"/>
              </w:rPr>
            </w:pPr>
            <w:r>
              <w:rPr>
                <w:rFonts w:cs="Arial"/>
                <w:sz w:val="22"/>
                <w:szCs w:val="22"/>
              </w:rPr>
            </w:r>
          </w:p>
        </w:tc>
        <w:tc>
          <w:tcPr>
            <w:tcW w:w="28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tc>
      </w:tr>
      <w:tr>
        <w:trPr/>
        <w:tc>
          <w:tcPr>
            <w:tcW w:w="333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t>Pour CFDT</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28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tc>
      </w:tr>
      <w:tr>
        <w:trPr/>
        <w:tc>
          <w:tcPr>
            <w:tcW w:w="333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t>Pour CFTC</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28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tc>
      </w:tr>
      <w:tr>
        <w:trPr/>
        <w:tc>
          <w:tcPr>
            <w:tcW w:w="333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p>
            <w:pPr>
              <w:pStyle w:val="Normal"/>
              <w:rPr>
                <w:rFonts w:cs="Arial"/>
                <w:sz w:val="22"/>
                <w:szCs w:val="22"/>
              </w:rPr>
            </w:pPr>
            <w:r>
              <w:rPr>
                <w:rFonts w:cs="Arial"/>
                <w:sz w:val="22"/>
                <w:szCs w:val="22"/>
              </w:rPr>
              <w:t>Pour SNB-CFE/CGC</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2809"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tc>
        <w:tc>
          <w:tcPr>
            <w:tcW w:w="3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rPr>
                <w:rFonts w:cs="Arial"/>
                <w:sz w:val="22"/>
                <w:szCs w:val="22"/>
              </w:rPr>
            </w:pPr>
            <w:r>
              <w:rPr>
                <w:rFonts w:cs="Arial"/>
                <w:sz w:val="22"/>
                <w:szCs w:val="22"/>
              </w:rPr>
            </w:r>
          </w:p>
        </w:tc>
      </w:tr>
    </w:tbl>
    <w:p>
      <w:pPr>
        <w:pStyle w:val="Normal"/>
        <w:rPr>
          <w:rFonts w:cs="Arial"/>
          <w:sz w:val="22"/>
          <w:szCs w:val="22"/>
        </w:rPr>
      </w:pPr>
      <w:r>
        <w:rPr>
          <w:rFonts w:cs="Arial"/>
          <w:sz w:val="22"/>
          <w:szCs w:val="22"/>
        </w:rPr>
      </w:r>
    </w:p>
    <w:p>
      <w:pPr>
        <w:pStyle w:val="Normal"/>
        <w:jc w:val="both"/>
        <w:rPr>
          <w:rFonts w:cs="Arial"/>
          <w:caps/>
          <w:sz w:val="22"/>
          <w:szCs w:val="22"/>
        </w:rPr>
      </w:pPr>
      <w:r>
        <w:rPr>
          <w:rFonts w:cs="Arial"/>
          <w:caps/>
          <w:sz w:val="22"/>
          <w:szCs w:val="22"/>
        </w:rPr>
      </w:r>
    </w:p>
    <w:p>
      <w:pPr>
        <w:pStyle w:val="Normal"/>
        <w:jc w:val="center"/>
        <w:rPr>
          <w:b/>
          <w:b/>
          <w:caps/>
          <w:sz w:val="24"/>
          <w:szCs w:val="24"/>
        </w:rPr>
      </w:pPr>
      <w:r>
        <w:rPr>
          <w:b/>
          <w:caps/>
          <w:sz w:val="24"/>
          <w:szCs w:val="24"/>
        </w:rPr>
      </w:r>
    </w:p>
    <w:sectPr>
      <w:headerReference w:type="default" r:id="rId2"/>
      <w:headerReference w:type="first" r:id="rId3"/>
      <w:footerReference w:type="default" r:id="rId4"/>
      <w:footerReference w:type="first" r:id="rId5"/>
      <w:type w:val="nextPage"/>
      <w:pgSz w:w="11906" w:h="16838"/>
      <w:pgMar w:left="1531" w:right="1247" w:header="720" w:top="1247" w:footer="720" w:bottom="1247"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Arial Narrow">
    <w:charset w:val="00"/>
    <w:family w:val="swiss"/>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 w:name="HelveticaNeue-Condensed">
    <w:charset w:val="00"/>
    <w:family w:val="swiss"/>
    <w:pitch w:val="default"/>
  </w:font>
  <w:font w:name="Tasse-RegularWide">
    <w:charset w:val="00"/>
    <w:family w:val="swiss"/>
    <w:pitch w:val="default"/>
  </w:font>
  <w:font w:name="Arial Gra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t xml:space="preserve">Page </w:t>
    </w:r>
    <w:r>
      <w:rPr/>
      <w:fldChar w:fldCharType="begin"/>
    </w:r>
    <w:r>
      <w:instrText> PAGE </w:instrText>
    </w:r>
    <w:r>
      <w:fldChar w:fldCharType="separate"/>
    </w:r>
    <w:r>
      <w:t>4</w:t>
    </w:r>
    <w:r>
      <w:fldChar w:fldCharType="end"/>
    </w:r>
    <w:r>
      <w:rPr/>
      <w:t xml:space="preserve"> sur </w:t>
    </w:r>
    <w:r>
      <w:rPr/>
      <w:fldChar w:fldCharType="begin"/>
    </w:r>
    <w:r>
      <w:instrText> NUMPAGES \* ARABIC </w:instrText>
    </w:r>
    <w:r>
      <w:fldChar w:fldCharType="separate"/>
    </w:r>
    <w:r>
      <w:t>4</w:t>
    </w:r>
    <w:r>
      <w:fldChar w:fldCharType="end"/>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46050"/>
                      </a:xfrm>
                      <a:prstGeom prst="rect"/>
                      <a:solidFill>
                        <a:srgbClr val="FFFFFF">
                          <a:alpha val="0"/>
                        </a:srgbClr>
                      </a:solidFill>
                    </wps:spPr>
                    <wps:txbx>
                      <w:txbxContent>
                        <w:p>
                          <w:pPr>
                            <w:pStyle w:val="Footer"/>
                            <w:rPr>
                              <w:rStyle w:val="PageNumber"/>
                            </w:rPr>
                          </w:pPr>
                          <w:r>
                            <w:rPr/>
                          </w:r>
                        </w:p>
                      </w:txbxContent>
                    </wps:txbx>
                    <wps:bodyPr anchor="t">
                      <a:noAutofit/>
                    </wps:bodyPr>
                  </wps:wsp>
                </a:graphicData>
              </a:graphic>
            </wp:anchor>
          </w:drawing>
        </mc:Choice>
        <mc:Fallback>
          <w:pict>
            <v:rect fillcolor="#FFFFFF" style="position:absolute;rotation:0;width:1.15pt;height:11.5pt;margin-top:0.05pt;mso-position-vertical-relative:text;margin-left:455.25pt;mso-position-horizontal:right;mso-position-horizontal-relative:margin">
              <v:fill opacity="0f"/>
              <v:textbox>
                <w:txbxContent>
                  <w:p>
                    <w:pPr>
                      <w:pStyle w:val="Footer"/>
                      <w:rPr>
                        <w:rStyle w:val="PageNumber"/>
                      </w:rPr>
                    </w:pPr>
                    <w:r>
                      <w:rPr/>
                    </w:r>
                  </w:p>
                </w:txbxContent>
              </v:textbox>
              <w10:wrap type="square" side="largest"/>
            </v:rect>
          </w:pict>
        </mc:Fallback>
      </mc:AlternateContent>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i/>
        <w:i/>
      </w:rPr>
    </w:pPr>
    <w:r>
      <w:rPr>
        <w:b/>
        <w:i/>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Article %1"/>
      <w:lvlJc w:val="left"/>
      <w:pPr>
        <w:ind w:left="432" w:hanging="432"/>
      </w:pPr>
      <w:rPr>
        <w:caps/>
        <w:u w:val="single"/>
        <w:rFonts w:ascii="Arial" w:hAnsi="Arial" w:cs="Arial"/>
      </w:rPr>
    </w:lvl>
    <w:lvl w:ilvl="1">
      <w:start w:val="1"/>
      <w:numFmt w:val="decimal"/>
      <w:lvlText w:val="%1.%2"/>
      <w:lvlJc w:val="left"/>
      <w:pPr>
        <w:tabs>
          <w:tab w:val="num" w:pos="718"/>
        </w:tabs>
        <w:ind w:left="718"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643"/>
        </w:tabs>
        <w:ind w:left="643" w:hanging="360"/>
      </w:pPr>
      <w:rPr>
        <w:rFonts w:ascii="Symbol" w:hAnsi="Symbol" w:cs="Symbol" w:hint="default"/>
        <w:rFonts w:cs="Symbol"/>
      </w:r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abstractNum>
  <w:abstractNum w:abstractNumId="4">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rFonts w:cs="Symbol"/>
      </w:rPr>
    </w:lvl>
    <w:lvl w:ilvl="2">
      <w:start w:val="0"/>
      <w:numFmt w:val="bullet"/>
      <w:lvlText w:val="-"/>
      <w:lvlJc w:val="left"/>
      <w:pPr>
        <w:tabs>
          <w:tab w:val="num" w:pos="2340"/>
        </w:tabs>
        <w:ind w:left="2340" w:hanging="360"/>
      </w:pPr>
      <w:rPr>
        <w:rFonts w:ascii="Arial" w:hAnsi="Arial" w:cs="Arial" w:hint="default"/>
        <w:sz w:val="22"/>
        <w:szCs w:val="22"/>
        <w:rFonts w:cs="Arial"/>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z w:val="20"/>
      <w:szCs w:val="20"/>
      <w:lang w:val="fr-FR" w:eastAsia="ja-JP" w:bidi="ar-SA"/>
    </w:rPr>
  </w:style>
  <w:style w:type="paragraph" w:styleId="Heading1">
    <w:name w:val="Heading 1"/>
    <w:basedOn w:val="Normal"/>
    <w:next w:val="Normal"/>
    <w:qFormat/>
    <w:pPr>
      <w:keepNext/>
      <w:numPr>
        <w:ilvl w:val="0"/>
        <w:numId w:val="1"/>
      </w:numPr>
      <w:spacing w:before="240" w:after="60"/>
      <w:outlineLvl w:val="0"/>
      <w:outlineLvl w:val="0"/>
    </w:pPr>
    <w:rPr>
      <w:rFonts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b/>
      <w:sz w:val="26"/>
    </w:rPr>
  </w:style>
  <w:style w:type="paragraph" w:styleId="Heading4">
    <w:name w:val="Heading 4"/>
    <w:basedOn w:val="Normal"/>
    <w:next w:val="Normal"/>
    <w:qFormat/>
    <w:pPr>
      <w:keepNext/>
      <w:numPr>
        <w:ilvl w:val="3"/>
        <w:numId w:val="1"/>
      </w:numPr>
      <w:spacing w:before="240" w:after="60"/>
      <w:outlineLvl w:val="3"/>
      <w:outlineLvl w:val="3"/>
    </w:pPr>
    <w:rPr>
      <w:rFonts w:ascii="Times New Roman" w:hAnsi="Times New Roman" w:cs="Times New Roman"/>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keepNext/>
      <w:numPr>
        <w:ilvl w:val="6"/>
        <w:numId w:val="1"/>
      </w:numPr>
      <w:jc w:val="both"/>
      <w:outlineLvl w:val="6"/>
      <w:outlineLvl w:val="6"/>
    </w:pPr>
    <w:rPr>
      <w:i/>
      <w:u w:val="single"/>
    </w:rPr>
  </w:style>
  <w:style w:type="paragraph" w:styleId="Heading8">
    <w:name w:val="Heading 8"/>
    <w:basedOn w:val="Normal"/>
    <w:next w:val="Normal"/>
    <w:qFormat/>
    <w:pPr>
      <w:keepNext/>
      <w:numPr>
        <w:ilvl w:val="7"/>
        <w:numId w:val="1"/>
      </w:numPr>
      <w:autoSpaceDE w:val="false"/>
      <w:jc w:val="both"/>
      <w:outlineLvl w:val="7"/>
      <w:outlineLvl w:val="7"/>
    </w:pPr>
    <w:rPr>
      <w:i/>
      <w:sz w:val="16"/>
      <w:u w:val="single"/>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cs="Times New Roman"/>
      <w:b/>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rFonts w:ascii="Symbol" w:hAnsi="Symbol" w:cs="Symbol"/>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color w:val="000000"/>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Narrow" w:hAnsi="Arial Narrow" w:eastAsia="Times New Roman" w:cs="Tahom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Times New Roman" w:cs="Aria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rFonts w:ascii="Arial" w:hAnsi="Arial" w:eastAsia="Times New Roman" w:cs="Arial"/>
      <w:sz w:val="22"/>
      <w:szCs w:val="22"/>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caps/>
      <w:u w:val="single"/>
    </w:rPr>
  </w:style>
  <w:style w:type="character" w:styleId="WW8Num16z1">
    <w:name w:val="WW8Num16z1"/>
    <w:qFormat/>
    <w:rPr/>
  </w:style>
  <w:style w:type="character" w:styleId="WW8Num17z0">
    <w:name w:val="WW8Num17z0"/>
    <w:qFormat/>
    <w:rPr>
      <w:rFonts w:ascii="Arial" w:hAnsi="Arial" w:eastAsia="Times New Roman" w:cs="Aria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position w:val="6"/>
      <w:sz w:val="16"/>
    </w:rPr>
  </w:style>
  <w:style w:type="character" w:styleId="A0">
    <w:name w:val="A0"/>
    <w:qFormat/>
    <w:rPr>
      <w:rFonts w:cs="HelveticaNeue-Condensed;HelveticaNeue-Condensed"/>
      <w:color w:val="000000"/>
      <w:sz w:val="18"/>
      <w:szCs w:val="18"/>
    </w:rPr>
  </w:style>
  <w:style w:type="character" w:styleId="A16">
    <w:name w:val="A16"/>
    <w:qFormat/>
    <w:rPr>
      <w:rFonts w:cs="HelveticaNeue-Condensed;HelveticaNeue-Condensed"/>
      <w:color w:val="000000"/>
      <w:sz w:val="10"/>
      <w:szCs w:val="10"/>
    </w:rPr>
  </w:style>
  <w:style w:type="character" w:styleId="EntteCar">
    <w:name w:val="En-tête Car"/>
    <w:qFormat/>
    <w:rPr>
      <w:rFonts w:ascii="Arial" w:hAnsi="Arial" w:cs="Arial"/>
      <w:lang w:eastAsia="ja-JP"/>
    </w:rPr>
  </w:style>
  <w:style w:type="character" w:styleId="Marquedecommentaire">
    <w:name w:val="Marque de commentaire"/>
    <w:qFormat/>
    <w:rPr>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epuces">
    <w:name w:val="Liste à puces"/>
    <w:basedOn w:val="Normal"/>
    <w:qFormat/>
    <w:pPr>
      <w:numPr>
        <w:ilvl w:val="0"/>
        <w:numId w:val="3"/>
      </w:numPr>
    </w:pPr>
    <w:rPr>
      <w:rFonts w:ascii="Times New Roman" w:hAnsi="Times New Roman" w:cs="Times New Roman"/>
      <w:sz w:val="24"/>
    </w:rPr>
  </w:style>
  <w:style w:type="paragraph" w:styleId="Listepuces2">
    <w:name w:val="Liste à puces 2"/>
    <w:basedOn w:val="Normal"/>
    <w:qFormat/>
    <w:pPr>
      <w:numPr>
        <w:ilvl w:val="0"/>
        <w:numId w:val="2"/>
      </w:numPr>
    </w:pPr>
    <w:rPr>
      <w:rFonts w:ascii="Times New Roman" w:hAnsi="Times New Roman" w:cs="Times New Roman"/>
      <w:sz w:val="24"/>
    </w:rPr>
  </w:style>
  <w:style w:type="paragraph" w:styleId="Commentaire">
    <w:name w:val="Commentaire"/>
    <w:basedOn w:val="Normal"/>
    <w:qFormat/>
    <w:pPr/>
    <w:rPr>
      <w:rFonts w:ascii="Times New Roman" w:hAnsi="Times New Roman" w:cs="Times New Roman"/>
    </w:rPr>
  </w:style>
  <w:style w:type="paragraph" w:styleId="Objetducommentaire">
    <w:name w:val="Objet du commentaire"/>
    <w:basedOn w:val="Commentaire"/>
    <w:next w:val="Commentaire"/>
    <w:qFormat/>
    <w:pPr/>
    <w:rPr>
      <w:b/>
    </w:rPr>
  </w:style>
  <w:style w:type="paragraph" w:styleId="Corpsdetexte2">
    <w:name w:val="Corps de texte 2"/>
    <w:basedOn w:val="Normal"/>
    <w:qFormat/>
    <w:pPr>
      <w:jc w:val="both"/>
    </w:pPr>
    <w:rPr>
      <w:rFonts w:ascii="Times New Roman" w:hAnsi="Times New Roman" w:cs="Times New Roman"/>
      <w:sz w:val="24"/>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Contents1">
    <w:name w:val="Contents 1"/>
    <w:basedOn w:val="Normal"/>
    <w:next w:val="Normal"/>
    <w:pPr>
      <w:spacing w:before="360" w:after="0"/>
    </w:pPr>
    <w:rPr>
      <w:rFonts w:cs="Arial"/>
      <w:b/>
      <w:bCs/>
      <w:caps/>
      <w:sz w:val="24"/>
      <w:szCs w:val="24"/>
    </w:rPr>
  </w:style>
  <w:style w:type="paragraph" w:styleId="Contents2">
    <w:name w:val="Contents 2"/>
    <w:basedOn w:val="Normal"/>
    <w:next w:val="Normal"/>
    <w:pPr>
      <w:spacing w:before="240" w:after="0"/>
    </w:pPr>
    <w:rPr>
      <w:rFonts w:ascii="Times New Roman" w:hAnsi="Times New Roman" w:cs="Times New Roman"/>
      <w:b/>
      <w:bCs/>
    </w:rPr>
  </w:style>
  <w:style w:type="paragraph" w:styleId="Contents3">
    <w:name w:val="Contents 3"/>
    <w:basedOn w:val="Normal"/>
    <w:next w:val="Normal"/>
    <w:pPr>
      <w:ind w:left="200" w:hanging="0"/>
    </w:pPr>
    <w:rPr>
      <w:rFonts w:ascii="Times New Roman" w:hAnsi="Times New Roman" w:cs="Times New Roman"/>
    </w:rPr>
  </w:style>
  <w:style w:type="paragraph" w:styleId="Contents4">
    <w:name w:val="Contents 4"/>
    <w:basedOn w:val="Normal"/>
    <w:next w:val="Normal"/>
    <w:pPr>
      <w:ind w:left="400" w:hanging="0"/>
    </w:pPr>
    <w:rPr>
      <w:rFonts w:ascii="Times New Roman" w:hAnsi="Times New Roman" w:cs="Times New Roman"/>
    </w:rPr>
  </w:style>
  <w:style w:type="paragraph" w:styleId="Contents5">
    <w:name w:val="Contents 5"/>
    <w:basedOn w:val="Normal"/>
    <w:next w:val="Normal"/>
    <w:pPr>
      <w:ind w:left="600" w:hanging="0"/>
    </w:pPr>
    <w:rPr>
      <w:rFonts w:ascii="Times New Roman" w:hAnsi="Times New Roman" w:cs="Times New Roman"/>
    </w:rPr>
  </w:style>
  <w:style w:type="paragraph" w:styleId="Contents6">
    <w:name w:val="Contents 6"/>
    <w:basedOn w:val="Normal"/>
    <w:next w:val="Normal"/>
    <w:pPr>
      <w:ind w:left="800" w:hanging="0"/>
    </w:pPr>
    <w:rPr>
      <w:rFonts w:ascii="Times New Roman" w:hAnsi="Times New Roman" w:cs="Times New Roman"/>
    </w:rPr>
  </w:style>
  <w:style w:type="paragraph" w:styleId="Contents7">
    <w:name w:val="Contents 7"/>
    <w:basedOn w:val="Normal"/>
    <w:next w:val="Normal"/>
    <w:pPr>
      <w:ind w:left="1000" w:hanging="0"/>
    </w:pPr>
    <w:rPr>
      <w:rFonts w:ascii="Times New Roman" w:hAnsi="Times New Roman" w:cs="Times New Roman"/>
    </w:rPr>
  </w:style>
  <w:style w:type="paragraph" w:styleId="Contents8">
    <w:name w:val="Contents 8"/>
    <w:basedOn w:val="Normal"/>
    <w:next w:val="Normal"/>
    <w:pPr>
      <w:ind w:left="1200" w:hanging="0"/>
    </w:pPr>
    <w:rPr>
      <w:rFonts w:ascii="Times New Roman" w:hAnsi="Times New Roman" w:cs="Times New Roman"/>
    </w:rPr>
  </w:style>
  <w:style w:type="paragraph" w:styleId="Contents9">
    <w:name w:val="Contents 9"/>
    <w:basedOn w:val="Normal"/>
    <w:next w:val="Normal"/>
    <w:pPr>
      <w:ind w:left="1400" w:hanging="0"/>
    </w:pPr>
    <w:rPr>
      <w:rFonts w:ascii="Times New Roman" w:hAnsi="Times New Roman" w:cs="Times New Roman"/>
    </w:rPr>
  </w:style>
  <w:style w:type="paragraph" w:styleId="Style11">
    <w:name w:val="Style 1"/>
    <w:basedOn w:val="Normal"/>
    <w:qFormat/>
    <w:pPr>
      <w:widowControl w:val="false"/>
      <w:autoSpaceDE w:val="false"/>
    </w:pPr>
    <w:rPr>
      <w:rFonts w:ascii="Times New Roman" w:hAnsi="Times New Roman" w:cs="Times New Roman"/>
      <w:sz w:val="24"/>
      <w:szCs w:val="24"/>
    </w:rPr>
  </w:style>
  <w:style w:type="paragraph" w:styleId="Footnote">
    <w:name w:val="Footnote"/>
    <w:basedOn w:val="Normal"/>
    <w:pPr>
      <w:widowControl w:val="false"/>
      <w:spacing w:lineRule="exact" w:line="240"/>
      <w:jc w:val="both"/>
      <w:textAlignment w:val="baseline"/>
    </w:pPr>
    <w:rPr/>
  </w:style>
  <w:style w:type="paragraph" w:styleId="CharChar1">
    <w:name w:val=" Char Char1"/>
    <w:basedOn w:val="Normal"/>
    <w:qFormat/>
    <w:pPr>
      <w:spacing w:lineRule="exact" w:line="240" w:before="0" w:after="160"/>
      <w:jc w:val="both"/>
    </w:pPr>
    <w:rPr>
      <w:rFonts w:ascii="Verdana" w:hAnsi="Verdana" w:cs="Verdana"/>
      <w:lang w:val="en-US"/>
    </w:rPr>
  </w:style>
  <w:style w:type="paragraph" w:styleId="CarCarCarCarCar">
    <w:name w:val=" Car Car Car Car Car"/>
    <w:basedOn w:val="Normal"/>
    <w:qFormat/>
    <w:pPr>
      <w:spacing w:lineRule="exact" w:line="240" w:before="0" w:after="160"/>
      <w:jc w:val="both"/>
    </w:pPr>
    <w:rPr>
      <w:rFonts w:ascii="Verdana" w:hAnsi="Verdana" w:cs="Verdana"/>
      <w:lang w:val="en-US"/>
    </w:rPr>
  </w:style>
  <w:style w:type="paragraph" w:styleId="NormalArialCarCarCar">
    <w:name w:val="Normal + Arial Car Car Car"/>
    <w:basedOn w:val="Normal"/>
    <w:qFormat/>
    <w:pPr>
      <w:spacing w:lineRule="exact" w:line="240" w:before="0" w:after="160"/>
      <w:jc w:val="both"/>
    </w:pPr>
    <w:rPr>
      <w:rFonts w:cs="Arial Unicode MS"/>
      <w:lang w:val="en-US" w:bidi="en-GB"/>
    </w:rPr>
  </w:style>
  <w:style w:type="paragraph" w:styleId="NormalArial">
    <w:name w:val="Normal + Arial"/>
    <w:basedOn w:val="Normal"/>
    <w:qFormat/>
    <w:pPr>
      <w:spacing w:lineRule="exact" w:line="240" w:before="0" w:after="160"/>
      <w:jc w:val="both"/>
    </w:pPr>
    <w:rPr>
      <w:rFonts w:cs="Arial Unicode MS"/>
      <w:lang w:val="en-US" w:bidi="en-GB"/>
    </w:rPr>
  </w:style>
  <w:style w:type="paragraph" w:styleId="Pa17">
    <w:name w:val="Pa17"/>
    <w:basedOn w:val="Normal"/>
    <w:next w:val="Normal"/>
    <w:qFormat/>
    <w:pPr>
      <w:autoSpaceDE w:val="false"/>
      <w:spacing w:lineRule="atLeast" w:line="361"/>
    </w:pPr>
    <w:rPr>
      <w:rFonts w:ascii="HelveticaNeue-Condensed;HelveticaNeue-Condensed" w:hAnsi="HelveticaNeue-Condensed;HelveticaNeue-Condensed" w:cs="HelveticaNeue-Condensed;HelveticaNeue-Condensed"/>
      <w:sz w:val="24"/>
      <w:szCs w:val="24"/>
    </w:rPr>
  </w:style>
  <w:style w:type="paragraph" w:styleId="Pa1">
    <w:name w:val="Pa1"/>
    <w:basedOn w:val="Normal"/>
    <w:next w:val="Normal"/>
    <w:qFormat/>
    <w:pPr>
      <w:autoSpaceDE w:val="false"/>
      <w:spacing w:lineRule="atLeast" w:line="241"/>
    </w:pPr>
    <w:rPr>
      <w:rFonts w:ascii="Tasse-RegularWide;Tasse-RegularWide" w:hAnsi="Tasse-RegularWide;Tasse-RegularWide" w:cs="Tasse-RegularWide;Tasse-RegularWide"/>
      <w:sz w:val="24"/>
      <w:szCs w:val="24"/>
    </w:rPr>
  </w:style>
  <w:style w:type="paragraph" w:styleId="Pa32">
    <w:name w:val="Pa32"/>
    <w:basedOn w:val="Normal"/>
    <w:next w:val="Normal"/>
    <w:qFormat/>
    <w:pPr>
      <w:autoSpaceDE w:val="false"/>
      <w:spacing w:lineRule="atLeast" w:line="181"/>
    </w:pPr>
    <w:rPr>
      <w:rFonts w:ascii="Tasse-RegularWide;Tasse-RegularWide" w:hAnsi="Tasse-RegularWide;Tasse-RegularWide" w:cs="Tasse-RegularWide;Tasse-RegularWide"/>
      <w:sz w:val="24"/>
      <w:szCs w:val="24"/>
    </w:rPr>
  </w:style>
  <w:style w:type="paragraph" w:styleId="Retraitcorpsdetexte3">
    <w:name w:val="Retrait corps de texte 3"/>
    <w:basedOn w:val="Normal"/>
    <w:qFormat/>
    <w:pPr>
      <w:spacing w:before="0" w:after="120"/>
      <w:ind w:left="283" w:hanging="0"/>
    </w:pPr>
    <w:rPr>
      <w:sz w:val="16"/>
      <w:szCs w:val="16"/>
    </w:rPr>
  </w:style>
  <w:style w:type="paragraph" w:styleId="TextBodyIndent">
    <w:name w:val="Text Body Indent"/>
    <w:basedOn w:val="Normal"/>
    <w:pPr>
      <w:spacing w:before="0" w:after="120"/>
      <w:ind w:left="283" w:hanging="0"/>
    </w:pPr>
    <w:rPr/>
  </w:style>
  <w:style w:type="paragraph" w:styleId="CarCar1">
    <w:name w:val=" Car Car1"/>
    <w:basedOn w:val="Normal"/>
    <w:qFormat/>
    <w:pPr>
      <w:spacing w:lineRule="exact" w:line="240" w:before="0" w:after="160"/>
      <w:jc w:val="both"/>
    </w:pPr>
    <w:rPr>
      <w:rFonts w:ascii="Verdana" w:hAnsi="Verdana" w:cs="Verdana"/>
      <w:lang w:val="en-US" w:bidi="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2017-11-09T15:26:00Z</dcterms:created>
  <dc:language>en-GB</dc:language>
  <cp:lastPrinted>2017-10-24T16:16:00Z</cp:lastPrinted>
  <dcterms:modified xsi:type="dcterms:W3CDTF">2017-12-07T11:31:00Z</dcterms:modified>
  <cp:revision>5</cp:revision>
  <dc:title>PROJET</dc:title>
</cp:coreProperties>
</file>