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double" w:sz="4" w:space="1" w:color="000000"/>
          <w:left w:val="double" w:sz="4" w:space="4" w:color="000000"/>
          <w:bottom w:val="double" w:sz="4" w:space="1" w:color="000000"/>
          <w:right w:val="double" w:sz="4" w:space="4" w:color="000000"/>
        </w:pBdr>
        <w:jc w:val="center"/>
        <w:rPr>
          <w:rFonts w:ascii="Arial" w:hAnsi="Arial" w:cs="Arial"/>
          <w:b/>
          <w:b/>
          <w:sz w:val="28"/>
          <w:szCs w:val="28"/>
        </w:rPr>
      </w:pPr>
      <w:r>
        <w:rPr>
          <w:rFonts w:cs="Arial" w:ascii="Arial" w:hAnsi="Arial"/>
          <w:b/>
          <w:sz w:val="28"/>
          <w:szCs w:val="28"/>
        </w:rPr>
        <w:t>PROTOCOLE D’ACCORD</w:t>
      </w:r>
    </w:p>
    <w:p>
      <w:pPr>
        <w:pStyle w:val="Normal"/>
        <w:pBdr>
          <w:top w:val="double" w:sz="4" w:space="1" w:color="000000"/>
          <w:left w:val="double" w:sz="4" w:space="4" w:color="000000"/>
          <w:bottom w:val="double" w:sz="4" w:space="1" w:color="000000"/>
          <w:right w:val="double" w:sz="4" w:space="4" w:color="000000"/>
        </w:pBdr>
        <w:jc w:val="center"/>
        <w:rPr>
          <w:rFonts w:ascii="Arial" w:hAnsi="Arial" w:cs="Arial"/>
          <w:b/>
          <w:b/>
          <w:sz w:val="28"/>
          <w:szCs w:val="28"/>
        </w:rPr>
      </w:pPr>
      <w:r>
        <w:rPr>
          <w:rFonts w:cs="Arial" w:ascii="Arial" w:hAnsi="Arial"/>
          <w:b/>
          <w:sz w:val="28"/>
          <w:szCs w:val="28"/>
        </w:rPr>
        <w:t>NEGOCIATIONS ANNUELLES OBLIGATOIRES pour l’année 2019</w:t>
      </w:r>
    </w:p>
    <w:p>
      <w:pPr>
        <w:pStyle w:val="Normal"/>
        <w:pBdr>
          <w:top w:val="double" w:sz="4" w:space="1" w:color="000000"/>
          <w:left w:val="double" w:sz="4" w:space="4" w:color="000000"/>
          <w:bottom w:val="double" w:sz="4" w:space="1" w:color="000000"/>
          <w:right w:val="double" w:sz="4" w:space="4" w:color="000000"/>
        </w:pBdr>
        <w:jc w:val="center"/>
        <w:rPr>
          <w:rFonts w:ascii="Arial" w:hAnsi="Arial" w:cs="Arial"/>
          <w:b/>
          <w:b/>
          <w:sz w:val="28"/>
          <w:szCs w:val="28"/>
        </w:rPr>
      </w:pPr>
      <w:r>
        <w:rPr>
          <w:rFonts w:cs="Arial" w:ascii="Arial" w:hAnsi="Arial"/>
          <w:b/>
          <w:sz w:val="28"/>
          <w:szCs w:val="28"/>
        </w:rPr>
      </w:r>
    </w:p>
    <w:p>
      <w:pPr>
        <w:pStyle w:val="Normal"/>
        <w:spacing w:lineRule="auto" w:line="264"/>
        <w:jc w:val="both"/>
        <w:rPr>
          <w:rFonts w:ascii="Arial" w:hAnsi="Arial" w:cs="Arial"/>
          <w:b/>
          <w:b/>
          <w:sz w:val="20"/>
          <w:szCs w:val="20"/>
        </w:rPr>
      </w:pPr>
      <w:r>
        <w:rPr>
          <w:rFonts w:cs="Arial" w:ascii="Arial" w:hAnsi="Arial"/>
          <w:b/>
          <w:sz w:val="20"/>
          <w:szCs w:val="20"/>
        </w:rPr>
      </w:r>
    </w:p>
    <w:p>
      <w:pPr>
        <w:pStyle w:val="Normal"/>
        <w:spacing w:lineRule="auto" w:line="264"/>
        <w:jc w:val="both"/>
        <w:rPr>
          <w:rFonts w:ascii="Arial" w:hAnsi="Arial" w:cs="Arial"/>
          <w:sz w:val="20"/>
          <w:szCs w:val="20"/>
        </w:rPr>
      </w:pPr>
      <w:r>
        <w:rPr>
          <w:rFonts w:cs="Arial" w:ascii="Arial" w:hAnsi="Arial"/>
          <w:sz w:val="20"/>
          <w:szCs w:val="20"/>
        </w:rPr>
        <w:t>Conformément à l’article L 2242-1 du Code du travail, dans le cadre des négociations annuelles obligatoires, les Organisations Syndicales d’une part, et la Direction d’autre part, se sont rencontrées les 27 février, 05 mars et 15 mars 2019.</w:t>
      </w:r>
    </w:p>
    <w:p>
      <w:pPr>
        <w:pStyle w:val="Normal"/>
        <w:spacing w:lineRule="auto" w:line="264"/>
        <w:jc w:val="both"/>
        <w:rPr>
          <w:rFonts w:ascii="Arial" w:hAnsi="Arial" w:cs="Arial"/>
          <w:sz w:val="20"/>
          <w:szCs w:val="20"/>
        </w:rPr>
      </w:pPr>
      <w:r>
        <w:rPr>
          <w:rFonts w:cs="Arial" w:ascii="Arial" w:hAnsi="Arial"/>
          <w:sz w:val="20"/>
          <w:szCs w:val="20"/>
        </w:rPr>
        <w:t>Au cours de ces rencontres, les différentes parties ont exposé d’une part leurs revendications pour les Organisations Syndicales et d’autre part, la Direction a présenté ses propositions.</w:t>
      </w:r>
    </w:p>
    <w:p>
      <w:pPr>
        <w:pStyle w:val="Normal"/>
        <w:spacing w:lineRule="auto" w:line="264"/>
        <w:jc w:val="both"/>
        <w:rPr>
          <w:rFonts w:ascii="Arial" w:hAnsi="Arial" w:cs="Arial"/>
          <w:sz w:val="20"/>
          <w:szCs w:val="20"/>
        </w:rPr>
      </w:pPr>
      <w:r>
        <w:rPr>
          <w:rFonts w:cs="Arial" w:ascii="Arial" w:hAnsi="Arial"/>
          <w:sz w:val="20"/>
          <w:szCs w:val="20"/>
        </w:rPr>
      </w:r>
    </w:p>
    <w:p>
      <w:pPr>
        <w:pStyle w:val="Normal"/>
        <w:spacing w:lineRule="auto" w:line="264"/>
        <w:jc w:val="both"/>
        <w:rPr>
          <w:rFonts w:ascii="Arial" w:hAnsi="Arial" w:cs="Arial"/>
          <w:sz w:val="20"/>
          <w:szCs w:val="20"/>
        </w:rPr>
      </w:pPr>
      <w:r>
        <w:rPr>
          <w:rFonts w:cs="Arial" w:ascii="Arial" w:hAnsi="Arial"/>
          <w:sz w:val="20"/>
          <w:szCs w:val="20"/>
        </w:rPr>
        <w:t>A l’initiative de la Direction et sous l’impulsion de la DGRH Groupe, les parties ont décidé d’engager les négociations avec anticipation au regard du calendrier habituel afin de prendre en compte le contexte économique et social de ces derniers mois.</w:t>
      </w:r>
    </w:p>
    <w:p>
      <w:pPr>
        <w:pStyle w:val="Normal"/>
        <w:spacing w:lineRule="auto" w:line="264"/>
        <w:jc w:val="both"/>
        <w:rPr>
          <w:rFonts w:ascii="Arial" w:hAnsi="Arial" w:cs="Arial"/>
          <w:sz w:val="20"/>
          <w:szCs w:val="20"/>
        </w:rPr>
      </w:pPr>
      <w:r>
        <w:rPr>
          <w:rFonts w:cs="Arial" w:ascii="Arial" w:hAnsi="Arial"/>
          <w:sz w:val="20"/>
          <w:szCs w:val="20"/>
        </w:rPr>
      </w:r>
    </w:p>
    <w:p>
      <w:pPr>
        <w:pStyle w:val="Normal"/>
        <w:spacing w:lineRule="auto" w:line="264"/>
        <w:jc w:val="both"/>
        <w:rPr>
          <w:rFonts w:ascii="Arial" w:hAnsi="Arial" w:cs="Arial"/>
          <w:sz w:val="20"/>
          <w:szCs w:val="20"/>
        </w:rPr>
      </w:pPr>
      <w:r>
        <w:rPr>
          <w:rFonts w:cs="Arial" w:ascii="Arial" w:hAnsi="Arial"/>
          <w:sz w:val="20"/>
          <w:szCs w:val="20"/>
        </w:rPr>
        <w:t>La Direction a entendu les demandes formulées lors des différentes rencontres et a souhaité y répondre par des signaux forts en continuant à accroitre les mesures salariales et sociales à destination des collaborateurs de l’entreprise.</w:t>
      </w:r>
    </w:p>
    <w:p>
      <w:pPr>
        <w:pStyle w:val="Normal"/>
        <w:spacing w:lineRule="auto" w:line="264"/>
        <w:jc w:val="both"/>
        <w:rPr>
          <w:rFonts w:ascii="Arial" w:hAnsi="Arial" w:cs="Arial"/>
          <w:sz w:val="20"/>
          <w:szCs w:val="20"/>
          <w:highlight w:val="yellow"/>
        </w:rPr>
      </w:pPr>
      <w:r>
        <w:rPr>
          <w:rFonts w:cs="Arial" w:ascii="Arial" w:hAnsi="Arial"/>
          <w:sz w:val="20"/>
          <w:szCs w:val="20"/>
          <w:highlight w:val="yellow"/>
        </w:rPr>
      </w:r>
    </w:p>
    <w:p>
      <w:pPr>
        <w:pStyle w:val="Normal"/>
        <w:spacing w:lineRule="auto" w:line="264"/>
        <w:jc w:val="both"/>
        <w:rPr>
          <w:rFonts w:ascii="Arial" w:hAnsi="Arial" w:cs="Arial"/>
          <w:sz w:val="20"/>
          <w:szCs w:val="20"/>
        </w:rPr>
      </w:pPr>
      <w:r>
        <w:rPr>
          <w:rFonts w:cs="Arial" w:ascii="Arial" w:hAnsi="Arial"/>
          <w:sz w:val="20"/>
          <w:szCs w:val="20"/>
        </w:rPr>
        <w:t>La Direction tient en effet à souligner que l’entreprise est en constante évolution, cette dernière s’étant maintenue tout au long de l’année par le gain de nouveaux contrats et l’embauche de nouveaux collaborateurs, ce qui permet d’envisager la répartition de ces gains au profit des collaborateurs, acteurs majeurs de cette croissance.</w:t>
      </w:r>
    </w:p>
    <w:p>
      <w:pPr>
        <w:pStyle w:val="Normal"/>
        <w:spacing w:lineRule="auto" w:line="264"/>
        <w:jc w:val="both"/>
        <w:rPr>
          <w:rFonts w:ascii="Arial" w:hAnsi="Arial" w:cs="Arial"/>
          <w:sz w:val="20"/>
          <w:szCs w:val="20"/>
          <w:highlight w:val="yellow"/>
        </w:rPr>
      </w:pPr>
      <w:r>
        <w:rPr>
          <w:rFonts w:cs="Arial" w:ascii="Arial" w:hAnsi="Arial"/>
          <w:sz w:val="20"/>
          <w:szCs w:val="20"/>
          <w:highlight w:val="yellow"/>
        </w:rPr>
      </w:r>
    </w:p>
    <w:p>
      <w:pPr>
        <w:pStyle w:val="Normal"/>
        <w:spacing w:lineRule="auto" w:line="264"/>
        <w:jc w:val="both"/>
        <w:rPr>
          <w:rFonts w:ascii="Arial" w:hAnsi="Arial" w:cs="Arial"/>
          <w:sz w:val="20"/>
          <w:szCs w:val="20"/>
        </w:rPr>
      </w:pPr>
      <w:r>
        <w:rPr>
          <w:rFonts w:cs="Arial" w:ascii="Arial" w:hAnsi="Arial"/>
          <w:sz w:val="20"/>
          <w:szCs w:val="20"/>
        </w:rPr>
        <w:t>Toutefois, il est important de rappeler que DES doit conserver un modèle économique compétitif afin de poursuivre son développement.</w:t>
      </w:r>
    </w:p>
    <w:p>
      <w:pPr>
        <w:pStyle w:val="Normal"/>
        <w:spacing w:lineRule="auto" w:line="264"/>
        <w:jc w:val="both"/>
        <w:rPr>
          <w:rFonts w:ascii="Arial" w:hAnsi="Arial" w:cs="Arial"/>
          <w:sz w:val="20"/>
          <w:szCs w:val="20"/>
        </w:rPr>
      </w:pPr>
      <w:r>
        <w:rPr>
          <w:rFonts w:cs="Arial" w:ascii="Arial" w:hAnsi="Arial"/>
          <w:sz w:val="20"/>
          <w:szCs w:val="20"/>
        </w:rPr>
      </w:r>
    </w:p>
    <w:p>
      <w:pPr>
        <w:pStyle w:val="Normal"/>
        <w:spacing w:lineRule="auto" w:line="264"/>
        <w:jc w:val="both"/>
        <w:rPr>
          <w:rFonts w:ascii="Arial" w:hAnsi="Arial" w:cs="Arial"/>
          <w:sz w:val="20"/>
          <w:szCs w:val="20"/>
        </w:rPr>
      </w:pPr>
      <w:r>
        <w:rPr>
          <w:rFonts w:cs="Arial" w:ascii="Arial" w:hAnsi="Arial"/>
          <w:sz w:val="20"/>
          <w:szCs w:val="20"/>
        </w:rPr>
        <w:t>La politique salariale de DES pour l’année 2019 s’articulera autour des principes détaillés ci-dessous :</w:t>
      </w:r>
    </w:p>
    <w:p>
      <w:pPr>
        <w:pStyle w:val="Normal"/>
        <w:spacing w:lineRule="auto" w:line="264"/>
        <w:jc w:val="both"/>
        <w:rPr>
          <w:rFonts w:ascii="Arial" w:hAnsi="Arial" w:cs="Arial"/>
          <w:sz w:val="20"/>
          <w:szCs w:val="20"/>
        </w:rPr>
      </w:pPr>
      <w:r>
        <w:rPr>
          <w:rFonts w:cs="Arial" w:ascii="Arial" w:hAnsi="Arial"/>
          <w:sz w:val="20"/>
          <w:szCs w:val="20"/>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ind w:left="1410" w:hanging="1410"/>
        <w:jc w:val="both"/>
        <w:rPr>
          <w:rFonts w:ascii="Arial" w:hAnsi="Arial" w:cs="Arial"/>
          <w:b/>
          <w:b/>
          <w:sz w:val="20"/>
          <w:szCs w:val="20"/>
        </w:rPr>
      </w:pPr>
      <w:r>
        <w:rPr>
          <w:rFonts w:eastAsia="Wingdings" w:cs="Arial" w:ascii="Arial" w:hAnsi="Arial"/>
          <w:b/>
          <w:sz w:val="20"/>
          <w:szCs w:val="20"/>
          <w:u w:val="single"/>
        </w:rPr>
        <w:t>Article 1</w:t>
      </w:r>
      <w:r>
        <w:rPr>
          <w:rFonts w:eastAsia="Wingdings" w:cs="Arial" w:ascii="Arial" w:hAnsi="Arial"/>
          <w:b/>
          <w:sz w:val="20"/>
          <w:szCs w:val="20"/>
        </w:rPr>
        <w:t> :</w:t>
        <w:tab/>
        <w:tab/>
        <w:t>Augmentation générale des salaires bruts de base de 2%, pour l’ensemble des collaborateurs sur les niveaux 2, 3, 4, 5 et 6, à partir du 1</w:t>
      </w:r>
      <w:r>
        <w:rPr>
          <w:rFonts w:eastAsia="Wingdings" w:cs="Arial" w:ascii="Arial" w:hAnsi="Arial"/>
          <w:b/>
          <w:sz w:val="20"/>
          <w:szCs w:val="20"/>
          <w:vertAlign w:val="superscript"/>
        </w:rPr>
        <w:t>er</w:t>
      </w:r>
      <w:r>
        <w:rPr>
          <w:rFonts w:eastAsia="Wingdings" w:cs="Arial" w:ascii="Arial" w:hAnsi="Arial"/>
          <w:b/>
          <w:sz w:val="20"/>
          <w:szCs w:val="20"/>
        </w:rPr>
        <w:t xml:space="preserve"> juillet 2019</w:t>
      </w:r>
    </w:p>
    <w:p>
      <w:pPr>
        <w:pStyle w:val="Normal"/>
        <w:spacing w:lineRule="auto" w:line="264"/>
        <w:jc w:val="both"/>
        <w:rPr>
          <w:rFonts w:ascii="Arial" w:hAnsi="Arial" w:eastAsia="Wingdings" w:cs="Arial"/>
          <w:b/>
          <w:b/>
          <w:sz w:val="20"/>
          <w:szCs w:val="20"/>
        </w:rPr>
      </w:pPr>
      <w:r>
        <w:rPr>
          <w:rFonts w:eastAsia="Wingdings" w:cs="Arial" w:ascii="Arial" w:hAnsi="Arial"/>
          <w:b/>
          <w:sz w:val="20"/>
          <w:szCs w:val="20"/>
        </w:rPr>
      </w:r>
    </w:p>
    <w:p>
      <w:pPr>
        <w:pStyle w:val="Normal"/>
        <w:spacing w:lineRule="auto" w:line="264"/>
        <w:jc w:val="both"/>
        <w:rPr>
          <w:rFonts w:ascii="Arial" w:hAnsi="Arial" w:cs="Arial"/>
          <w:sz w:val="20"/>
          <w:szCs w:val="20"/>
        </w:rPr>
      </w:pPr>
      <w:r>
        <w:rPr>
          <w:rFonts w:eastAsia="Wingdings" w:cs="Arial" w:ascii="Arial" w:hAnsi="Arial"/>
          <w:sz w:val="20"/>
          <w:szCs w:val="20"/>
        </w:rPr>
        <w:t>Cette disposition concerne les salariés présents au 01/01/2019 et à la date du versement de ces mesures salariales, étant entendu, que cette disposition n’est pas applicable pour les salariés sous contrat en alternance (contrat d’apprentissage et de professionnalisation) ou aux salariés ayant bénéficiés d’une évolution et/ou augmentation entre le 1er janvier 2019 et le 30 juin 2019.</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jc w:val="both"/>
        <w:rPr>
          <w:rFonts w:eastAsia="Wingdings"/>
        </w:rPr>
      </w:pPr>
      <w:r>
        <w:rPr>
          <w:rFonts w:eastAsia="Wingdings" w:cs="Arial" w:ascii="Arial" w:hAnsi="Arial"/>
          <w:sz w:val="20"/>
          <w:szCs w:val="20"/>
        </w:rPr>
        <w:t>Cette augmentation sera versée sur le salaire du mois de juillet 2019 sans effet rétroactif.</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ind w:left="1418" w:hanging="1418"/>
        <w:jc w:val="both"/>
        <w:rPr>
          <w:rFonts w:ascii="Arial" w:hAnsi="Arial" w:cs="Arial"/>
          <w:b/>
          <w:b/>
          <w:sz w:val="20"/>
          <w:szCs w:val="20"/>
        </w:rPr>
      </w:pPr>
      <w:r>
        <w:rPr>
          <w:rFonts w:eastAsia="Wingdings" w:cs="Arial" w:ascii="Arial" w:hAnsi="Arial"/>
          <w:b/>
          <w:sz w:val="20"/>
          <w:szCs w:val="20"/>
          <w:u w:val="single"/>
        </w:rPr>
        <w:t>Article 2</w:t>
      </w:r>
      <w:r>
        <w:rPr>
          <w:rFonts w:eastAsia="Wingdings" w:cs="Arial" w:ascii="Arial" w:hAnsi="Arial"/>
          <w:b/>
          <w:sz w:val="20"/>
          <w:szCs w:val="20"/>
        </w:rPr>
        <w:t> :</w:t>
        <w:tab/>
        <w:t>Augmentation individuelle : allocation d’une enveloppe de 0.8% à partir du 1er juillet 2019</w:t>
      </w:r>
    </w:p>
    <w:p>
      <w:pPr>
        <w:pStyle w:val="Normal"/>
        <w:spacing w:lineRule="auto" w:line="264"/>
        <w:jc w:val="both"/>
        <w:rPr>
          <w:rFonts w:ascii="Arial" w:hAnsi="Arial" w:eastAsia="Wingdings" w:cs="Arial"/>
          <w:b/>
          <w:b/>
          <w:sz w:val="20"/>
          <w:szCs w:val="20"/>
        </w:rPr>
      </w:pPr>
      <w:r>
        <w:rPr>
          <w:rFonts w:eastAsia="Wingdings" w:cs="Arial" w:ascii="Arial" w:hAnsi="Arial"/>
          <w:b/>
          <w:sz w:val="20"/>
          <w:szCs w:val="20"/>
        </w:rPr>
      </w:r>
    </w:p>
    <w:p>
      <w:pPr>
        <w:pStyle w:val="Normal"/>
        <w:spacing w:lineRule="auto" w:line="264"/>
        <w:jc w:val="both"/>
        <w:rPr>
          <w:rFonts w:eastAsia="Wingdings"/>
        </w:rPr>
      </w:pPr>
      <w:r>
        <w:rPr>
          <w:rFonts w:eastAsia="Wingdings" w:cs="Arial" w:ascii="Arial" w:hAnsi="Arial"/>
          <w:sz w:val="20"/>
          <w:szCs w:val="20"/>
        </w:rPr>
        <w:t>L’enveloppe des augmentations individuelles est calculée sur la base de 0,8% de la masse salariale brute (hors EVP)  représentée par les niveaux : 2, 3, 4, 5 et 6 de notre classification. L’enveloppe devra être distribuée dans son intégralité et de manière proportionnelle au nombre de collaborateurs par site.</w:t>
      </w:r>
    </w:p>
    <w:p>
      <w:pPr>
        <w:pStyle w:val="Normal"/>
        <w:spacing w:lineRule="auto" w:line="264"/>
        <w:jc w:val="both"/>
        <w:rPr>
          <w:rFonts w:ascii="Arial" w:hAnsi="Arial" w:cs="Arial"/>
          <w:sz w:val="20"/>
          <w:szCs w:val="20"/>
        </w:rPr>
      </w:pPr>
      <w:r>
        <w:rPr>
          <w:rFonts w:eastAsia="Wingdings" w:cs="Arial" w:ascii="Arial" w:hAnsi="Arial"/>
          <w:sz w:val="20"/>
          <w:szCs w:val="20"/>
        </w:rPr>
        <w:t>Le choix d’attribution individuelle est laissé à l’appréciation des managers.</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jc w:val="both"/>
        <w:rPr>
          <w:rFonts w:eastAsia="Wingdings"/>
        </w:rPr>
      </w:pPr>
      <w:r>
        <w:rPr>
          <w:rFonts w:eastAsia="Wingdings" w:cs="Arial" w:ascii="Arial" w:hAnsi="Arial"/>
          <w:sz w:val="20"/>
          <w:szCs w:val="20"/>
        </w:rPr>
        <w:t>Cette disposition concerne les salariés présents au 01/01/2019 et à la date du versement de ces mesures salariales, étant entendu, que cette disposition n’est pas applicable pour les salariés sous contrat en alternance (contrat d’apprentissage et de professionnalisation) ou aux salariés ayant bénéficiés d’une évolution et/ou augmentation entre le 1er janvier 2019 et le 30 juin 2019.</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jc w:val="both"/>
        <w:rPr>
          <w:rFonts w:eastAsia="Wingdings"/>
        </w:rPr>
      </w:pPr>
      <w:r>
        <w:rPr>
          <w:rFonts w:eastAsia="Wingdings" w:cs="Arial" w:ascii="Arial" w:hAnsi="Arial"/>
          <w:sz w:val="20"/>
          <w:szCs w:val="20"/>
        </w:rPr>
        <w:t>Cette augmentation sera versée sur le salaire du mois de juillet 2019 sans effet rétroactif.</w:t>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ind w:left="1410" w:hanging="1410"/>
        <w:jc w:val="both"/>
        <w:rPr>
          <w:rFonts w:ascii="Arial" w:hAnsi="Arial" w:cs="Arial"/>
          <w:b/>
          <w:b/>
          <w:sz w:val="20"/>
          <w:szCs w:val="20"/>
        </w:rPr>
      </w:pPr>
      <w:r>
        <w:rPr>
          <w:rFonts w:eastAsia="Wingdings" w:cs="Arial" w:ascii="Arial" w:hAnsi="Arial"/>
          <w:b/>
          <w:sz w:val="20"/>
          <w:szCs w:val="20"/>
          <w:u w:val="single"/>
        </w:rPr>
        <w:t>Article 3</w:t>
      </w:r>
      <w:r>
        <w:rPr>
          <w:rFonts w:eastAsia="Wingdings" w:cs="Arial" w:ascii="Arial" w:hAnsi="Arial"/>
          <w:b/>
          <w:sz w:val="20"/>
          <w:szCs w:val="20"/>
        </w:rPr>
        <w:t xml:space="preserve"> : </w:t>
        <w:tab/>
        <w:t xml:space="preserve">Allocation d’une enveloppe de 150 000 euros dédiée à l’amélioration des locaux et des conditions de travail </w:t>
      </w:r>
    </w:p>
    <w:p>
      <w:pPr>
        <w:pStyle w:val="Normal"/>
        <w:ind w:left="1410" w:hanging="1410"/>
        <w:jc w:val="both"/>
        <w:rPr>
          <w:rFonts w:ascii="Arial" w:hAnsi="Arial" w:eastAsia="Wingdings" w:cs="Arial"/>
          <w:b/>
          <w:b/>
          <w:sz w:val="20"/>
          <w:szCs w:val="20"/>
        </w:rPr>
      </w:pPr>
      <w:r>
        <w:rPr>
          <w:rFonts w:eastAsia="Wingdings" w:cs="Arial" w:ascii="Arial" w:hAnsi="Arial"/>
          <w:b/>
          <w:sz w:val="20"/>
          <w:szCs w:val="20"/>
        </w:rPr>
      </w:r>
    </w:p>
    <w:p>
      <w:pPr>
        <w:pStyle w:val="Normal"/>
        <w:jc w:val="both"/>
        <w:rPr>
          <w:rFonts w:ascii="Arial" w:hAnsi="Arial" w:cs="Arial"/>
          <w:sz w:val="20"/>
          <w:szCs w:val="20"/>
        </w:rPr>
      </w:pPr>
      <w:r>
        <w:rPr>
          <w:rFonts w:eastAsia="Wingdings" w:cs="Arial" w:ascii="Arial" w:hAnsi="Arial"/>
          <w:sz w:val="20"/>
          <w:szCs w:val="20"/>
        </w:rPr>
        <w:t>Les transformations et/ou améliorations visées par cet article seront à l’initiative des Directions Régionales, elles devront être assimilables à des dépenses d’investissement (CAPEX) et concerner l’amélioration des locaux et des conditions de travail : travaux divers, réfection de la peinture, création de salles de repos, achat d’un frigo, etc.</w:t>
      </w:r>
    </w:p>
    <w:p>
      <w:pPr>
        <w:pStyle w:val="Normal"/>
        <w:jc w:val="both"/>
        <w:rPr>
          <w:rFonts w:eastAsia="Wingdings"/>
        </w:rPr>
      </w:pPr>
      <w:r>
        <w:rPr>
          <w:rFonts w:eastAsia="Wingdings" w:cs="Arial" w:ascii="Arial" w:hAnsi="Arial"/>
          <w:sz w:val="20"/>
          <w:szCs w:val="20"/>
        </w:rPr>
        <w:t>Les initiatives proposées devront faire l’objet d’une double validation par le contrôle financier et la Direction Générale, avant d’être engagées.</w:t>
      </w:r>
    </w:p>
    <w:p>
      <w:pPr>
        <w:pStyle w:val="Normal"/>
        <w:ind w:left="1410" w:hanging="1410"/>
        <w:jc w:val="both"/>
        <w:rPr>
          <w:rFonts w:ascii="Arial" w:hAnsi="Arial" w:eastAsia="Wingdings" w:cs="Arial"/>
          <w:sz w:val="20"/>
          <w:szCs w:val="20"/>
        </w:rPr>
      </w:pPr>
      <w:r>
        <w:rPr>
          <w:rFonts w:eastAsia="Wingdings" w:cs="Arial" w:ascii="Arial" w:hAnsi="Arial"/>
          <w:sz w:val="20"/>
          <w:szCs w:val="20"/>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ind w:left="1410" w:hanging="1410"/>
        <w:jc w:val="both"/>
        <w:rPr>
          <w:rFonts w:ascii="Arial" w:hAnsi="Arial" w:cs="Arial"/>
          <w:b/>
          <w:b/>
          <w:sz w:val="20"/>
          <w:szCs w:val="20"/>
        </w:rPr>
      </w:pPr>
      <w:r>
        <w:rPr>
          <w:rFonts w:eastAsia="Wingdings" w:cs="Arial" w:ascii="Arial" w:hAnsi="Arial"/>
          <w:b/>
          <w:sz w:val="20"/>
          <w:szCs w:val="20"/>
          <w:u w:val="single"/>
        </w:rPr>
        <w:t>Article 4</w:t>
      </w:r>
      <w:r>
        <w:rPr>
          <w:rFonts w:eastAsia="Wingdings" w:cs="Arial" w:ascii="Arial" w:hAnsi="Arial"/>
          <w:b/>
          <w:sz w:val="20"/>
          <w:szCs w:val="20"/>
        </w:rPr>
        <w:t> :</w:t>
        <w:tab/>
        <w:t>Augmentation de la Prime de vacances de 50 euros bruts</w:t>
      </w:r>
    </w:p>
    <w:p>
      <w:pPr>
        <w:pStyle w:val="Normal"/>
        <w:ind w:left="1410" w:hanging="1410"/>
        <w:jc w:val="both"/>
        <w:rPr>
          <w:rFonts w:ascii="Arial" w:hAnsi="Arial" w:eastAsia="Wingdings" w:cs="Arial"/>
          <w:b/>
          <w:b/>
          <w:sz w:val="20"/>
          <w:szCs w:val="20"/>
        </w:rPr>
      </w:pPr>
      <w:r>
        <w:rPr>
          <w:rFonts w:eastAsia="Wingdings" w:cs="Arial" w:ascii="Arial" w:hAnsi="Arial"/>
          <w:b/>
          <w:sz w:val="20"/>
          <w:szCs w:val="20"/>
        </w:rPr>
      </w:r>
    </w:p>
    <w:p>
      <w:pPr>
        <w:pStyle w:val="Normal"/>
        <w:jc w:val="both"/>
        <w:rPr>
          <w:rFonts w:ascii="Arial" w:hAnsi="Arial" w:cs="Arial"/>
          <w:sz w:val="20"/>
          <w:szCs w:val="20"/>
        </w:rPr>
      </w:pPr>
      <w:r>
        <w:rPr>
          <w:rFonts w:eastAsia="Wingdings" w:cs="Arial" w:ascii="Arial" w:hAnsi="Arial"/>
          <w:sz w:val="20"/>
          <w:szCs w:val="20"/>
        </w:rPr>
        <w:t>La prime de vacances est portée à 550 euros pour un exercice complet et selon les conditions d’attribution en vigueur. Cette augmentation interviendra à la date habituelle de versement.</w:t>
      </w:r>
    </w:p>
    <w:p>
      <w:pPr>
        <w:pStyle w:val="Normal"/>
        <w:jc w:val="both"/>
        <w:rPr>
          <w:rFonts w:ascii="Arial" w:hAnsi="Arial" w:eastAsia="Wingdings" w:cs="Arial"/>
          <w:sz w:val="20"/>
          <w:szCs w:val="20"/>
        </w:rPr>
      </w:pPr>
      <w:r>
        <w:rPr>
          <w:rFonts w:eastAsia="Wingdings" w:cs="Arial" w:ascii="Arial" w:hAnsi="Arial"/>
          <w:sz w:val="20"/>
          <w:szCs w:val="20"/>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ind w:left="1410" w:hanging="1410"/>
        <w:jc w:val="both"/>
        <w:rPr>
          <w:rFonts w:ascii="Arial" w:hAnsi="Arial" w:cs="Arial"/>
          <w:b/>
          <w:b/>
          <w:sz w:val="20"/>
          <w:szCs w:val="20"/>
        </w:rPr>
      </w:pPr>
      <w:r>
        <w:rPr>
          <w:rFonts w:eastAsia="Wingdings" w:cs="Arial" w:ascii="Arial" w:hAnsi="Arial"/>
          <w:b/>
          <w:sz w:val="20"/>
          <w:szCs w:val="20"/>
          <w:u w:val="single"/>
        </w:rPr>
        <w:t>Article 5</w:t>
      </w:r>
      <w:r>
        <w:rPr>
          <w:rFonts w:eastAsia="Wingdings" w:cs="Arial" w:ascii="Arial" w:hAnsi="Arial"/>
          <w:b/>
          <w:sz w:val="20"/>
          <w:szCs w:val="20"/>
        </w:rPr>
        <w:t> :</w:t>
        <w:tab/>
        <w:t>Augmentation de la Prime de panier portée à 6,60 euros nets</w:t>
      </w:r>
    </w:p>
    <w:p>
      <w:pPr>
        <w:pStyle w:val="Normal"/>
        <w:ind w:left="1410" w:hanging="1410"/>
        <w:jc w:val="both"/>
        <w:rPr>
          <w:rFonts w:ascii="Arial" w:hAnsi="Arial" w:eastAsia="Wingdings" w:cs="Arial"/>
          <w:b/>
          <w:b/>
          <w:sz w:val="20"/>
          <w:szCs w:val="20"/>
        </w:rPr>
      </w:pPr>
      <w:r>
        <w:rPr>
          <w:rFonts w:eastAsia="Wingdings" w:cs="Arial" w:ascii="Arial" w:hAnsi="Arial"/>
          <w:b/>
          <w:sz w:val="20"/>
          <w:szCs w:val="20"/>
        </w:rPr>
      </w:r>
    </w:p>
    <w:p>
      <w:pPr>
        <w:pStyle w:val="Normal"/>
        <w:jc w:val="both"/>
        <w:rPr>
          <w:rFonts w:ascii="Arial" w:hAnsi="Arial" w:cs="Arial"/>
          <w:sz w:val="20"/>
          <w:szCs w:val="20"/>
        </w:rPr>
      </w:pPr>
      <w:r>
        <w:rPr>
          <w:rFonts w:eastAsia="Wingdings" w:cs="Arial" w:ascii="Arial" w:hAnsi="Arial"/>
          <w:sz w:val="20"/>
          <w:szCs w:val="20"/>
        </w:rPr>
        <w:t>La prime panier est portée à 6,60 euros, les modalités de versement restent inchangées aux conditions fixées par notre accord social.</w:t>
      </w:r>
    </w:p>
    <w:p>
      <w:pPr>
        <w:pStyle w:val="Normal"/>
        <w:jc w:val="both"/>
        <w:rPr>
          <w:rFonts w:ascii="Arial" w:hAnsi="Arial" w:eastAsia="Wingdings" w:cs="Arial"/>
          <w:sz w:val="20"/>
          <w:szCs w:val="20"/>
        </w:rPr>
      </w:pPr>
      <w:r>
        <w:rPr>
          <w:rFonts w:eastAsia="Wingdings" w:cs="Arial" w:ascii="Arial" w:hAnsi="Arial"/>
          <w:sz w:val="20"/>
          <w:szCs w:val="20"/>
        </w:rPr>
        <w:t>Cette augmentation interviendra sur le bulletin du mois de juin 2019.</w:t>
      </w:r>
    </w:p>
    <w:p>
      <w:pPr>
        <w:pStyle w:val="Normal"/>
        <w:jc w:val="both"/>
        <w:rPr>
          <w:rFonts w:ascii="Arial" w:hAnsi="Arial" w:eastAsia="Wingdings" w:cs="Arial"/>
          <w:sz w:val="20"/>
          <w:szCs w:val="20"/>
        </w:rPr>
      </w:pPr>
      <w:r>
        <w:rPr>
          <w:rFonts w:eastAsia="Wingdings" w:cs="Arial" w:ascii="Arial" w:hAnsi="Arial"/>
          <w:sz w:val="20"/>
          <w:szCs w:val="20"/>
        </w:rPr>
      </w:r>
    </w:p>
    <w:p>
      <w:pPr>
        <w:pStyle w:val="Normal"/>
        <w:jc w:val="both"/>
        <w:rPr>
          <w:rFonts w:ascii="Arial" w:hAnsi="Arial" w:eastAsia="Wingdings" w:cs="Arial"/>
          <w:sz w:val="20"/>
          <w:szCs w:val="20"/>
        </w:rPr>
      </w:pPr>
      <w:r>
        <w:rPr>
          <w:rFonts w:eastAsia="Wingdings" w:cs="Arial" w:ascii="Arial" w:hAnsi="Arial"/>
          <w:sz w:val="20"/>
          <w:szCs w:val="20"/>
        </w:rPr>
        <w:t>La Direction s’engage à faire un rappel des dispositifs existants pour la prise en charge des repas journaliers.</w:t>
      </w:r>
    </w:p>
    <w:p>
      <w:pPr>
        <w:pStyle w:val="Normal"/>
        <w:ind w:left="1410" w:hanging="1410"/>
        <w:jc w:val="both"/>
        <w:rPr>
          <w:rFonts w:ascii="Arial" w:hAnsi="Arial" w:eastAsia="Wingdings" w:cs="Arial"/>
          <w:sz w:val="20"/>
          <w:szCs w:val="20"/>
        </w:rPr>
      </w:pPr>
      <w:r>
        <w:rPr>
          <w:rFonts w:eastAsia="Wingdings" w:cs="Arial" w:ascii="Arial" w:hAnsi="Arial"/>
          <w:sz w:val="20"/>
          <w:szCs w:val="20"/>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ind w:left="1410" w:hanging="1410"/>
        <w:jc w:val="both"/>
        <w:rPr>
          <w:rFonts w:ascii="Arial" w:hAnsi="Arial" w:cs="Arial"/>
          <w:b/>
          <w:b/>
          <w:sz w:val="20"/>
          <w:szCs w:val="20"/>
        </w:rPr>
      </w:pPr>
      <w:r>
        <w:rPr>
          <w:rFonts w:eastAsia="Wingdings" w:cs="Arial" w:ascii="Arial" w:hAnsi="Arial"/>
          <w:b/>
          <w:sz w:val="20"/>
          <w:szCs w:val="20"/>
          <w:u w:val="single"/>
        </w:rPr>
        <w:t>Article 6</w:t>
      </w:r>
      <w:r>
        <w:rPr>
          <w:rFonts w:eastAsia="Wingdings" w:cs="Arial" w:ascii="Arial" w:hAnsi="Arial"/>
          <w:b/>
          <w:sz w:val="20"/>
          <w:szCs w:val="20"/>
        </w:rPr>
        <w:t> :</w:t>
        <w:tab/>
        <w:t>Elargissement du champ d’application du congé pour ancienneté</w:t>
      </w:r>
    </w:p>
    <w:p>
      <w:pPr>
        <w:pStyle w:val="Normal"/>
        <w:spacing w:lineRule="auto" w:line="264"/>
        <w:jc w:val="both"/>
        <w:rPr>
          <w:rFonts w:ascii="Arial" w:hAnsi="Arial" w:eastAsia="Wingdings" w:cs="Arial"/>
          <w:b/>
          <w:b/>
          <w:sz w:val="20"/>
          <w:szCs w:val="20"/>
        </w:rPr>
      </w:pPr>
      <w:r>
        <w:rPr>
          <w:rFonts w:eastAsia="Wingdings" w:cs="Arial" w:ascii="Arial" w:hAnsi="Arial"/>
          <w:b/>
          <w:sz w:val="20"/>
          <w:szCs w:val="20"/>
        </w:rPr>
      </w:r>
    </w:p>
    <w:p>
      <w:pPr>
        <w:pStyle w:val="Normal"/>
        <w:spacing w:lineRule="auto" w:line="264"/>
        <w:jc w:val="both"/>
        <w:rPr>
          <w:rFonts w:ascii="Arial" w:hAnsi="Arial" w:cs="Arial"/>
          <w:sz w:val="20"/>
          <w:szCs w:val="20"/>
        </w:rPr>
      </w:pPr>
      <w:r>
        <w:rPr>
          <w:rFonts w:eastAsia="Wingdings" w:cs="Arial" w:ascii="Arial" w:hAnsi="Arial"/>
          <w:sz w:val="20"/>
          <w:szCs w:val="20"/>
        </w:rPr>
        <w:t>Le critère d’ancienneté pris en compte pour l’attribution d’un congé pour ancienneté sera désormais la date d’ancienneté reconstituée. Jusqu’alors, seule l’ancienneté au sein de l’entreprise était prise en compte pour l’attribution de ce congé.</w:t>
      </w:r>
    </w:p>
    <w:p>
      <w:pPr>
        <w:pStyle w:val="Normal"/>
        <w:spacing w:lineRule="auto" w:line="264"/>
        <w:jc w:val="both"/>
        <w:rPr>
          <w:rFonts w:ascii="Arial" w:hAnsi="Arial" w:cs="Arial"/>
          <w:sz w:val="20"/>
          <w:szCs w:val="20"/>
        </w:rPr>
      </w:pPr>
      <w:r>
        <w:rPr>
          <w:rFonts w:eastAsia="Wingdings" w:cs="Arial" w:ascii="Arial" w:hAnsi="Arial"/>
          <w:sz w:val="20"/>
          <w:szCs w:val="20"/>
        </w:rPr>
        <w:t>Les modalités d’octroi de ce congé supplémentaire reste inchangées, à savoir : l’ensemble des collaborateurs (toute catégorie confondue) ayant une ancienneté supérieure à 5 ans sont éligibles à la date anniversaire.</w:t>
      </w:r>
    </w:p>
    <w:p>
      <w:pPr>
        <w:pStyle w:val="Normal"/>
        <w:jc w:val="both"/>
        <w:rPr>
          <w:rFonts w:eastAsia="Wingdings"/>
        </w:rPr>
      </w:pPr>
      <w:r>
        <w:rPr>
          <w:rFonts w:eastAsia="Wingdings" w:cs="Arial" w:ascii="Arial" w:hAnsi="Arial"/>
          <w:sz w:val="20"/>
          <w:szCs w:val="20"/>
        </w:rPr>
        <w:t>Ce droit à congé est acquis au 1</w:t>
      </w:r>
      <w:r>
        <w:rPr>
          <w:rFonts w:eastAsia="Wingdings" w:cs="Arial" w:ascii="Arial" w:hAnsi="Arial"/>
          <w:sz w:val="20"/>
          <w:szCs w:val="20"/>
          <w:vertAlign w:val="superscript"/>
        </w:rPr>
        <w:t>er</w:t>
      </w:r>
      <w:r>
        <w:rPr>
          <w:rFonts w:eastAsia="Wingdings" w:cs="Arial" w:ascii="Arial" w:hAnsi="Arial"/>
          <w:sz w:val="20"/>
          <w:szCs w:val="20"/>
        </w:rPr>
        <w:t xml:space="preserve"> janvier de chaque année, Ce droit doit être pris au plus tard au 31 décembre de l’année considérée. Ce nouveau compteur intitulé « congés d’ancienneté » ne pourra faire l’objet d’un report au-delà du 31 mai de l’année n+1.</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ind w:left="1410" w:hanging="1410"/>
        <w:jc w:val="both"/>
        <w:rPr>
          <w:rFonts w:ascii="Arial" w:hAnsi="Arial" w:cs="Arial"/>
          <w:b/>
          <w:b/>
          <w:sz w:val="20"/>
          <w:szCs w:val="20"/>
        </w:rPr>
      </w:pPr>
      <w:r>
        <w:rPr>
          <w:rFonts w:eastAsia="Wingdings" w:cs="Arial" w:ascii="Arial" w:hAnsi="Arial"/>
          <w:b/>
          <w:sz w:val="20"/>
          <w:szCs w:val="20"/>
          <w:u w:val="single"/>
        </w:rPr>
        <w:t>Article 7</w:t>
      </w:r>
      <w:r>
        <w:rPr>
          <w:rFonts w:eastAsia="Wingdings" w:cs="Arial" w:ascii="Arial" w:hAnsi="Arial"/>
          <w:b/>
          <w:sz w:val="20"/>
          <w:szCs w:val="20"/>
        </w:rPr>
        <w:t> :</w:t>
        <w:tab/>
        <w:t>Doublement du budget des œuvres sociales qui sera porté à 1,2% dans le respect des dispositions prévues par les textes</w:t>
      </w:r>
    </w:p>
    <w:p>
      <w:pPr>
        <w:pStyle w:val="Normal"/>
        <w:spacing w:lineRule="auto" w:line="264"/>
        <w:jc w:val="both"/>
        <w:rPr>
          <w:rFonts w:ascii="Arial" w:hAnsi="Arial" w:eastAsia="Wingdings" w:cs="Arial"/>
          <w:b/>
          <w:b/>
          <w:sz w:val="20"/>
          <w:szCs w:val="20"/>
        </w:rPr>
      </w:pPr>
      <w:r>
        <w:rPr>
          <w:rFonts w:eastAsia="Wingdings" w:cs="Arial" w:ascii="Arial" w:hAnsi="Arial"/>
          <w:b/>
          <w:sz w:val="20"/>
          <w:szCs w:val="20"/>
        </w:rPr>
      </w:r>
    </w:p>
    <w:p>
      <w:pPr>
        <w:pStyle w:val="Normal"/>
        <w:spacing w:lineRule="auto" w:line="264"/>
        <w:jc w:val="both"/>
        <w:rPr>
          <w:rFonts w:eastAsia="Wingdings"/>
        </w:rPr>
      </w:pPr>
      <w:r>
        <w:rPr>
          <w:rFonts w:eastAsia="Wingdings" w:cs="Arial" w:ascii="Arial" w:hAnsi="Arial"/>
          <w:sz w:val="20"/>
          <w:szCs w:val="20"/>
        </w:rPr>
        <w:t>Cette disposition s’appliquera pour l’ensemble de l’exercice 2019.</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ind w:left="1410" w:hanging="1410"/>
        <w:jc w:val="both"/>
        <w:rPr>
          <w:rFonts w:ascii="Arial" w:hAnsi="Arial" w:cs="Arial"/>
          <w:b/>
          <w:b/>
          <w:sz w:val="20"/>
          <w:szCs w:val="20"/>
        </w:rPr>
      </w:pPr>
      <w:r>
        <w:rPr>
          <w:rFonts w:eastAsia="Wingdings" w:cs="Arial" w:ascii="Arial" w:hAnsi="Arial"/>
          <w:b/>
          <w:sz w:val="20"/>
          <w:szCs w:val="20"/>
          <w:u w:val="single"/>
        </w:rPr>
        <w:t>Article 8</w:t>
      </w:r>
      <w:r>
        <w:rPr>
          <w:rFonts w:eastAsia="Wingdings" w:cs="Arial" w:ascii="Arial" w:hAnsi="Arial"/>
          <w:b/>
          <w:sz w:val="20"/>
          <w:szCs w:val="20"/>
        </w:rPr>
        <w:t> :</w:t>
        <w:tab/>
        <w:t>Paiement intégral des heures supplémentaires effectuées durant la semaine (hors astreintes et rondes) dans la limite des 10 heures par mois.</w:t>
      </w:r>
    </w:p>
    <w:p>
      <w:pPr>
        <w:pStyle w:val="Normal"/>
        <w:ind w:left="1410" w:hanging="1410"/>
        <w:jc w:val="both"/>
        <w:rPr>
          <w:rFonts w:ascii="Arial" w:hAnsi="Arial" w:eastAsia="Wingdings" w:cs="Arial"/>
          <w:b/>
          <w:b/>
          <w:sz w:val="20"/>
          <w:szCs w:val="20"/>
          <w:highlight w:val="yellow"/>
        </w:rPr>
      </w:pPr>
      <w:r>
        <w:rPr>
          <w:rFonts w:eastAsia="Wingdings" w:cs="Arial" w:ascii="Arial" w:hAnsi="Arial"/>
          <w:b/>
          <w:sz w:val="20"/>
          <w:szCs w:val="20"/>
          <w:highlight w:val="yellow"/>
        </w:rPr>
      </w:r>
    </w:p>
    <w:p>
      <w:pPr>
        <w:pStyle w:val="Normal"/>
        <w:spacing w:lineRule="auto" w:line="264"/>
        <w:jc w:val="both"/>
        <w:rPr>
          <w:rFonts w:ascii="Arial" w:hAnsi="Arial" w:cs="Arial"/>
          <w:sz w:val="20"/>
          <w:szCs w:val="20"/>
        </w:rPr>
      </w:pPr>
      <w:r>
        <w:rPr>
          <w:rFonts w:eastAsia="Wingdings" w:cs="Arial" w:ascii="Arial" w:hAnsi="Arial"/>
          <w:sz w:val="20"/>
          <w:szCs w:val="20"/>
        </w:rPr>
        <w:t>Les dix premières heures supplémentaires effectuées en semaine hors week-end et hors astreinte et rondes, seront payées intégralement selon le barème légal tout en respectant les dispositions prévues par notre accord relatif à la durée du travail.</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jc w:val="both"/>
        <w:rPr>
          <w:rFonts w:eastAsia="Wingdings"/>
        </w:rPr>
      </w:pPr>
      <w:r>
        <w:rPr>
          <w:rFonts w:eastAsia="Wingdings" w:cs="Arial" w:ascii="Arial" w:hAnsi="Arial"/>
          <w:sz w:val="20"/>
          <w:szCs w:val="20"/>
        </w:rPr>
        <w:t>Cette nouvelle disposition prendra effet sur le bulletin de paie du mois de juin 2019 (contenant les EVP du mois de mai 2019) sans effet rétroactif. Elle viendra se substituer aux dispositions relatives au compteur RCE (Repos Compensateur Equivalent) jusqu’ici en vigueur.</w:t>
      </w:r>
    </w:p>
    <w:p>
      <w:pPr>
        <w:pStyle w:val="Normal"/>
        <w:spacing w:lineRule="auto" w:line="264"/>
        <w:rPr>
          <w:rFonts w:ascii="Arial" w:hAnsi="Arial" w:eastAsia="Wingdings" w:cs="Arial"/>
          <w:sz w:val="20"/>
          <w:szCs w:val="20"/>
        </w:rPr>
      </w:pPr>
      <w:r>
        <w:rPr>
          <w:rFonts w:eastAsia="Wingdings" w:cs="Arial" w:ascii="Arial" w:hAnsi="Arial"/>
          <w:sz w:val="20"/>
          <w:szCs w:val="20"/>
        </w:rPr>
      </w:r>
    </w:p>
    <w:p>
      <w:pPr>
        <w:pStyle w:val="Normal"/>
        <w:spacing w:lineRule="auto" w:line="264"/>
        <w:jc w:val="both"/>
        <w:rPr>
          <w:rFonts w:ascii="Arial" w:hAnsi="Arial" w:cs="Arial"/>
          <w:b/>
          <w:b/>
          <w:sz w:val="20"/>
          <w:szCs w:val="20"/>
        </w:rPr>
      </w:pPr>
      <w:r>
        <w:rPr>
          <w:rFonts w:eastAsia="Wingdings" w:cs="Arial" w:ascii="Arial" w:hAnsi="Arial"/>
          <w:b/>
          <w:sz w:val="20"/>
          <w:szCs w:val="20"/>
        </w:rPr>
        <w:t>Il est rappelé que chaque manager est responsable de l’utilisation des heures supplémentaires et du nombre d’heures supplémentaires qu’il autorise, l’exécution de chaque heure supplémentaire devant être dûment justifiée et validée.</w:t>
      </w:r>
    </w:p>
    <w:p>
      <w:pPr>
        <w:pStyle w:val="Normal"/>
        <w:spacing w:lineRule="auto" w:line="264"/>
        <w:jc w:val="both"/>
        <w:rPr>
          <w:rFonts w:ascii="Arial" w:hAnsi="Arial" w:eastAsia="Wingdings" w:cs="Arial"/>
          <w:b/>
          <w:b/>
          <w:sz w:val="20"/>
          <w:szCs w:val="20"/>
          <w:highlight w:val="yellow"/>
        </w:rPr>
      </w:pPr>
      <w:r>
        <w:rPr>
          <w:rFonts w:eastAsia="Wingdings" w:cs="Arial" w:ascii="Arial" w:hAnsi="Arial"/>
          <w:b/>
          <w:sz w:val="20"/>
          <w:szCs w:val="20"/>
          <w:highlight w:val="yellow"/>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ind w:left="1410" w:hanging="1410"/>
        <w:jc w:val="both"/>
        <w:rPr>
          <w:rFonts w:ascii="Arial" w:hAnsi="Arial" w:cs="Arial"/>
          <w:b/>
          <w:b/>
          <w:sz w:val="20"/>
          <w:szCs w:val="20"/>
        </w:rPr>
      </w:pPr>
      <w:r>
        <w:rPr>
          <w:rFonts w:eastAsia="Wingdings" w:cs="Arial" w:ascii="Arial" w:hAnsi="Arial"/>
          <w:b/>
          <w:sz w:val="20"/>
          <w:szCs w:val="20"/>
          <w:u w:val="single"/>
        </w:rPr>
        <w:t>Article 9</w:t>
      </w:r>
      <w:r>
        <w:rPr>
          <w:rFonts w:eastAsia="Wingdings" w:cs="Arial" w:ascii="Arial" w:hAnsi="Arial"/>
          <w:b/>
          <w:sz w:val="20"/>
          <w:szCs w:val="20"/>
        </w:rPr>
        <w:t> :</w:t>
        <w:tab/>
        <w:t>Augmentation de la prime toiture portée à 4 euros bruts</w:t>
      </w:r>
    </w:p>
    <w:p>
      <w:pPr>
        <w:pStyle w:val="Normal"/>
        <w:ind w:left="1410" w:hanging="1410"/>
        <w:jc w:val="both"/>
        <w:rPr>
          <w:rFonts w:ascii="Arial" w:hAnsi="Arial" w:eastAsia="Wingdings" w:cs="Arial"/>
          <w:b/>
          <w:b/>
          <w:sz w:val="20"/>
          <w:szCs w:val="20"/>
        </w:rPr>
      </w:pPr>
      <w:r>
        <w:rPr>
          <w:rFonts w:eastAsia="Wingdings" w:cs="Arial" w:ascii="Arial" w:hAnsi="Arial"/>
          <w:b/>
          <w:sz w:val="20"/>
          <w:szCs w:val="20"/>
        </w:rPr>
      </w:r>
    </w:p>
    <w:p>
      <w:pPr>
        <w:pStyle w:val="Normal"/>
        <w:spacing w:lineRule="auto" w:line="264"/>
        <w:jc w:val="both"/>
        <w:rPr>
          <w:rFonts w:ascii="Arial" w:hAnsi="Arial" w:cs="Arial"/>
          <w:sz w:val="20"/>
          <w:szCs w:val="20"/>
        </w:rPr>
      </w:pPr>
      <w:r>
        <w:rPr>
          <w:rFonts w:eastAsia="Wingdings" w:cs="Arial" w:ascii="Arial" w:hAnsi="Arial"/>
          <w:sz w:val="20"/>
          <w:szCs w:val="20"/>
        </w:rPr>
        <w:t>Les conditions d’attribution de la prime en vigueur restent inchangées. Cette disposition s’appliquera sur le bulletin de paie du mois de juin 2019.</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ind w:left="1410" w:hanging="1410"/>
        <w:jc w:val="both"/>
        <w:rPr>
          <w:rFonts w:ascii="Arial" w:hAnsi="Arial" w:cs="Arial"/>
          <w:b/>
          <w:b/>
          <w:sz w:val="20"/>
          <w:szCs w:val="20"/>
        </w:rPr>
      </w:pPr>
      <w:r>
        <w:rPr>
          <w:rFonts w:eastAsia="Wingdings" w:cs="Arial" w:ascii="Arial" w:hAnsi="Arial"/>
          <w:b/>
          <w:sz w:val="20"/>
          <w:szCs w:val="20"/>
          <w:u w:val="single"/>
        </w:rPr>
        <w:t>Article 10</w:t>
      </w:r>
      <w:r>
        <w:rPr>
          <w:rFonts w:eastAsia="Wingdings" w:cs="Arial" w:ascii="Arial" w:hAnsi="Arial"/>
          <w:b/>
          <w:sz w:val="20"/>
          <w:szCs w:val="20"/>
        </w:rPr>
        <w:t> :</w:t>
        <w:tab/>
        <w:t>Augmentation et modification de l’indemnité «intervention en zone nucléaire contrôlée », elle est portée à 10 euros bruts</w:t>
      </w:r>
    </w:p>
    <w:p>
      <w:pPr>
        <w:pStyle w:val="Normal"/>
        <w:spacing w:lineRule="auto" w:line="264"/>
        <w:jc w:val="both"/>
        <w:rPr>
          <w:rFonts w:ascii="Arial" w:hAnsi="Arial" w:eastAsia="Wingdings" w:cs="Arial"/>
          <w:b/>
          <w:b/>
          <w:sz w:val="20"/>
          <w:szCs w:val="20"/>
        </w:rPr>
      </w:pPr>
      <w:r>
        <w:rPr>
          <w:rFonts w:eastAsia="Wingdings" w:cs="Arial" w:ascii="Arial" w:hAnsi="Arial"/>
          <w:b/>
          <w:sz w:val="20"/>
          <w:szCs w:val="20"/>
        </w:rPr>
      </w:r>
    </w:p>
    <w:p>
      <w:pPr>
        <w:pStyle w:val="Normal"/>
        <w:spacing w:lineRule="auto" w:line="264"/>
        <w:jc w:val="both"/>
        <w:rPr>
          <w:rFonts w:ascii="Arial" w:hAnsi="Arial" w:cs="Arial"/>
          <w:sz w:val="20"/>
          <w:szCs w:val="20"/>
        </w:rPr>
      </w:pPr>
      <w:r>
        <w:rPr>
          <w:rFonts w:eastAsia="Wingdings" w:cs="Arial" w:ascii="Arial" w:hAnsi="Arial"/>
          <w:sz w:val="20"/>
          <w:szCs w:val="20"/>
        </w:rPr>
        <w:t>Pour mettre en œuvre cette disposition il est convenu de dissocier les interventions en zone nucléaire des autres interventions en zone amiante, espace confiné. A cet effet, il sera créé deux rubriques de paie différentes.</w:t>
      </w:r>
    </w:p>
    <w:p>
      <w:pPr>
        <w:pStyle w:val="Normal"/>
        <w:spacing w:lineRule="auto" w:line="264"/>
        <w:jc w:val="both"/>
        <w:rPr>
          <w:rFonts w:eastAsia="Wingdings"/>
        </w:rPr>
      </w:pPr>
      <w:r>
        <w:rPr>
          <w:rFonts w:eastAsia="Wingdings" w:cs="Arial" w:ascii="Arial" w:hAnsi="Arial"/>
          <w:sz w:val="20"/>
          <w:szCs w:val="20"/>
        </w:rPr>
        <w:t>Seul le montant de l’indemnité liée aux interventions en zone nucléaire contrôlées sera portée à 10 euros bruts par jour d’intervention.</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jc w:val="both"/>
        <w:rPr>
          <w:rFonts w:ascii="Arial" w:hAnsi="Arial" w:cs="Arial"/>
          <w:sz w:val="20"/>
          <w:szCs w:val="20"/>
        </w:rPr>
      </w:pPr>
      <w:r>
        <w:rPr>
          <w:rFonts w:eastAsia="Wingdings" w:cs="Arial" w:ascii="Arial" w:hAnsi="Arial"/>
          <w:sz w:val="20"/>
          <w:szCs w:val="20"/>
        </w:rPr>
        <w:t>Cette disposition s’appliquera sur le bulletin de paie du mois de juin 2019.</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spacing w:lineRule="auto" w:line="264"/>
        <w:jc w:val="both"/>
        <w:rPr>
          <w:rFonts w:ascii="Arial" w:hAnsi="Arial" w:cs="Arial"/>
          <w:sz w:val="20"/>
          <w:szCs w:val="20"/>
        </w:rPr>
      </w:pPr>
      <w:r>
        <w:rPr>
          <w:rFonts w:eastAsia="Wingdings" w:cs="Arial" w:ascii="Arial" w:hAnsi="Arial"/>
          <w:sz w:val="20"/>
          <w:szCs w:val="20"/>
        </w:rPr>
        <w:t xml:space="preserve">Il est rappelé que les mesures salariales visant la population cadre sont uniquement individuelles et fixées dans le cadre des orientations définies par le Groupe VEOLIA. </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spacing w:lineRule="auto" w:line="264"/>
        <w:jc w:val="both"/>
        <w:rPr>
          <w:rFonts w:ascii="Arial" w:hAnsi="Arial" w:eastAsia="Wingdings" w:cs="Arial"/>
          <w:sz w:val="20"/>
          <w:szCs w:val="20"/>
        </w:rPr>
      </w:pPr>
      <w:r>
        <w:rPr>
          <w:rFonts w:eastAsia="Wingdings" w:cs="Arial" w:ascii="Arial" w:hAnsi="Arial"/>
          <w:sz w:val="20"/>
          <w:szCs w:val="20"/>
        </w:rPr>
        <w:t xml:space="preserve">Les parties signataires réaffirment leur volonté de voir s’appliquer effectivement le principe de l’égalité de rémunération entre les femmes et les hommes. Elles considèrent que le respect de ce principe constitue un élément essentiel de la dynamique de l’égalité professionnelle et contribue largement à favoriser la mixité des emplois. </w:t>
      </w:r>
    </w:p>
    <w:p>
      <w:pPr>
        <w:pStyle w:val="Normal"/>
        <w:spacing w:lineRule="auto" w:line="264"/>
        <w:jc w:val="both"/>
        <w:rPr>
          <w:rFonts w:eastAsia="Wingdings"/>
        </w:rPr>
      </w:pPr>
      <w:r>
        <w:rPr>
          <w:rFonts w:eastAsia="Wingdings" w:cs="Arial" w:ascii="Arial" w:hAnsi="Arial"/>
          <w:sz w:val="20"/>
          <w:szCs w:val="20"/>
        </w:rPr>
        <w:t>C’est dans cet objectif qu’une analyse de l’évolution des salaires entre les femmes et les hommes est réalisée à travers le rapport annuel lors de l’ouverture des négociations annuelles obligatoires chaque année.</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ind w:left="3540" w:firstLine="708"/>
        <w:rPr>
          <w:rFonts w:ascii="Arial" w:hAnsi="Arial" w:cs="Arial"/>
          <w:sz w:val="20"/>
          <w:szCs w:val="20"/>
        </w:rPr>
      </w:pPr>
      <w:r>
        <w:rPr>
          <w:rFonts w:eastAsia="Wingdings" w:cs="Wingdings" w:ascii="Wingdings" w:hAnsi="Wingdings"/>
          <w:sz w:val="20"/>
          <w:szCs w:val="20"/>
        </w:rPr>
        <w:t></w:t>
      </w:r>
    </w:p>
    <w:p>
      <w:pPr>
        <w:pStyle w:val="Normal"/>
        <w:spacing w:lineRule="auto" w:line="264"/>
        <w:jc w:val="both"/>
        <w:rPr>
          <w:rFonts w:ascii="Arial" w:hAnsi="Arial" w:eastAsia="Wingdings" w:cs="Arial"/>
          <w:sz w:val="20"/>
          <w:szCs w:val="20"/>
        </w:rPr>
      </w:pPr>
      <w:r>
        <w:rPr>
          <w:rFonts w:eastAsia="Wingdings" w:cs="Arial" w:ascii="Arial" w:hAnsi="Arial"/>
          <w:sz w:val="20"/>
          <w:szCs w:val="20"/>
        </w:rPr>
        <w:t>L’ensemble des dispositions générales visées par le présent protocole sont récapitulées dans l’annexe 1 du présent protocole.</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jc w:val="both"/>
        <w:rPr>
          <w:rFonts w:ascii="Arial" w:hAnsi="Arial" w:cs="Arial"/>
          <w:sz w:val="20"/>
          <w:szCs w:val="20"/>
        </w:rPr>
      </w:pPr>
      <w:r>
        <w:rPr>
          <w:rFonts w:eastAsia="Wingdings" w:cs="Arial" w:ascii="Arial" w:hAnsi="Arial"/>
          <w:sz w:val="20"/>
          <w:szCs w:val="20"/>
        </w:rPr>
        <w:t>Fait à Rueil Malmaison, le 15 mars 2019 en 5 exemplaires originaux</w:t>
      </w:r>
    </w:p>
    <w:p>
      <w:pPr>
        <w:pStyle w:val="Normal"/>
        <w:spacing w:lineRule="auto" w:line="264"/>
        <w:jc w:val="both"/>
        <w:rPr>
          <w:rFonts w:ascii="Arial" w:hAnsi="Arial" w:eastAsia="Wingdings" w:cs="Arial"/>
          <w:sz w:val="20"/>
          <w:szCs w:val="20"/>
        </w:rPr>
      </w:pPr>
      <w:r>
        <w:rPr>
          <w:rFonts w:eastAsia="Wingdings" w:cs="Arial" w:ascii="Arial" w:hAnsi="Arial"/>
          <w:sz w:val="20"/>
          <w:szCs w:val="20"/>
        </w:rPr>
      </w:r>
    </w:p>
    <w:p>
      <w:pPr>
        <w:pStyle w:val="Normal"/>
        <w:spacing w:lineRule="auto" w:line="264"/>
        <w:jc w:val="both"/>
        <w:rPr>
          <w:rFonts w:ascii="Arial" w:hAnsi="Arial" w:eastAsia="Wingdings" w:cs="Arial"/>
          <w:sz w:val="18"/>
          <w:szCs w:val="20"/>
        </w:rPr>
      </w:pPr>
      <w:r>
        <w:rPr>
          <w:rFonts w:eastAsia="Wingdings" w:cs="Arial" w:ascii="Arial" w:hAnsi="Arial"/>
          <w:sz w:val="18"/>
          <w:szCs w:val="20"/>
        </w:rPr>
      </w:r>
    </w:p>
    <w:tbl>
      <w:tblPr>
        <w:tblW w:w="9191" w:type="dxa"/>
        <w:jc w:val="left"/>
        <w:tblInd w:w="70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87"/>
        <w:gridCol w:w="4404"/>
      </w:tblGrid>
      <w:tr>
        <w:trPr>
          <w:trHeight w:val="320" w:hRule="atLeast"/>
        </w:trPr>
        <w:tc>
          <w:tcPr>
            <w:tcW w:w="478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64"/>
              <w:jc w:val="center"/>
              <w:rPr>
                <w:rFonts w:ascii="Arial" w:hAnsi="Arial" w:eastAsia="Wingdings" w:cs="Arial"/>
                <w:sz w:val="18"/>
                <w:szCs w:val="20"/>
              </w:rPr>
            </w:pPr>
            <w:r>
              <w:rPr>
                <w:rFonts w:eastAsia="Wingdings" w:cs="Arial" w:ascii="Arial" w:hAnsi="Arial"/>
                <w:sz w:val="18"/>
                <w:szCs w:val="20"/>
              </w:rPr>
              <w:t>Pour la Direction</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64"/>
              <w:jc w:val="center"/>
              <w:rPr>
                <w:rFonts w:ascii="Arial" w:hAnsi="Arial" w:cs="Arial"/>
                <w:sz w:val="18"/>
                <w:szCs w:val="20"/>
              </w:rPr>
            </w:pPr>
            <w:r>
              <w:rPr>
                <w:rFonts w:eastAsia="Wingdings" w:cs="Arial" w:ascii="Arial" w:hAnsi="Arial"/>
                <w:sz w:val="18"/>
                <w:szCs w:val="20"/>
              </w:rPr>
              <w:t>Pour la C.F.D.T</w:t>
            </w:r>
          </w:p>
        </w:tc>
      </w:tr>
      <w:tr>
        <w:trPr>
          <w:trHeight w:val="1587" w:hRule="atLeast"/>
        </w:trPr>
        <w:tc>
          <w:tcPr>
            <w:tcW w:w="47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64"/>
              <w:jc w:val="center"/>
              <w:rPr>
                <w:rFonts w:ascii="Arial" w:hAnsi="Arial" w:eastAsia="Wingdings" w:cs="Arial"/>
                <w:sz w:val="18"/>
                <w:szCs w:val="20"/>
              </w:rPr>
            </w:pPr>
            <w:r>
              <w:rPr>
                <w:rFonts w:eastAsia="Wingdings" w:cs="Arial" w:ascii="Arial" w:hAnsi="Arial"/>
                <w:sz w:val="18"/>
                <w:szCs w:val="20"/>
              </w:rPr>
              <w:t>Directeur Général Exécutif</w:t>
            </w:r>
          </w:p>
          <w:p>
            <w:pPr>
              <w:pStyle w:val="Normal"/>
              <w:spacing w:lineRule="auto" w:line="264"/>
              <w:jc w:val="center"/>
              <w:rPr>
                <w:rFonts w:ascii="Arial" w:hAnsi="Arial" w:eastAsia="Wingdings" w:cs="Arial"/>
                <w:sz w:val="18"/>
                <w:szCs w:val="20"/>
              </w:rPr>
            </w:pPr>
            <w:r>
              <w:rPr>
                <w:rFonts w:eastAsia="Wingdings" w:cs="Arial" w:ascii="Arial" w:hAnsi="Arial"/>
                <w:sz w:val="18"/>
                <w:szCs w:val="20"/>
              </w:rPr>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64"/>
              <w:jc w:val="center"/>
              <w:rPr>
                <w:rFonts w:ascii="Arial" w:hAnsi="Arial" w:cs="Arial"/>
                <w:sz w:val="18"/>
                <w:szCs w:val="20"/>
              </w:rPr>
            </w:pPr>
            <w:r>
              <w:rPr>
                <w:rFonts w:eastAsia="Wingdings" w:cs="Arial" w:ascii="Arial" w:hAnsi="Arial"/>
                <w:sz w:val="18"/>
                <w:szCs w:val="20"/>
              </w:rPr>
              <w:t>Délégué Syndical</w:t>
            </w:r>
          </w:p>
          <w:p>
            <w:pPr>
              <w:pStyle w:val="Normal"/>
              <w:spacing w:lineRule="auto" w:line="264"/>
              <w:jc w:val="center"/>
              <w:rPr>
                <w:rFonts w:ascii="Arial" w:hAnsi="Arial" w:eastAsia="Wingdings" w:cs="Arial"/>
                <w:sz w:val="18"/>
                <w:szCs w:val="20"/>
              </w:rPr>
            </w:pPr>
            <w:r>
              <w:rPr>
                <w:rFonts w:eastAsia="Wingdings" w:cs="Arial" w:ascii="Arial" w:hAnsi="Arial"/>
                <w:sz w:val="18"/>
                <w:szCs w:val="20"/>
              </w:rPr>
            </w:r>
          </w:p>
          <w:p>
            <w:pPr>
              <w:pStyle w:val="Normal"/>
              <w:spacing w:lineRule="auto" w:line="264"/>
              <w:jc w:val="center"/>
              <w:rPr>
                <w:rFonts w:ascii="Arial" w:hAnsi="Arial" w:eastAsia="Wingdings" w:cs="Arial"/>
                <w:sz w:val="18"/>
                <w:szCs w:val="20"/>
              </w:rPr>
            </w:pPr>
            <w:r>
              <w:rPr>
                <w:rFonts w:eastAsia="Wingdings" w:cs="Arial" w:ascii="Arial" w:hAnsi="Arial"/>
                <w:sz w:val="18"/>
                <w:szCs w:val="20"/>
              </w:rPr>
            </w:r>
          </w:p>
        </w:tc>
      </w:tr>
    </w:tbl>
    <w:p>
      <w:pPr>
        <w:pStyle w:val="Normal"/>
        <w:spacing w:lineRule="auto" w:line="264"/>
        <w:jc w:val="both"/>
        <w:rPr>
          <w:rFonts w:ascii="Arial" w:hAnsi="Arial" w:eastAsia="Wingdings" w:cs="Arial"/>
          <w:sz w:val="18"/>
          <w:szCs w:val="20"/>
        </w:rPr>
      </w:pPr>
      <w:r>
        <w:rPr>
          <w:rFonts w:eastAsia="Wingdings" w:cs="Arial" w:ascii="Arial" w:hAnsi="Arial"/>
          <w:sz w:val="18"/>
          <w:szCs w:val="20"/>
        </w:rPr>
      </w:r>
    </w:p>
    <w:p>
      <w:pPr>
        <w:pStyle w:val="Normal"/>
        <w:spacing w:lineRule="auto" w:line="264"/>
        <w:jc w:val="both"/>
        <w:rPr>
          <w:rFonts w:ascii="Arial" w:hAnsi="Arial" w:eastAsia="Wingdings" w:cs="Arial"/>
          <w:sz w:val="18"/>
          <w:szCs w:val="20"/>
        </w:rPr>
      </w:pPr>
      <w:r>
        <w:rPr>
          <w:rFonts w:eastAsia="Wingdings" w:cs="Arial" w:ascii="Arial" w:hAnsi="Arial"/>
          <w:sz w:val="18"/>
          <w:szCs w:val="20"/>
        </w:rPr>
      </w:r>
      <w:r>
        <w:br w:type="page"/>
      </w:r>
    </w:p>
    <w:p>
      <w:pPr>
        <w:pStyle w:val="Normal"/>
        <w:spacing w:lineRule="auto" w:line="264"/>
        <w:jc w:val="both"/>
        <w:rPr>
          <w:rFonts w:ascii="Arial" w:hAnsi="Arial" w:eastAsia="Wingdings" w:cs="Arial"/>
          <w:sz w:val="18"/>
          <w:szCs w:val="20"/>
        </w:rPr>
      </w:pPr>
      <w:r>
        <w:rPr>
          <w:rFonts w:eastAsia="Wingdings" w:cs="Arial" w:ascii="Arial" w:hAnsi="Arial"/>
          <w:sz w:val="18"/>
          <w:szCs w:val="20"/>
        </w:rPr>
      </w:r>
    </w:p>
    <w:p>
      <w:pPr>
        <w:pStyle w:val="Normal"/>
        <w:tabs>
          <w:tab w:val="left" w:pos="720" w:leader="none"/>
        </w:tabs>
        <w:jc w:val="center"/>
        <w:rPr>
          <w:rFonts w:ascii="Arial" w:hAnsi="Arial" w:cs="Arial"/>
          <w:b/>
          <w:b/>
          <w:bCs/>
          <w:sz w:val="22"/>
          <w:szCs w:val="20"/>
          <w:u w:val="single"/>
        </w:rPr>
      </w:pPr>
      <w:r>
        <w:rPr>
          <w:rFonts w:eastAsia="Wingdings" w:cs="Arial" w:ascii="Arial" w:hAnsi="Arial"/>
          <w:b/>
          <w:bCs/>
          <w:sz w:val="22"/>
          <w:szCs w:val="20"/>
          <w:u w:val="single"/>
        </w:rPr>
        <w:t>ANNEXE 1 : Montant des Salaires bruts minimums, Primes et Indemnités applicables</w:t>
      </w:r>
    </w:p>
    <w:p>
      <w:pPr>
        <w:pStyle w:val="Normal"/>
        <w:tabs>
          <w:tab w:val="left" w:pos="720" w:leader="none"/>
        </w:tabs>
        <w:jc w:val="both"/>
        <w:rPr>
          <w:rFonts w:ascii="Arial" w:hAnsi="Arial" w:eastAsia="Wingdings" w:cs="Arial"/>
          <w:b/>
          <w:b/>
          <w:bCs/>
          <w:sz w:val="20"/>
          <w:szCs w:val="20"/>
          <w:u w:val="single"/>
        </w:rPr>
      </w:pPr>
      <w:r>
        <w:rPr>
          <w:rFonts w:eastAsia="Wingdings" w:cs="Arial" w:ascii="Arial" w:hAnsi="Arial"/>
          <w:b/>
          <w:bCs/>
          <w:sz w:val="20"/>
          <w:szCs w:val="20"/>
          <w:u w:val="single"/>
        </w:rPr>
      </w:r>
    </w:p>
    <w:p>
      <w:pPr>
        <w:pStyle w:val="Normal"/>
        <w:tabs>
          <w:tab w:val="left" w:pos="720" w:leader="none"/>
        </w:tabs>
        <w:jc w:val="both"/>
        <w:rPr>
          <w:rFonts w:ascii="Arial" w:hAnsi="Arial" w:cs="Arial"/>
          <w:sz w:val="20"/>
          <w:szCs w:val="20"/>
        </w:rPr>
      </w:pPr>
      <w:r>
        <w:rPr>
          <w:rFonts w:eastAsia="Wingdings" w:cs="Arial" w:ascii="Arial" w:hAnsi="Arial"/>
          <w:sz w:val="20"/>
          <w:szCs w:val="20"/>
        </w:rPr>
        <w:t>Mise à jour suite aux Négociations Annuelles Obligatoires 2019 et dispositions visées par le protocole d’accord signé en date du 15 mars 2019.</w:t>
      </w:r>
    </w:p>
    <w:p>
      <w:pPr>
        <w:pStyle w:val="Normal"/>
        <w:tabs>
          <w:tab w:val="left" w:pos="720" w:leader="none"/>
        </w:tabs>
        <w:jc w:val="both"/>
        <w:rPr>
          <w:rFonts w:ascii="Arial" w:hAnsi="Arial" w:eastAsia="Wingdings" w:cs="Arial"/>
          <w:sz w:val="20"/>
          <w:szCs w:val="20"/>
        </w:rPr>
      </w:pPr>
      <w:r>
        <w:rPr>
          <w:rFonts w:eastAsia="Wingdings" w:cs="Arial" w:ascii="Arial" w:hAnsi="Arial"/>
          <w:sz w:val="20"/>
          <w:szCs w:val="20"/>
        </w:rPr>
      </w:r>
    </w:p>
    <w:p>
      <w:pPr>
        <w:pStyle w:val="Normal"/>
        <w:tabs>
          <w:tab w:val="left" w:pos="720" w:leader="none"/>
        </w:tabs>
        <w:jc w:val="both"/>
        <w:rPr>
          <w:rFonts w:eastAsia="Wingdings"/>
        </w:rPr>
      </w:pPr>
      <w:r>
        <w:rPr>
          <w:rFonts w:eastAsia="Wingdings" w:cs="Arial" w:ascii="Arial" w:hAnsi="Arial"/>
          <w:sz w:val="20"/>
          <w:szCs w:val="20"/>
        </w:rPr>
        <w:t xml:space="preserve">Le salaire brut minimum annuel garantie (euros) au sein de DEFENSE ENVIRONNEMENT SERVICES est fixé à </w:t>
      </w:r>
      <w:r>
        <w:rPr>
          <w:rFonts w:eastAsia="Wingdings" w:cs="Arial" w:ascii="Arial" w:hAnsi="Arial"/>
          <w:b/>
          <w:sz w:val="20"/>
          <w:szCs w:val="20"/>
        </w:rPr>
        <w:t xml:space="preserve">21 480 euros </w:t>
      </w:r>
      <w:r>
        <w:rPr>
          <w:rFonts w:eastAsia="Wingdings" w:cs="Arial" w:ascii="Arial" w:hAnsi="Arial"/>
          <w:sz w:val="20"/>
          <w:szCs w:val="20"/>
        </w:rPr>
        <w:t>soit</w:t>
      </w:r>
      <w:r>
        <w:rPr>
          <w:rFonts w:eastAsia="Wingdings" w:cs="Arial" w:ascii="Arial" w:hAnsi="Arial"/>
          <w:b/>
          <w:sz w:val="20"/>
          <w:szCs w:val="20"/>
        </w:rPr>
        <w:t xml:space="preserve"> 1 790 euros bruts mensuel.</w:t>
      </w:r>
    </w:p>
    <w:p>
      <w:pPr>
        <w:pStyle w:val="Normal"/>
        <w:tabs>
          <w:tab w:val="left" w:pos="720" w:leader="none"/>
        </w:tabs>
        <w:jc w:val="both"/>
        <w:rPr>
          <w:rFonts w:ascii="Arial" w:hAnsi="Arial" w:eastAsia="Wingdings" w:cs="Arial"/>
          <w:b/>
          <w:b/>
          <w:sz w:val="18"/>
          <w:szCs w:val="20"/>
        </w:rPr>
      </w:pPr>
      <w:r>
        <w:rPr>
          <w:rFonts w:eastAsia="Wingdings" w:cs="Arial" w:ascii="Arial" w:hAnsi="Arial"/>
          <w:b/>
          <w:sz w:val="18"/>
          <w:szCs w:val="20"/>
        </w:rPr>
      </w:r>
    </w:p>
    <w:p>
      <w:pPr>
        <w:pStyle w:val="Normal"/>
        <w:tabs>
          <w:tab w:val="left" w:pos="720" w:leader="none"/>
        </w:tabs>
        <w:jc w:val="both"/>
        <w:rPr>
          <w:rFonts w:ascii="Arial" w:hAnsi="Arial" w:eastAsia="Wingdings" w:cs="Arial"/>
          <w:b/>
          <w:b/>
          <w:sz w:val="18"/>
          <w:szCs w:val="20"/>
        </w:rPr>
      </w:pPr>
      <w:r>
        <w:rPr>
          <w:rFonts w:eastAsia="Wingdings" w:cs="Arial" w:ascii="Arial" w:hAnsi="Arial"/>
          <w:b/>
          <w:sz w:val="18"/>
          <w:szCs w:val="20"/>
        </w:rPr>
      </w:r>
    </w:p>
    <w:tbl>
      <w:tblPr>
        <w:tblW w:w="9874"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4927"/>
        <w:gridCol w:w="4947"/>
      </w:tblGrid>
      <w:tr>
        <w:trPr>
          <w:trHeight w:val="397" w:hRule="atLeast"/>
        </w:trPr>
        <w:tc>
          <w:tcPr>
            <w:tcW w:w="4927" w:type="dxa"/>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jc w:val="center"/>
              <w:rPr>
                <w:rFonts w:ascii="Arial" w:hAnsi="Arial" w:eastAsia="Calibri" w:cs="Arial"/>
                <w:b/>
                <w:b/>
                <w:sz w:val="20"/>
                <w:szCs w:val="20"/>
                <w:lang w:eastAsia="en-US"/>
              </w:rPr>
            </w:pPr>
            <w:r>
              <w:rPr>
                <w:rFonts w:eastAsia="Wingdings" w:cs="Arial" w:ascii="Arial" w:hAnsi="Arial"/>
                <w:b/>
                <w:sz w:val="20"/>
                <w:szCs w:val="20"/>
              </w:rPr>
              <w:t>PRIMES / INDEMNITES NON CADRES</w:t>
            </w:r>
          </w:p>
        </w:tc>
        <w:tc>
          <w:tcPr>
            <w:tcW w:w="494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jc w:val="center"/>
              <w:rPr>
                <w:rFonts w:ascii="Arial" w:hAnsi="Arial" w:eastAsia="Calibri" w:cs="Arial"/>
                <w:b/>
                <w:b/>
                <w:sz w:val="20"/>
                <w:szCs w:val="20"/>
                <w:lang w:eastAsia="en-US"/>
              </w:rPr>
            </w:pPr>
            <w:r>
              <w:rPr>
                <w:rFonts w:cs="Arial" w:ascii="Arial" w:hAnsi="Arial"/>
                <w:b/>
                <w:sz w:val="20"/>
                <w:szCs w:val="20"/>
              </w:rPr>
              <w:t>MONTANTS en Euros</w:t>
            </w:r>
          </w:p>
        </w:tc>
      </w:tr>
      <w:tr>
        <w:trPr>
          <w:trHeight w:val="340"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cs="Arial"/>
                <w:sz w:val="18"/>
                <w:szCs w:val="20"/>
              </w:rPr>
            </w:pPr>
            <w:r>
              <w:rPr>
                <w:rFonts w:cs="Arial" w:ascii="Arial" w:hAnsi="Arial"/>
                <w:sz w:val="18"/>
                <w:szCs w:val="20"/>
              </w:rPr>
              <w:t>Indemnité d’astreinte Non-Cadre</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eastAsia="Calibri" w:cs="Arial"/>
                <w:sz w:val="18"/>
                <w:szCs w:val="20"/>
                <w:lang w:eastAsia="en-US"/>
              </w:rPr>
            </w:pPr>
            <w:r>
              <w:rPr>
                <w:rFonts w:cs="Arial" w:ascii="Arial" w:hAnsi="Arial"/>
                <w:sz w:val="18"/>
                <w:szCs w:val="20"/>
              </w:rPr>
              <w:t>1.43 € bruts / heure</w:t>
            </w:r>
          </w:p>
        </w:tc>
      </w:tr>
      <w:tr>
        <w:trPr>
          <w:trHeight w:val="340"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eastAsia="Calibri" w:cs="Arial"/>
                <w:sz w:val="18"/>
                <w:szCs w:val="20"/>
                <w:lang w:eastAsia="en-US"/>
              </w:rPr>
            </w:pPr>
            <w:r>
              <w:rPr>
                <w:rFonts w:cs="Arial" w:ascii="Arial" w:hAnsi="Arial"/>
                <w:sz w:val="18"/>
                <w:szCs w:val="20"/>
              </w:rPr>
              <w:t>Prime de nuitée</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eastAsia="Calibri" w:cs="Arial"/>
                <w:sz w:val="18"/>
                <w:szCs w:val="20"/>
                <w:lang w:eastAsia="en-US"/>
              </w:rPr>
            </w:pPr>
            <w:r>
              <w:rPr>
                <w:rFonts w:cs="Arial" w:ascii="Arial" w:hAnsi="Arial"/>
                <w:sz w:val="18"/>
                <w:szCs w:val="20"/>
              </w:rPr>
              <w:t>20 € bruts / nuit</w:t>
            </w:r>
          </w:p>
        </w:tc>
      </w:tr>
      <w:tr>
        <w:trPr>
          <w:trHeight w:val="340"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cs="Arial"/>
                <w:sz w:val="18"/>
                <w:szCs w:val="20"/>
                <w:highlight w:val="cyan"/>
              </w:rPr>
            </w:pPr>
            <w:r>
              <w:rPr>
                <w:rFonts w:cs="Arial" w:ascii="Arial" w:hAnsi="Arial"/>
                <w:sz w:val="18"/>
                <w:szCs w:val="20"/>
              </w:rPr>
              <w:t>Intervention en zone nucléaire contrôlée</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cs="Arial"/>
                <w:sz w:val="18"/>
                <w:szCs w:val="20"/>
              </w:rPr>
            </w:pPr>
            <w:r>
              <w:rPr>
                <w:rFonts w:cs="Arial" w:ascii="Arial" w:hAnsi="Arial"/>
                <w:sz w:val="18"/>
                <w:szCs w:val="20"/>
              </w:rPr>
              <w:t>10€ bruts / jour d’intervention</w:t>
            </w:r>
          </w:p>
        </w:tc>
      </w:tr>
      <w:tr>
        <w:trPr>
          <w:trHeight w:val="519"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eastAsia="Calibri" w:cs="Arial"/>
                <w:sz w:val="18"/>
                <w:szCs w:val="20"/>
                <w:lang w:eastAsia="en-US"/>
              </w:rPr>
            </w:pPr>
            <w:r>
              <w:rPr>
                <w:rFonts w:eastAsia="Calibri" w:cs="Arial" w:ascii="Arial" w:hAnsi="Arial"/>
                <w:sz w:val="18"/>
                <w:szCs w:val="20"/>
                <w:lang w:eastAsia="en-US"/>
              </w:rPr>
              <w:t>Intervention en zone amiante, zone confinée</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eastAsia="Calibri" w:cs="Arial"/>
                <w:sz w:val="18"/>
                <w:szCs w:val="20"/>
                <w:lang w:eastAsia="en-US"/>
              </w:rPr>
            </w:pPr>
            <w:r>
              <w:rPr>
                <w:rFonts w:cs="Arial" w:ascii="Arial" w:hAnsi="Arial"/>
                <w:sz w:val="18"/>
                <w:szCs w:val="20"/>
              </w:rPr>
              <w:t>7€ bruts / jour d’intervention</w:t>
            </w:r>
          </w:p>
        </w:tc>
      </w:tr>
      <w:tr>
        <w:trPr>
          <w:trHeight w:val="340"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eastAsia="Calibri" w:cs="Arial"/>
                <w:sz w:val="18"/>
                <w:szCs w:val="20"/>
                <w:lang w:eastAsia="en-US"/>
              </w:rPr>
            </w:pPr>
            <w:r>
              <w:rPr>
                <w:rFonts w:cs="Arial" w:ascii="Arial" w:hAnsi="Arial"/>
                <w:sz w:val="18"/>
                <w:szCs w:val="20"/>
              </w:rPr>
              <w:t>Indemnité de traversée Île Longue</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eastAsia="Calibri" w:cs="Arial"/>
                <w:sz w:val="18"/>
                <w:szCs w:val="20"/>
                <w:lang w:eastAsia="en-US"/>
              </w:rPr>
            </w:pPr>
            <w:r>
              <w:rPr>
                <w:rFonts w:cs="Arial" w:ascii="Arial" w:hAnsi="Arial"/>
                <w:sz w:val="18"/>
                <w:szCs w:val="20"/>
              </w:rPr>
              <w:t>10 € bruts / jour</w:t>
            </w:r>
          </w:p>
        </w:tc>
      </w:tr>
      <w:tr>
        <w:trPr>
          <w:trHeight w:val="454"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eastAsia="Calibri" w:cs="Arial"/>
                <w:sz w:val="18"/>
                <w:szCs w:val="20"/>
                <w:lang w:eastAsia="en-US"/>
              </w:rPr>
            </w:pPr>
            <w:r>
              <w:rPr>
                <w:rFonts w:cs="Arial" w:ascii="Arial" w:hAnsi="Arial"/>
                <w:sz w:val="18"/>
                <w:szCs w:val="20"/>
              </w:rPr>
              <w:t>Prime de vacances (en année pleine et selon dispositions en vigueur)</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eastAsia="Calibri" w:cs="Arial"/>
                <w:sz w:val="18"/>
                <w:szCs w:val="20"/>
                <w:lang w:eastAsia="en-US"/>
              </w:rPr>
            </w:pPr>
            <w:r>
              <w:rPr>
                <w:rFonts w:cs="Arial" w:ascii="Arial" w:hAnsi="Arial"/>
                <w:sz w:val="18"/>
                <w:szCs w:val="20"/>
              </w:rPr>
              <w:t>550 € bruts</w:t>
            </w:r>
          </w:p>
        </w:tc>
      </w:tr>
      <w:tr>
        <w:trPr>
          <w:trHeight w:val="543"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cs="Arial"/>
                <w:sz w:val="18"/>
                <w:szCs w:val="20"/>
              </w:rPr>
            </w:pPr>
            <w:r>
              <w:rPr>
                <w:rFonts w:cs="Arial" w:ascii="Arial" w:hAnsi="Arial"/>
                <w:sz w:val="18"/>
                <w:szCs w:val="20"/>
              </w:rPr>
              <w:t>Prime Qualité de service (année pleine et selon dispositions en vigueur)</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cs="Arial"/>
                <w:sz w:val="18"/>
                <w:szCs w:val="20"/>
              </w:rPr>
            </w:pPr>
            <w:r>
              <w:rPr>
                <w:rFonts w:cs="Arial" w:ascii="Arial" w:hAnsi="Arial"/>
                <w:sz w:val="18"/>
                <w:szCs w:val="20"/>
              </w:rPr>
              <w:t>550 € bruts ou 750 € bruts</w:t>
            </w:r>
          </w:p>
        </w:tc>
      </w:tr>
      <w:tr>
        <w:trPr>
          <w:trHeight w:val="340"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eastAsia="Calibri" w:cs="Arial"/>
                <w:sz w:val="18"/>
                <w:szCs w:val="20"/>
                <w:lang w:eastAsia="en-US"/>
              </w:rPr>
            </w:pPr>
            <w:r>
              <w:rPr>
                <w:rFonts w:cs="Arial" w:ascii="Arial" w:hAnsi="Arial"/>
                <w:sz w:val="18"/>
                <w:szCs w:val="20"/>
              </w:rPr>
              <w:t>Prime d’entretien – Niveau 1</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eastAsia="Calibri" w:cs="Arial"/>
                <w:sz w:val="18"/>
                <w:szCs w:val="20"/>
                <w:lang w:eastAsia="en-US"/>
              </w:rPr>
            </w:pPr>
            <w:r>
              <w:rPr>
                <w:rFonts w:cs="Arial" w:ascii="Arial" w:hAnsi="Arial"/>
                <w:sz w:val="18"/>
                <w:szCs w:val="20"/>
              </w:rPr>
              <w:t>1.79 € nets / jour travaillé</w:t>
            </w:r>
          </w:p>
        </w:tc>
      </w:tr>
      <w:tr>
        <w:trPr>
          <w:trHeight w:val="340"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eastAsia="Calibri" w:cs="Arial"/>
                <w:sz w:val="18"/>
                <w:szCs w:val="20"/>
                <w:lang w:eastAsia="en-US"/>
              </w:rPr>
            </w:pPr>
            <w:r>
              <w:rPr>
                <w:rFonts w:cs="Arial" w:ascii="Arial" w:hAnsi="Arial"/>
                <w:sz w:val="18"/>
                <w:szCs w:val="20"/>
              </w:rPr>
              <w:t>Prime d’entretien – Niveau 2</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eastAsia="Calibri" w:cs="Arial"/>
                <w:sz w:val="18"/>
                <w:szCs w:val="20"/>
                <w:lang w:eastAsia="en-US"/>
              </w:rPr>
            </w:pPr>
            <w:r>
              <w:rPr>
                <w:rFonts w:cs="Arial" w:ascii="Arial" w:hAnsi="Arial"/>
                <w:sz w:val="18"/>
                <w:szCs w:val="20"/>
              </w:rPr>
              <w:t>2.21 € nets / jour travaillé</w:t>
            </w:r>
          </w:p>
        </w:tc>
      </w:tr>
      <w:tr>
        <w:trPr>
          <w:trHeight w:val="340"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eastAsia="Calibri" w:cs="Arial"/>
                <w:sz w:val="18"/>
                <w:szCs w:val="20"/>
                <w:lang w:eastAsia="en-US"/>
              </w:rPr>
            </w:pPr>
            <w:r>
              <w:rPr>
                <w:rFonts w:cs="Arial" w:ascii="Arial" w:hAnsi="Arial"/>
                <w:sz w:val="18"/>
                <w:szCs w:val="20"/>
              </w:rPr>
              <w:t>Prime d’entretien – Niveau 3</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eastAsia="Calibri" w:cs="Arial"/>
                <w:sz w:val="18"/>
                <w:szCs w:val="20"/>
                <w:lang w:eastAsia="en-US"/>
              </w:rPr>
            </w:pPr>
            <w:r>
              <w:rPr>
                <w:rFonts w:cs="Arial" w:ascii="Arial" w:hAnsi="Arial"/>
                <w:sz w:val="18"/>
                <w:szCs w:val="20"/>
              </w:rPr>
              <w:t>2.89 € nets / jour travaillé</w:t>
            </w:r>
          </w:p>
        </w:tc>
      </w:tr>
      <w:tr>
        <w:trPr>
          <w:trHeight w:val="340"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eastAsia="Calibri" w:cs="Arial"/>
                <w:sz w:val="18"/>
                <w:szCs w:val="20"/>
                <w:lang w:eastAsia="en-US"/>
              </w:rPr>
            </w:pPr>
            <w:r>
              <w:rPr>
                <w:rFonts w:cs="Arial" w:ascii="Arial" w:hAnsi="Arial"/>
                <w:sz w:val="18"/>
                <w:szCs w:val="20"/>
              </w:rPr>
              <w:t>Prime d’intervention d’urgence &lt; 3H</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eastAsia="Calibri" w:cs="Arial"/>
                <w:sz w:val="18"/>
                <w:szCs w:val="20"/>
                <w:lang w:eastAsia="en-US"/>
              </w:rPr>
            </w:pPr>
            <w:r>
              <w:rPr>
                <w:rFonts w:cs="Arial" w:ascii="Arial" w:hAnsi="Arial"/>
                <w:sz w:val="18"/>
                <w:szCs w:val="20"/>
              </w:rPr>
              <w:t>30 € bruts</w:t>
            </w:r>
          </w:p>
        </w:tc>
      </w:tr>
      <w:tr>
        <w:trPr>
          <w:trHeight w:val="340"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cs="Arial"/>
                <w:sz w:val="18"/>
                <w:szCs w:val="20"/>
              </w:rPr>
            </w:pPr>
            <w:r>
              <w:rPr>
                <w:rFonts w:cs="Arial" w:ascii="Arial" w:hAnsi="Arial"/>
                <w:sz w:val="18"/>
                <w:szCs w:val="20"/>
              </w:rPr>
              <w:t>Prime d’intervention d’urgence &gt; 3H</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cs="Arial"/>
                <w:sz w:val="18"/>
                <w:szCs w:val="20"/>
              </w:rPr>
            </w:pPr>
            <w:r>
              <w:rPr>
                <w:rFonts w:cs="Arial" w:ascii="Arial" w:hAnsi="Arial"/>
                <w:sz w:val="18"/>
                <w:szCs w:val="20"/>
              </w:rPr>
              <w:t>50 € bruts</w:t>
            </w:r>
          </w:p>
        </w:tc>
      </w:tr>
      <w:tr>
        <w:trPr>
          <w:trHeight w:val="340"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cs="Arial"/>
                <w:sz w:val="18"/>
                <w:szCs w:val="20"/>
              </w:rPr>
            </w:pPr>
            <w:r>
              <w:rPr>
                <w:rFonts w:cs="Arial" w:ascii="Arial" w:hAnsi="Arial"/>
                <w:sz w:val="18"/>
                <w:szCs w:val="20"/>
              </w:rPr>
              <w:t>Indemnité Panier</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pPr>
            <w:r>
              <w:rPr>
                <w:rFonts w:cs="Arial" w:ascii="Arial" w:hAnsi="Arial"/>
                <w:sz w:val="18"/>
                <w:szCs w:val="20"/>
              </w:rPr>
              <w:t>6,60 € nets</w:t>
            </w:r>
          </w:p>
        </w:tc>
      </w:tr>
      <w:tr>
        <w:trPr>
          <w:trHeight w:val="479"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cs="Arial"/>
                <w:sz w:val="18"/>
                <w:szCs w:val="20"/>
              </w:rPr>
            </w:pPr>
            <w:r>
              <w:rPr>
                <w:rFonts w:cs="Arial" w:ascii="Arial" w:hAnsi="Arial"/>
                <w:sz w:val="18"/>
                <w:szCs w:val="20"/>
              </w:rPr>
              <w:t>Prime de cooptation (*)</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rFonts w:ascii="Arial" w:hAnsi="Arial" w:cs="Arial"/>
                <w:sz w:val="18"/>
                <w:szCs w:val="20"/>
              </w:rPr>
            </w:pPr>
            <w:r>
              <w:rPr>
                <w:rFonts w:cs="Arial" w:ascii="Arial" w:hAnsi="Arial"/>
                <w:sz w:val="18"/>
                <w:szCs w:val="20"/>
              </w:rPr>
              <w:t>250 € bruts/recrutement</w:t>
            </w:r>
          </w:p>
        </w:tc>
      </w:tr>
      <w:tr>
        <w:trPr>
          <w:trHeight w:val="582" w:hRule="exact"/>
        </w:trPr>
        <w:tc>
          <w:tcPr>
            <w:tcW w:w="4927" w:type="dxa"/>
            <w:tcBorders>
              <w:left w:val="single" w:sz="8" w:space="0" w:color="000000"/>
              <w:bottom w:val="single" w:sz="8" w:space="0" w:color="000000"/>
              <w:insideH w:val="single" w:sz="8" w:space="0" w:color="000000"/>
            </w:tcBorders>
            <w:shd w:fill="auto" w:val="clear"/>
            <w:tcMar>
              <w:left w:w="98" w:type="dxa"/>
            </w:tcMar>
            <w:vAlign w:val="center"/>
          </w:tcPr>
          <w:p>
            <w:pPr>
              <w:pStyle w:val="Normal"/>
              <w:rPr>
                <w:rFonts w:ascii="Arial" w:hAnsi="Arial" w:eastAsia="Calibri" w:cs="Arial"/>
                <w:sz w:val="18"/>
                <w:szCs w:val="20"/>
                <w:lang w:eastAsia="en-US"/>
              </w:rPr>
            </w:pPr>
            <w:r>
              <w:rPr>
                <w:rFonts w:eastAsia="Calibri" w:cs="Arial" w:ascii="Arial" w:hAnsi="Arial"/>
                <w:sz w:val="18"/>
                <w:szCs w:val="20"/>
                <w:lang w:eastAsia="en-US"/>
              </w:rPr>
              <w:t>Prime toiture</w:t>
            </w:r>
          </w:p>
        </w:tc>
        <w:tc>
          <w:tcPr>
            <w:tcW w:w="494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103" w:type="dxa"/>
              <w:right w:w="0" w:type="dxa"/>
            </w:tcMar>
            <w:vAlign w:val="center"/>
          </w:tcPr>
          <w:p>
            <w:pPr>
              <w:pStyle w:val="Normal"/>
              <w:rPr/>
            </w:pPr>
            <w:r>
              <w:rPr>
                <w:rFonts w:eastAsia="Calibri" w:cs="Arial" w:ascii="Arial" w:hAnsi="Arial"/>
                <w:sz w:val="18"/>
                <w:szCs w:val="20"/>
                <w:lang w:eastAsia="en-US"/>
              </w:rPr>
              <w:t>4 € bruts / journée de travail comprenant une intervention &gt; 3H</w:t>
            </w:r>
          </w:p>
        </w:tc>
      </w:tr>
    </w:tbl>
    <w:p>
      <w:pPr>
        <w:pStyle w:val="Normal"/>
        <w:spacing w:lineRule="auto" w:line="264"/>
        <w:jc w:val="both"/>
        <w:rPr>
          <w:rFonts w:ascii="Arial" w:hAnsi="Arial" w:cs="Arial"/>
          <w:sz w:val="18"/>
          <w:szCs w:val="20"/>
        </w:rPr>
      </w:pPr>
      <w:r>
        <w:rPr>
          <w:rFonts w:cs="Arial" w:ascii="Arial" w:hAnsi="Arial"/>
          <w:sz w:val="18"/>
          <w:szCs w:val="20"/>
        </w:rPr>
        <w:t>(*)Selon conditions définies à l’article 6 du protocole d’accord NAO signé en 2018.</w:t>
      </w:r>
    </w:p>
    <w:p>
      <w:pPr>
        <w:pStyle w:val="Normal"/>
        <w:spacing w:lineRule="auto" w:line="264"/>
        <w:jc w:val="both"/>
        <w:rPr>
          <w:rFonts w:ascii="Arial" w:hAnsi="Arial" w:cs="Arial"/>
          <w:sz w:val="20"/>
          <w:szCs w:val="20"/>
        </w:rPr>
      </w:pPr>
      <w:r>
        <w:rPr>
          <w:rFonts w:cs="Arial" w:ascii="Arial" w:hAnsi="Arial"/>
          <w:sz w:val="20"/>
          <w:szCs w:val="20"/>
        </w:rPr>
      </w:r>
    </w:p>
    <w:p>
      <w:pPr>
        <w:pStyle w:val="Normal"/>
        <w:spacing w:lineRule="auto" w:line="264"/>
        <w:jc w:val="both"/>
        <w:rPr>
          <w:rFonts w:ascii="Arial" w:hAnsi="Arial" w:cs="Arial"/>
          <w:sz w:val="20"/>
          <w:szCs w:val="20"/>
        </w:rPr>
      </w:pPr>
      <w:r>
        <w:rPr>
          <w:rFonts w:cs="Arial" w:ascii="Arial" w:hAnsi="Arial"/>
          <w:sz w:val="20"/>
          <w:szCs w:val="20"/>
        </w:rPr>
      </w:r>
    </w:p>
    <w:tbl>
      <w:tblPr>
        <w:tblW w:w="986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27"/>
        <w:gridCol w:w="4937"/>
      </w:tblGrid>
      <w:tr>
        <w:trPr>
          <w:trHeight w:val="397"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Arial" w:hAnsi="Arial" w:cs="Arial"/>
                <w:sz w:val="18"/>
                <w:szCs w:val="20"/>
              </w:rPr>
            </w:pPr>
            <w:r>
              <w:rPr>
                <w:rFonts w:cs="Arial" w:ascii="Arial" w:hAnsi="Arial"/>
                <w:b/>
                <w:sz w:val="20"/>
                <w:szCs w:val="20"/>
              </w:rPr>
              <w:t>PRIMES / INDEMNITES CADRES</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Arial" w:hAnsi="Arial" w:cs="Arial"/>
                <w:sz w:val="18"/>
                <w:szCs w:val="20"/>
              </w:rPr>
            </w:pPr>
            <w:r>
              <w:rPr>
                <w:rFonts w:cs="Arial" w:ascii="Arial" w:hAnsi="Arial"/>
                <w:b/>
                <w:sz w:val="20"/>
                <w:szCs w:val="20"/>
              </w:rPr>
              <w:t>MONTANTS en EUROS</w:t>
            </w:r>
          </w:p>
        </w:tc>
      </w:tr>
      <w:tr>
        <w:trPr>
          <w:trHeight w:val="34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64"/>
              <w:rPr>
                <w:rFonts w:ascii="Arial" w:hAnsi="Arial" w:cs="Arial"/>
                <w:sz w:val="18"/>
                <w:szCs w:val="20"/>
              </w:rPr>
            </w:pPr>
            <w:r>
              <w:rPr>
                <w:rFonts w:cs="Arial" w:ascii="Arial" w:hAnsi="Arial"/>
                <w:sz w:val="18"/>
                <w:szCs w:val="20"/>
              </w:rPr>
              <w:t>Indemnité d’astreinte Cadre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64"/>
              <w:rPr>
                <w:rFonts w:ascii="Arial" w:hAnsi="Arial" w:cs="Arial"/>
                <w:sz w:val="18"/>
                <w:szCs w:val="20"/>
              </w:rPr>
            </w:pPr>
            <w:r>
              <w:rPr>
                <w:rFonts w:cs="Arial" w:ascii="Arial" w:hAnsi="Arial"/>
                <w:sz w:val="18"/>
                <w:szCs w:val="20"/>
              </w:rPr>
              <w:t>20 € bruts / jour</w:t>
            </w:r>
          </w:p>
        </w:tc>
      </w:tr>
      <w:tr>
        <w:trPr>
          <w:trHeight w:val="34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64"/>
              <w:rPr>
                <w:rFonts w:ascii="Arial" w:hAnsi="Arial" w:cs="Arial"/>
                <w:sz w:val="18"/>
                <w:szCs w:val="20"/>
              </w:rPr>
            </w:pPr>
            <w:r>
              <w:rPr>
                <w:rFonts w:cs="Arial" w:ascii="Arial" w:hAnsi="Arial"/>
                <w:sz w:val="18"/>
                <w:szCs w:val="20"/>
              </w:rPr>
              <w:t>Prime de nuitée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64"/>
              <w:rPr>
                <w:rFonts w:ascii="Arial" w:hAnsi="Arial" w:cs="Arial"/>
                <w:sz w:val="18"/>
                <w:szCs w:val="20"/>
              </w:rPr>
            </w:pPr>
            <w:r>
              <w:rPr>
                <w:rFonts w:cs="Arial" w:ascii="Arial" w:hAnsi="Arial"/>
                <w:sz w:val="18"/>
                <w:szCs w:val="20"/>
              </w:rPr>
              <w:t>20 € bruts / nuit</w:t>
            </w:r>
          </w:p>
        </w:tc>
      </w:tr>
      <w:tr>
        <w:trPr>
          <w:trHeight w:val="34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64"/>
              <w:rPr>
                <w:rFonts w:ascii="Arial" w:hAnsi="Arial" w:cs="Arial"/>
                <w:sz w:val="18"/>
                <w:szCs w:val="20"/>
              </w:rPr>
            </w:pPr>
            <w:r>
              <w:rPr>
                <w:rFonts w:cs="Arial" w:ascii="Arial" w:hAnsi="Arial"/>
                <w:sz w:val="18"/>
                <w:szCs w:val="20"/>
              </w:rPr>
              <w:t>Prime de vacances (en année pleine et selon dispositions en vigueur)</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64"/>
              <w:rPr>
                <w:rFonts w:ascii="Arial" w:hAnsi="Arial" w:cs="Arial"/>
                <w:sz w:val="18"/>
                <w:szCs w:val="20"/>
              </w:rPr>
            </w:pPr>
            <w:r>
              <w:rPr>
                <w:rFonts w:cs="Arial" w:ascii="Arial" w:hAnsi="Arial"/>
                <w:sz w:val="18"/>
                <w:szCs w:val="20"/>
              </w:rPr>
              <w:t>550 € bruts</w:t>
            </w:r>
          </w:p>
        </w:tc>
      </w:tr>
      <w:tr>
        <w:trPr>
          <w:trHeight w:val="34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64"/>
              <w:rPr>
                <w:rFonts w:ascii="Arial" w:hAnsi="Arial" w:cs="Arial"/>
                <w:sz w:val="18"/>
                <w:szCs w:val="20"/>
              </w:rPr>
            </w:pPr>
            <w:r>
              <w:rPr>
                <w:rFonts w:cs="Arial" w:ascii="Arial" w:hAnsi="Arial"/>
                <w:sz w:val="18"/>
                <w:szCs w:val="20"/>
              </w:rPr>
              <w:t>Indemnité Panier</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64"/>
              <w:rPr/>
            </w:pPr>
            <w:r>
              <w:rPr>
                <w:rFonts w:cs="Arial" w:ascii="Arial" w:hAnsi="Arial"/>
                <w:sz w:val="18"/>
                <w:szCs w:val="20"/>
              </w:rPr>
              <w:t>6,60 € nets</w:t>
            </w:r>
          </w:p>
        </w:tc>
      </w:tr>
      <w:tr>
        <w:trPr>
          <w:trHeight w:val="340" w:hRule="atLeast"/>
        </w:trPr>
        <w:tc>
          <w:tcPr>
            <w:tcW w:w="49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uto" w:line="264"/>
              <w:rPr>
                <w:rFonts w:ascii="Arial" w:hAnsi="Arial" w:cs="Arial"/>
                <w:sz w:val="18"/>
                <w:szCs w:val="20"/>
              </w:rPr>
            </w:pPr>
            <w:r>
              <w:rPr>
                <w:rFonts w:cs="Arial" w:ascii="Arial" w:hAnsi="Arial"/>
                <w:sz w:val="18"/>
                <w:szCs w:val="20"/>
              </w:rPr>
              <w:t>Prime de cooptation (*)</w:t>
            </w:r>
          </w:p>
        </w:tc>
        <w:tc>
          <w:tcPr>
            <w:tcW w:w="4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uto" w:line="264"/>
              <w:rPr>
                <w:rFonts w:ascii="Arial" w:hAnsi="Arial" w:cs="Arial"/>
                <w:sz w:val="18"/>
                <w:szCs w:val="20"/>
              </w:rPr>
            </w:pPr>
            <w:r>
              <w:rPr>
                <w:rFonts w:cs="Arial" w:ascii="Arial" w:hAnsi="Arial"/>
                <w:sz w:val="18"/>
                <w:szCs w:val="20"/>
              </w:rPr>
              <w:t>250 € bruts/recrutement</w:t>
            </w:r>
          </w:p>
        </w:tc>
      </w:tr>
    </w:tbl>
    <w:p>
      <w:pPr>
        <w:pStyle w:val="Normal"/>
        <w:spacing w:lineRule="auto" w:line="264"/>
        <w:jc w:val="both"/>
        <w:rPr/>
      </w:pPr>
      <w:r>
        <w:rPr>
          <w:rFonts w:cs="Arial" w:ascii="Arial" w:hAnsi="Arial"/>
          <w:sz w:val="18"/>
          <w:szCs w:val="20"/>
        </w:rPr>
        <w:t>(*)Selon conditions définies à l’article 6 du protocole d’accord NAO signé en 2018.</w:t>
      </w:r>
    </w:p>
    <w:p>
      <w:pPr>
        <w:pStyle w:val="Normal"/>
        <w:spacing w:lineRule="auto" w:line="264"/>
        <w:jc w:val="both"/>
        <w:rPr>
          <w:rFonts w:ascii="Arial" w:hAnsi="Arial" w:cs="Arial"/>
          <w:sz w:val="18"/>
          <w:szCs w:val="20"/>
        </w:rPr>
      </w:pPr>
      <w:r>
        <w:rPr>
          <w:rFonts w:cs="Arial" w:ascii="Arial" w:hAnsi="Arial"/>
          <w:sz w:val="18"/>
          <w:szCs w:val="20"/>
        </w:rPr>
      </w:r>
    </w:p>
    <w:p>
      <w:pPr>
        <w:pStyle w:val="Normal"/>
        <w:spacing w:lineRule="auto" w:line="264"/>
        <w:jc w:val="both"/>
        <w:rPr>
          <w:rFonts w:ascii="Arial" w:hAnsi="Arial" w:cs="Arial"/>
          <w:sz w:val="18"/>
          <w:szCs w:val="20"/>
        </w:rPr>
      </w:pPr>
      <w:r>
        <w:rPr>
          <w:rFonts w:cs="Arial" w:ascii="Arial" w:hAnsi="Arial"/>
          <w:sz w:val="18"/>
          <w:szCs w:val="20"/>
        </w:rPr>
        <w:t>(**)Les cadres dirigeants, Les membres du CODIR, Les responsables d’un centre de profit et Les responsables de fonction support, compte tenu de leur fonction ne sont pas éligibles au versement de cette prime.</w:t>
      </w:r>
    </w:p>
    <w:p>
      <w:pPr>
        <w:pStyle w:val="Normal"/>
        <w:spacing w:lineRule="auto" w:line="264"/>
        <w:jc w:val="both"/>
        <w:rPr>
          <w:rFonts w:ascii="Arial" w:hAnsi="Arial" w:cs="Arial"/>
          <w:sz w:val="22"/>
          <w:szCs w:val="20"/>
        </w:rPr>
      </w:pPr>
      <w:r>
        <w:rPr>
          <w:rFonts w:cs="Arial" w:ascii="Arial" w:hAnsi="Arial"/>
          <w:sz w:val="22"/>
          <w:szCs w:val="20"/>
        </w:rPr>
      </w:r>
    </w:p>
    <w:sectPr>
      <w:headerReference w:type="default" r:id="rId2"/>
      <w:type w:val="nextPage"/>
      <w:pgSz w:w="11906" w:h="16838"/>
      <w:pgMar w:left="1134" w:right="1133" w:header="284" w:top="1985"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Verdana">
    <w:charset w:val="00"/>
    <w:family w:val="swiss"/>
    <w:pitch w:val="variable"/>
  </w:font>
  <w:font w:name="Tahoma">
    <w:charset w:val="00"/>
    <w:family w:val="swiss"/>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ind w:left="-737" w:right="360" w:hanging="0"/>
      <w:rPr>
        <w:rFonts w:ascii="Arial" w:hAnsi="Arial" w:cs="Arial"/>
        <w:color w:val="98999D"/>
        <w:lang w:val="en-GB" w:eastAsia="en-GB"/>
      </w:rPr>
    </w:pPr>
    <w:r>
      <w:rPr>
        <w:rFonts w:cs="Arial" w:ascii="Arial" w:hAnsi="Arial"/>
        <w:color w:val="98999D"/>
        <w:lang w:val="en-GB" w:eastAsia="en-GB"/>
      </w:rPr>
      <w:drawing>
        <wp:inline distT="0" distB="0" distL="0" distR="0">
          <wp:extent cx="1801495" cy="853440"/>
          <wp:effectExtent l="0" t="0" r="0" b="0"/>
          <wp:docPr id="1"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0" descr=""/>
                  <pic:cNvPicPr>
                    <a:picLocks noChangeAspect="1" noChangeArrowheads="1"/>
                  </pic:cNvPicPr>
                </pic:nvPicPr>
                <pic:blipFill>
                  <a:blip r:embed="rId1"/>
                  <a:stretch>
                    <a:fillRect/>
                  </a:stretch>
                </pic:blipFill>
                <pic:spPr bwMode="auto">
                  <a:xfrm>
                    <a:off x="0" y="0"/>
                    <a:ext cx="1801495" cy="853440"/>
                  </a:xfrm>
                  <a:prstGeom prst="rect">
                    <a:avLst/>
                  </a:prstGeom>
                </pic:spPr>
              </pic:pic>
            </a:graphicData>
          </a:graphic>
        </wp:inline>
      </w:drawing>
    </w:r>
    <w:r>
      <mc:AlternateContent>
        <mc:Choice Requires="wps">
          <w:drawing>
            <wp:anchor behindDoc="0" distT="0" distB="0" distL="0" distR="0" simplePos="0" locked="0" layoutInCell="1" allowOverlap="1" relativeHeight="5">
              <wp:simplePos x="0" y="0"/>
              <wp:positionH relativeFrom="page">
                <wp:posOffset>6481445</wp:posOffset>
              </wp:positionH>
              <wp:positionV relativeFrom="paragraph">
                <wp:posOffset>635</wp:posOffset>
              </wp:positionV>
              <wp:extent cx="461645" cy="118110"/>
              <wp:effectExtent l="0" t="0" r="0" b="0"/>
              <wp:wrapSquare wrapText="largest"/>
              <wp:docPr id="2" name="Frame1"/>
              <a:graphic xmlns:a="http://schemas.openxmlformats.org/drawingml/2006/main">
                <a:graphicData uri="http://schemas.microsoft.com/office/word/2010/wordprocessingShape">
                  <wps:wsp>
                    <wps:cNvSpPr txBox="1"/>
                    <wps:spPr>
                      <a:xfrm>
                        <a:off x="0" y="0"/>
                        <a:ext cx="461645" cy="118110"/>
                      </a:xfrm>
                      <a:prstGeom prst="rect"/>
                      <a:solidFill>
                        <a:srgbClr val="FFFFFF">
                          <a:alpha val="0"/>
                        </a:srgbClr>
                      </a:solidFill>
                    </wps:spPr>
                    <wps:txbx>
                      <w:txbxContent>
                        <w:p>
                          <w:pPr>
                            <w:pStyle w:val="Header"/>
                            <w:ind w:right="-268" w:hanging="0"/>
                            <w:rPr>
                              <w:rStyle w:val="PageNumber"/>
                              <w:rFonts w:ascii="Verdana" w:hAnsi="Verdana" w:cs="Verdana"/>
                              <w:sz w:val="16"/>
                              <w:szCs w:val="14"/>
                            </w:rPr>
                          </w:pPr>
                          <w:r>
                            <w:rPr>
                              <w:rStyle w:val="PageNumber"/>
                              <w:rFonts w:cs="Verdana" w:ascii="Verdana" w:hAnsi="Verdana"/>
                              <w:sz w:val="16"/>
                              <w:szCs w:val="14"/>
                            </w:rPr>
                            <w:t xml:space="preserve">Page </w:t>
                          </w:r>
                          <w:r>
                            <w:rPr>
                              <w:rStyle w:val="PageNumber"/>
                              <w:rFonts w:cs="Verdana" w:ascii="Verdana" w:hAnsi="Verdana"/>
                              <w:sz w:val="16"/>
                              <w:szCs w:val="14"/>
                            </w:rPr>
                            <w:fldChar w:fldCharType="begin"/>
                          </w:r>
                          <w:r>
                            <w:instrText> PAGE </w:instrText>
                          </w:r>
                          <w:r>
                            <w:fldChar w:fldCharType="separate"/>
                          </w:r>
                          <w:r>
                            <w:t>4</w:t>
                          </w:r>
                          <w:r>
                            <w:fldChar w:fldCharType="end"/>
                          </w:r>
                          <w:r>
                            <w:rPr>
                              <w:rStyle w:val="PageNumber"/>
                              <w:rFonts w:cs="Verdana" w:ascii="Verdana" w:hAnsi="Verdana"/>
                              <w:sz w:val="16"/>
                              <w:szCs w:val="14"/>
                            </w:rPr>
                            <w:t xml:space="preserve"> sur </w:t>
                          </w:r>
                          <w:r>
                            <w:rPr>
                              <w:rStyle w:val="PageNumber"/>
                              <w:rFonts w:cs="Verdana" w:ascii="Verdana" w:hAnsi="Verdana"/>
                              <w:sz w:val="16"/>
                              <w:szCs w:val="14"/>
                            </w:rPr>
                            <w:fldChar w:fldCharType="begin"/>
                          </w:r>
                          <w:r>
                            <w:instrText> NUMPAGES \* ARABIC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36.35pt;height:9.3pt;margin-top:0.05pt;mso-position-vertical-relative:text;margin-left:510.35pt;mso-position-horizontal-relative:page">
              <v:fill opacity="0f"/>
              <v:textbox>
                <w:txbxContent>
                  <w:p>
                    <w:pPr>
                      <w:pStyle w:val="Header"/>
                      <w:ind w:right="-268" w:hanging="0"/>
                      <w:rPr>
                        <w:rStyle w:val="PageNumber"/>
                        <w:rFonts w:ascii="Verdana" w:hAnsi="Verdana" w:cs="Verdana"/>
                        <w:sz w:val="16"/>
                        <w:szCs w:val="14"/>
                      </w:rPr>
                    </w:pPr>
                    <w:r>
                      <w:rPr>
                        <w:rStyle w:val="PageNumber"/>
                        <w:rFonts w:cs="Verdana" w:ascii="Verdana" w:hAnsi="Verdana"/>
                        <w:sz w:val="16"/>
                        <w:szCs w:val="14"/>
                      </w:rPr>
                      <w:t xml:space="preserve">Page </w:t>
                    </w:r>
                    <w:r>
                      <w:rPr>
                        <w:rStyle w:val="PageNumber"/>
                        <w:rFonts w:cs="Verdana" w:ascii="Verdana" w:hAnsi="Verdana"/>
                        <w:sz w:val="16"/>
                        <w:szCs w:val="14"/>
                      </w:rPr>
                      <w:fldChar w:fldCharType="begin"/>
                    </w:r>
                    <w:r>
                      <w:instrText> PAGE </w:instrText>
                    </w:r>
                    <w:r>
                      <w:fldChar w:fldCharType="separate"/>
                    </w:r>
                    <w:r>
                      <w:t>4</w:t>
                    </w:r>
                    <w:r>
                      <w:fldChar w:fldCharType="end"/>
                    </w:r>
                    <w:r>
                      <w:rPr>
                        <w:rStyle w:val="PageNumber"/>
                        <w:rFonts w:cs="Verdana" w:ascii="Verdana" w:hAnsi="Verdana"/>
                        <w:sz w:val="16"/>
                        <w:szCs w:val="14"/>
                      </w:rPr>
                      <w:t xml:space="preserve"> sur </w:t>
                    </w:r>
                    <w:r>
                      <w:rPr>
                        <w:rStyle w:val="PageNumber"/>
                        <w:rFonts w:cs="Verdana" w:ascii="Verdana" w:hAnsi="Verdana"/>
                        <w:sz w:val="16"/>
                        <w:szCs w:val="14"/>
                      </w:rPr>
                      <w:fldChar w:fldCharType="begin"/>
                    </w:r>
                    <w:r>
                      <w:instrText> NUMPAGES \* ARABIC </w:instrText>
                    </w:r>
                    <w:r>
                      <w:fldChar w:fldCharType="separate"/>
                    </w:r>
                    <w:r>
                      <w:t>4</w:t>
                    </w:r>
                    <w:r>
                      <w:fldChar w:fldCharType="end"/>
                    </w:r>
                  </w:p>
                </w:txbxContent>
              </v:textbox>
              <w10:wrap type="square" side="largest"/>
            </v:rect>
          </w:pict>
        </mc:Fallback>
      </mc:AlternateContent>
    </w:r>
  </w:p>
</w:hdr>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Arial" w:hAnsi="Aria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Arial" w:hAnsi="Aria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b w:val="false"/>
      <w:i w:val="false"/>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Verdana" w:hAnsi="Verdana" w:cs="Verdana"/>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eastAsia="Times New Roman"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Policepardfaut">
    <w:name w:val="Police par défaut"/>
    <w:qFormat/>
    <w:rPr/>
  </w:style>
  <w:style w:type="character" w:styleId="TextedebullesCar">
    <w:name w:val="Texte de bulles Car"/>
    <w:qFormat/>
    <w:rPr>
      <w:rFonts w:ascii="Tahoma" w:hAnsi="Tahoma" w:cs="Tahoma"/>
      <w:sz w:val="16"/>
      <w:szCs w:val="16"/>
    </w:rPr>
  </w:style>
  <w:style w:type="character" w:styleId="PieddepageCar">
    <w:name w:val="Pied de page Car"/>
    <w:qFormat/>
    <w:rPr>
      <w:sz w:val="24"/>
      <w:szCs w:val="24"/>
    </w:rPr>
  </w:style>
  <w:style w:type="character" w:styleId="EntteCar">
    <w:name w:val="En-tête Car"/>
    <w:qFormat/>
    <w:rPr>
      <w:sz w:val="24"/>
      <w:szCs w:val="24"/>
    </w:rPr>
  </w:style>
  <w:style w:type="character" w:styleId="PageNumber">
    <w:name w:val="Page Number"/>
    <w:rPr/>
  </w:style>
  <w:style w:type="character" w:styleId="InternetLink">
    <w:name w:val="Internet Link"/>
    <w:rPr>
      <w:color w:val="0000FF"/>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159</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2019-03-20T13:24:00Z</dcterms:created>
  <dc:language>en-GB</dc:language>
  <cp:lastPrinted>2019-03-20T16:52:00Z</cp:lastPrinted>
  <dcterms:modified xsi:type="dcterms:W3CDTF">2019-03-20T17:52:00Z</dcterms:modified>
  <cp:revision>12</cp:revision>
  <dc:title>PROTOCOLE D’ACCORD SUR L’ORGANISATION DE LA NEGOCIATION ANNUELLE 2012 DANS L’ENTREPRISE TVO</dc:title>
</cp:coreProperties>
</file>