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B52F2" w14:textId="48E37DCE" w:rsidR="00A20B80" w:rsidRDefault="00FC5990" w:rsidP="007D1B79">
      <w:pPr>
        <w:jc w:val="center"/>
        <w:rPr>
          <w:rFonts w:cs="Arial"/>
          <w:b/>
          <w:bCs/>
          <w:sz w:val="28"/>
          <w:szCs w:val="28"/>
        </w:rPr>
      </w:pPr>
      <w:r>
        <w:rPr>
          <w:noProof/>
        </w:rPr>
        <w:drawing>
          <wp:inline distT="0" distB="0" distL="0" distR="0" wp14:anchorId="0DF56A71" wp14:editId="6D21E88E">
            <wp:extent cx="1952625" cy="495300"/>
            <wp:effectExtent l="0" t="0" r="9525" b="0"/>
            <wp:docPr id="1" name="Image 1" descr="Logo ALC_HD (640x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C_HD (640x1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495300"/>
                    </a:xfrm>
                    <a:prstGeom prst="rect">
                      <a:avLst/>
                    </a:prstGeom>
                    <a:noFill/>
                    <a:ln>
                      <a:noFill/>
                    </a:ln>
                  </pic:spPr>
                </pic:pic>
              </a:graphicData>
            </a:graphic>
          </wp:inline>
        </w:drawing>
      </w:r>
    </w:p>
    <w:p w14:paraId="6CF9DAA3" w14:textId="77777777" w:rsidR="00A20B80" w:rsidRDefault="00A20B80" w:rsidP="007D1B79">
      <w:pPr>
        <w:jc w:val="center"/>
        <w:rPr>
          <w:rFonts w:cs="Arial"/>
          <w:b/>
          <w:bCs/>
          <w:sz w:val="28"/>
          <w:szCs w:val="28"/>
        </w:rPr>
      </w:pPr>
    </w:p>
    <w:p w14:paraId="32019D9E" w14:textId="77777777" w:rsidR="007D1B79" w:rsidRPr="001B1F60" w:rsidRDefault="00427F5B" w:rsidP="006C0D96">
      <w:pPr>
        <w:pBdr>
          <w:top w:val="single" w:sz="4" w:space="1" w:color="auto"/>
          <w:left w:val="single" w:sz="4" w:space="4" w:color="auto"/>
          <w:bottom w:val="single" w:sz="4" w:space="2" w:color="auto"/>
          <w:right w:val="single" w:sz="4" w:space="4" w:color="auto"/>
        </w:pBdr>
        <w:jc w:val="center"/>
        <w:rPr>
          <w:rFonts w:cs="Arial"/>
          <w:b/>
          <w:bCs/>
          <w:sz w:val="28"/>
          <w:szCs w:val="28"/>
        </w:rPr>
      </w:pPr>
      <w:r w:rsidRPr="001B1F60">
        <w:rPr>
          <w:rFonts w:cs="Arial"/>
          <w:b/>
          <w:bCs/>
          <w:sz w:val="28"/>
          <w:szCs w:val="28"/>
        </w:rPr>
        <w:t>ACCORD COLLECTIF</w:t>
      </w:r>
    </w:p>
    <w:p w14:paraId="030896C3" w14:textId="77777777" w:rsidR="00A20B80" w:rsidRPr="001B1F60" w:rsidRDefault="00347B59" w:rsidP="006C0D96">
      <w:pPr>
        <w:pBdr>
          <w:top w:val="single" w:sz="4" w:space="1" w:color="auto"/>
          <w:left w:val="single" w:sz="4" w:space="4" w:color="auto"/>
          <w:bottom w:val="single" w:sz="4" w:space="2" w:color="auto"/>
          <w:right w:val="single" w:sz="4" w:space="4" w:color="auto"/>
        </w:pBdr>
        <w:tabs>
          <w:tab w:val="left" w:pos="720"/>
        </w:tabs>
        <w:rPr>
          <w:rFonts w:cs="Arial"/>
          <w:b/>
          <w:bCs/>
          <w:sz w:val="12"/>
          <w:szCs w:val="12"/>
        </w:rPr>
      </w:pPr>
      <w:r w:rsidRPr="001B1F60">
        <w:rPr>
          <w:rFonts w:cs="Arial"/>
          <w:b/>
          <w:bCs/>
          <w:sz w:val="28"/>
          <w:szCs w:val="28"/>
        </w:rPr>
        <w:tab/>
      </w:r>
    </w:p>
    <w:p w14:paraId="7B8C5A94" w14:textId="0ADEEF36" w:rsidR="007D1B79" w:rsidRPr="001B1F60" w:rsidRDefault="00FC5990" w:rsidP="006C0D96">
      <w:pPr>
        <w:pBdr>
          <w:top w:val="single" w:sz="4" w:space="1" w:color="auto"/>
          <w:left w:val="single" w:sz="4" w:space="4" w:color="auto"/>
          <w:bottom w:val="single" w:sz="4" w:space="2" w:color="auto"/>
          <w:right w:val="single" w:sz="4" w:space="4" w:color="auto"/>
        </w:pBdr>
        <w:jc w:val="center"/>
        <w:rPr>
          <w:rFonts w:cs="Arial"/>
          <w:b/>
          <w:bCs/>
          <w:sz w:val="28"/>
          <w:szCs w:val="28"/>
        </w:rPr>
      </w:pPr>
      <w:r>
        <w:rPr>
          <w:rFonts w:cs="Arial"/>
          <w:b/>
          <w:bCs/>
          <w:sz w:val="28"/>
          <w:szCs w:val="28"/>
        </w:rPr>
        <w:t>DROIT A LA DECONNEXION</w:t>
      </w:r>
    </w:p>
    <w:p w14:paraId="527BD242" w14:textId="77777777" w:rsidR="008B5454" w:rsidRPr="001B1F60" w:rsidRDefault="008B5454" w:rsidP="008B5454">
      <w:pPr>
        <w:jc w:val="both"/>
        <w:rPr>
          <w:rFonts w:cs="Arial"/>
          <w:bCs/>
          <w:sz w:val="22"/>
          <w:szCs w:val="22"/>
        </w:rPr>
      </w:pPr>
    </w:p>
    <w:p w14:paraId="733E0D82" w14:textId="77777777" w:rsidR="00427F5B" w:rsidRPr="00060302" w:rsidRDefault="00427F5B" w:rsidP="00427F5B">
      <w:r w:rsidRPr="00060302">
        <w:t>Entre :</w:t>
      </w:r>
    </w:p>
    <w:p w14:paraId="2E9924C5" w14:textId="77777777" w:rsidR="00427F5B" w:rsidRPr="00060302" w:rsidRDefault="00427F5B" w:rsidP="00427F5B"/>
    <w:p w14:paraId="44246CD0" w14:textId="77777777" w:rsidR="00427F5B" w:rsidRPr="00060302" w:rsidRDefault="00427F5B" w:rsidP="0045711D">
      <w:pPr>
        <w:numPr>
          <w:ilvl w:val="0"/>
          <w:numId w:val="13"/>
        </w:numPr>
        <w:suppressAutoHyphens/>
        <w:ind w:left="1134" w:hanging="425"/>
      </w:pPr>
      <w:r w:rsidRPr="00060302">
        <w:t>L'Association ALC, dont le siège social est situé :</w:t>
      </w:r>
    </w:p>
    <w:p w14:paraId="446F39D5" w14:textId="77777777" w:rsidR="00427F5B" w:rsidRPr="00060302" w:rsidRDefault="0045711D" w:rsidP="0045711D">
      <w:pPr>
        <w:ind w:left="425" w:firstLine="709"/>
      </w:pPr>
      <w:r w:rsidRPr="00060302">
        <w:t>2, Avenue du Dr E. Roux – l’Octogone</w:t>
      </w:r>
      <w:r w:rsidR="00427F5B" w:rsidRPr="00060302">
        <w:t xml:space="preserve"> – 06100 Nice</w:t>
      </w:r>
    </w:p>
    <w:p w14:paraId="7A0A8B26" w14:textId="77777777" w:rsidR="00427F5B" w:rsidRPr="00060302" w:rsidRDefault="00427F5B" w:rsidP="00427F5B">
      <w:pPr>
        <w:jc w:val="center"/>
      </w:pPr>
    </w:p>
    <w:p w14:paraId="2D642C86" w14:textId="77777777" w:rsidR="00427F5B" w:rsidRPr="00060302" w:rsidRDefault="00427F5B" w:rsidP="00427F5B">
      <w:pPr>
        <w:jc w:val="both"/>
      </w:pPr>
      <w:r w:rsidRPr="00060302">
        <w:t>et</w:t>
      </w:r>
    </w:p>
    <w:p w14:paraId="770CCB4E" w14:textId="77777777" w:rsidR="00427F5B" w:rsidRPr="00060302" w:rsidRDefault="00427F5B" w:rsidP="00427F5B">
      <w:pPr>
        <w:jc w:val="both"/>
      </w:pPr>
    </w:p>
    <w:p w14:paraId="40E059D9" w14:textId="2AF9F89A" w:rsidR="00427F5B" w:rsidRPr="00060302" w:rsidRDefault="00427F5B" w:rsidP="00427F5B">
      <w:pPr>
        <w:numPr>
          <w:ilvl w:val="0"/>
          <w:numId w:val="12"/>
        </w:numPr>
        <w:suppressAutoHyphens/>
        <w:jc w:val="both"/>
      </w:pPr>
      <w:r w:rsidRPr="00060302">
        <w:t>Les organisations syndicales représentatives dans l'Association au sens de</w:t>
      </w:r>
      <w:r w:rsidR="00F3128D" w:rsidRPr="00060302">
        <w:t>s dispositions légales en vigueur,</w:t>
      </w:r>
    </w:p>
    <w:p w14:paraId="7F8DD803" w14:textId="6CD9DDC0" w:rsidR="00427F5B" w:rsidRPr="00060302" w:rsidRDefault="00427F5B" w:rsidP="00060302"/>
    <w:p w14:paraId="7FA4F2C8" w14:textId="77777777" w:rsidR="00427F5B" w:rsidRPr="00060302" w:rsidRDefault="00427F5B" w:rsidP="00427F5B">
      <w:pPr>
        <w:jc w:val="both"/>
      </w:pPr>
      <w:r w:rsidRPr="00060302">
        <w:t xml:space="preserve">Il est convenu ce qui suit : </w:t>
      </w:r>
    </w:p>
    <w:p w14:paraId="109B7B89" w14:textId="230B0372" w:rsidR="00502F2C" w:rsidRDefault="00502F2C" w:rsidP="008B5454">
      <w:pPr>
        <w:jc w:val="both"/>
        <w:rPr>
          <w:rFonts w:cs="Arial"/>
          <w:bCs/>
        </w:rPr>
      </w:pPr>
    </w:p>
    <w:p w14:paraId="78900341" w14:textId="1A3F63E1" w:rsidR="00060302" w:rsidRDefault="00060302" w:rsidP="008B5454">
      <w:pPr>
        <w:jc w:val="both"/>
        <w:rPr>
          <w:rFonts w:cs="Arial"/>
          <w:bCs/>
        </w:rPr>
      </w:pPr>
    </w:p>
    <w:p w14:paraId="0CE76C2F" w14:textId="77777777" w:rsidR="00060302" w:rsidRPr="001B1F60" w:rsidRDefault="00060302" w:rsidP="008B5454">
      <w:pPr>
        <w:jc w:val="both"/>
        <w:rPr>
          <w:rFonts w:cs="Arial"/>
          <w:bCs/>
        </w:rPr>
      </w:pPr>
    </w:p>
    <w:p w14:paraId="6780E6C5" w14:textId="77777777" w:rsidR="00A16FA2" w:rsidRPr="00502F2C" w:rsidRDefault="00A16FA2" w:rsidP="008B5454">
      <w:pPr>
        <w:jc w:val="both"/>
        <w:rPr>
          <w:rFonts w:cs="Arial"/>
          <w:b/>
          <w:bCs/>
          <w:sz w:val="28"/>
          <w:szCs w:val="28"/>
          <w:u w:val="single"/>
        </w:rPr>
      </w:pPr>
      <w:r w:rsidRPr="00502F2C">
        <w:rPr>
          <w:rFonts w:cs="Arial"/>
          <w:b/>
          <w:bCs/>
          <w:sz w:val="28"/>
          <w:szCs w:val="28"/>
          <w:u w:val="single"/>
        </w:rPr>
        <w:t>Préambule</w:t>
      </w:r>
    </w:p>
    <w:p w14:paraId="57220A2D" w14:textId="77777777" w:rsidR="00A16FA2" w:rsidRPr="001B1F60" w:rsidRDefault="00A16FA2" w:rsidP="008B5454">
      <w:pPr>
        <w:jc w:val="both"/>
        <w:rPr>
          <w:rFonts w:cs="Arial"/>
          <w:bCs/>
        </w:rPr>
      </w:pPr>
    </w:p>
    <w:p w14:paraId="2915EA71" w14:textId="3AD095FE" w:rsidR="00FC5990" w:rsidRPr="00FC5990" w:rsidRDefault="00FC5990" w:rsidP="00F3128D">
      <w:pPr>
        <w:jc w:val="both"/>
      </w:pPr>
      <w:r w:rsidRPr="00FC5990">
        <w:t>L’accord collectif qui détermine les modalités du droit à la déconnexion doit satisfaire les nouvelles conditions de majorité telles que définies par la loi n°2016-1088 du 8 août 2016</w:t>
      </w:r>
      <w:r>
        <w:t xml:space="preserve"> et notamment son </w:t>
      </w:r>
      <w:r w:rsidRPr="00FC5990">
        <w:t>art</w:t>
      </w:r>
      <w:r>
        <w:t>icle L.</w:t>
      </w:r>
      <w:r w:rsidRPr="00FC5990">
        <w:t xml:space="preserve">2232-12 du Code du travail. Il doit donc s’agir d’un accord majoritaire (voté par les organisations syndicales représentatives ayant obtenu plus de 50% des suffrages exprimés ou adopté par référendum organisé à la demande des organisations syndicales représentant au moins 30% des suffrages exprimés). </w:t>
      </w:r>
    </w:p>
    <w:p w14:paraId="5DF4918B" w14:textId="77777777" w:rsidR="0003215A" w:rsidRPr="00FC5990" w:rsidRDefault="0003215A" w:rsidP="00F3128D">
      <w:pPr>
        <w:jc w:val="both"/>
        <w:rPr>
          <w:rFonts w:cs="Arial"/>
          <w:bCs/>
          <w:sz w:val="12"/>
          <w:szCs w:val="12"/>
        </w:rPr>
      </w:pPr>
    </w:p>
    <w:p w14:paraId="58707BF7" w14:textId="3251A242" w:rsidR="00FC5990" w:rsidRDefault="00FC5990" w:rsidP="00F3128D">
      <w:pPr>
        <w:jc w:val="both"/>
      </w:pPr>
      <w:r w:rsidRPr="00FC5990">
        <w:t xml:space="preserve">Les signataires se sont réunis pour définir les modalités d’exercice par les salariés de leur droit à la déconnexion en application de l’article L.2242-8, 7° du Code du travail tel qu’issu de la loi n°2016-1088 du 8 août 2016. </w:t>
      </w:r>
    </w:p>
    <w:p w14:paraId="00CA8B75" w14:textId="77777777" w:rsidR="00F3128D" w:rsidRPr="00FC5990" w:rsidRDefault="00F3128D" w:rsidP="00F3128D">
      <w:pPr>
        <w:jc w:val="both"/>
      </w:pPr>
    </w:p>
    <w:p w14:paraId="203654E7" w14:textId="415D24A9" w:rsidR="00502F2C" w:rsidRDefault="00502F2C" w:rsidP="00F3128D">
      <w:pPr>
        <w:jc w:val="both"/>
      </w:pPr>
      <w:r>
        <w:t>Le</w:t>
      </w:r>
      <w:r w:rsidR="00FC5990" w:rsidRPr="00FC5990">
        <w:t>s</w:t>
      </w:r>
      <w:r>
        <w:t xml:space="preserve"> signataires</w:t>
      </w:r>
      <w:r w:rsidR="00FC5990" w:rsidRPr="00FC5990">
        <w:t xml:space="preserve"> affirment l’importance d’un bon usage des outils informatiques en vue d’un nécessaire respect des temps de repos et de congé ainsi que de l’équilibre entre vie privée et familiale et vie professionnelle.</w:t>
      </w:r>
      <w:r w:rsidR="00976C9E">
        <w:t xml:space="preserve"> Elle apportera une attention particulière aux salariés dits « nomades » et à l’évolution des outils connectés.</w:t>
      </w:r>
    </w:p>
    <w:p w14:paraId="6E509855" w14:textId="1364E1C7" w:rsidR="00FC5990" w:rsidRDefault="00FC5990" w:rsidP="00F3128D">
      <w:pPr>
        <w:jc w:val="both"/>
      </w:pPr>
      <w:r w:rsidRPr="00FC5990">
        <w:t xml:space="preserve"> </w:t>
      </w:r>
    </w:p>
    <w:p w14:paraId="6350E4B2" w14:textId="77777777" w:rsidR="00502F2C" w:rsidRDefault="00502F2C" w:rsidP="00502F2C">
      <w:r>
        <w:t xml:space="preserve">Les technologies de l’information et de la communication (TIC) font partie intégrante de l’environnement de travail et sont nécessaires au bon fonctionnement de l’association. </w:t>
      </w:r>
    </w:p>
    <w:p w14:paraId="31626B83" w14:textId="77777777" w:rsidR="00502F2C" w:rsidRDefault="00502F2C" w:rsidP="00502F2C"/>
    <w:p w14:paraId="27C35B2E" w14:textId="77777777" w:rsidR="00502F2C" w:rsidRDefault="00502F2C" w:rsidP="00502F2C">
      <w:r>
        <w:t xml:space="preserve">Porteuses de lien social, facilitant les échanges et l’accès à l’information, elles doivent toutefois être utilisées à bon escient, dans le respect des personnes et de leur vie privée. </w:t>
      </w:r>
    </w:p>
    <w:p w14:paraId="6C801E4B" w14:textId="77777777" w:rsidR="001B1F60" w:rsidRPr="001B1F60" w:rsidRDefault="001B1F60" w:rsidP="00407940">
      <w:pPr>
        <w:jc w:val="both"/>
        <w:rPr>
          <w:rFonts w:cs="Arial"/>
          <w:bCs/>
        </w:rPr>
      </w:pPr>
    </w:p>
    <w:p w14:paraId="636B1AD7" w14:textId="77777777" w:rsidR="00060302" w:rsidRDefault="00060302">
      <w:pPr>
        <w:rPr>
          <w:rFonts w:eastAsia="Verdana" w:cs="Verdana"/>
          <w:b/>
          <w:bCs/>
          <w:sz w:val="28"/>
          <w:szCs w:val="28"/>
          <w:u w:val="single"/>
        </w:rPr>
      </w:pPr>
      <w:r>
        <w:rPr>
          <w:rFonts w:eastAsia="Verdana" w:cs="Verdana"/>
          <w:b/>
          <w:bCs/>
          <w:sz w:val="28"/>
          <w:szCs w:val="28"/>
          <w:u w:val="single"/>
        </w:rPr>
        <w:br w:type="page"/>
      </w:r>
    </w:p>
    <w:p w14:paraId="0A1711C5" w14:textId="58A23F81" w:rsidR="00427F5B" w:rsidRPr="001B1F60" w:rsidRDefault="00427F5B" w:rsidP="00427F5B">
      <w:pPr>
        <w:autoSpaceDE w:val="0"/>
        <w:rPr>
          <w:rFonts w:eastAsia="Verdana" w:cs="Verdana"/>
          <w:i/>
          <w:iCs/>
          <w:sz w:val="28"/>
          <w:szCs w:val="28"/>
          <w:u w:val="single"/>
        </w:rPr>
      </w:pPr>
      <w:r w:rsidRPr="001B1F60">
        <w:rPr>
          <w:rFonts w:eastAsia="Verdana" w:cs="Verdana"/>
          <w:b/>
          <w:bCs/>
          <w:sz w:val="28"/>
          <w:szCs w:val="28"/>
          <w:u w:val="single"/>
        </w:rPr>
        <w:lastRenderedPageBreak/>
        <w:t>CHAPITRE 1 : DISPOSITIONS GENERALES</w:t>
      </w:r>
    </w:p>
    <w:p w14:paraId="3211630C" w14:textId="77777777" w:rsidR="00427F5B" w:rsidRPr="001B1F60" w:rsidRDefault="00427F5B" w:rsidP="00427F5B">
      <w:pPr>
        <w:jc w:val="both"/>
        <w:rPr>
          <w:rFonts w:eastAsia="Verdana" w:cs="Verdana"/>
          <w:sz w:val="28"/>
          <w:szCs w:val="28"/>
        </w:rPr>
      </w:pPr>
    </w:p>
    <w:p w14:paraId="60118AD7" w14:textId="77777777" w:rsidR="00427F5B" w:rsidRPr="001B1F60" w:rsidRDefault="00427F5B" w:rsidP="00427F5B">
      <w:pPr>
        <w:numPr>
          <w:ilvl w:val="0"/>
          <w:numId w:val="8"/>
        </w:numPr>
        <w:suppressAutoHyphens/>
        <w:jc w:val="both"/>
        <w:rPr>
          <w:rFonts w:eastAsia="Verdana" w:cs="Verdana"/>
          <w:i/>
          <w:sz w:val="28"/>
          <w:szCs w:val="28"/>
        </w:rPr>
      </w:pPr>
      <w:r w:rsidRPr="001B1F60">
        <w:rPr>
          <w:rFonts w:eastAsia="Verdana" w:cs="Verdana"/>
          <w:b/>
          <w:bCs/>
          <w:i/>
          <w:sz w:val="28"/>
          <w:szCs w:val="28"/>
        </w:rPr>
        <w:t xml:space="preserve">Art. 1.1 Cadre juridique </w:t>
      </w:r>
      <w:r w:rsidRPr="001B1F60">
        <w:rPr>
          <w:rFonts w:eastAsia="Verdana" w:cs="Verdana"/>
          <w:i/>
          <w:sz w:val="28"/>
          <w:szCs w:val="28"/>
        </w:rPr>
        <w:t xml:space="preserve">: </w:t>
      </w:r>
    </w:p>
    <w:p w14:paraId="1C083EE3" w14:textId="77777777" w:rsidR="00427F5B" w:rsidRPr="001B1F60" w:rsidRDefault="00427F5B" w:rsidP="00427F5B">
      <w:pPr>
        <w:jc w:val="both"/>
        <w:rPr>
          <w:rFonts w:eastAsia="Verdana" w:cs="Verdana"/>
        </w:rPr>
      </w:pPr>
      <w:r w:rsidRPr="001B1F60">
        <w:rPr>
          <w:rFonts w:eastAsia="Verdana" w:cs="Verdana"/>
        </w:rPr>
        <w:t xml:space="preserve">Le présent accord est conclu dans le cadre et en respect de : </w:t>
      </w:r>
    </w:p>
    <w:p w14:paraId="036149B5" w14:textId="2669B911" w:rsidR="00427F5B" w:rsidRPr="001B1F60" w:rsidRDefault="00427F5B" w:rsidP="00427F5B">
      <w:pPr>
        <w:numPr>
          <w:ilvl w:val="1"/>
          <w:numId w:val="6"/>
        </w:numPr>
        <w:suppressAutoHyphens/>
        <w:jc w:val="both"/>
        <w:rPr>
          <w:rFonts w:eastAsia="Verdana" w:cs="Verdana"/>
        </w:rPr>
      </w:pPr>
      <w:r w:rsidRPr="001B1F60">
        <w:t>Code du Travail,</w:t>
      </w:r>
      <w:r w:rsidR="00D50722">
        <w:t xml:space="preserve"> principalement l’Article L.2242-8,</w:t>
      </w:r>
    </w:p>
    <w:p w14:paraId="465563EB" w14:textId="77777777" w:rsidR="00427F5B" w:rsidRPr="001B1F60" w:rsidRDefault="00427F5B" w:rsidP="00427F5B">
      <w:pPr>
        <w:numPr>
          <w:ilvl w:val="1"/>
          <w:numId w:val="6"/>
        </w:numPr>
        <w:suppressAutoHyphens/>
        <w:jc w:val="both"/>
        <w:rPr>
          <w:rFonts w:eastAsia="Verdana" w:cs="Verdana"/>
        </w:rPr>
      </w:pPr>
      <w:r w:rsidRPr="001B1F60">
        <w:rPr>
          <w:rFonts w:eastAsia="Verdana" w:cs="Verdana"/>
        </w:rPr>
        <w:t xml:space="preserve">La Convention Collective Nationale du Travail des Établissements et Services pour Personnes Inadaptées et Handicapées du 15 mars 1966, ses avenants et accords de branches, </w:t>
      </w:r>
    </w:p>
    <w:p w14:paraId="54E70CEE" w14:textId="026E630F" w:rsidR="00427F5B" w:rsidRDefault="00427F5B" w:rsidP="00427F5B">
      <w:pPr>
        <w:numPr>
          <w:ilvl w:val="1"/>
          <w:numId w:val="6"/>
        </w:numPr>
        <w:suppressAutoHyphens/>
        <w:jc w:val="both"/>
        <w:rPr>
          <w:rFonts w:eastAsia="Verdana" w:cs="Verdana"/>
        </w:rPr>
      </w:pPr>
      <w:r w:rsidRPr="001B1F60">
        <w:rPr>
          <w:rFonts w:eastAsia="Verdana" w:cs="Verdana"/>
        </w:rPr>
        <w:t>Les acco</w:t>
      </w:r>
      <w:r w:rsidR="00830867">
        <w:rPr>
          <w:rFonts w:eastAsia="Verdana" w:cs="Verdana"/>
        </w:rPr>
        <w:t>rds collectifs d’ALC en vigueur</w:t>
      </w:r>
      <w:r w:rsidR="00F3128D">
        <w:rPr>
          <w:rFonts w:eastAsia="Verdana" w:cs="Verdana"/>
        </w:rPr>
        <w:t>,</w:t>
      </w:r>
    </w:p>
    <w:p w14:paraId="5FDAF23E" w14:textId="4C294407" w:rsidR="00F3128D" w:rsidRPr="001B1F60" w:rsidRDefault="00F3128D" w:rsidP="00427F5B">
      <w:pPr>
        <w:numPr>
          <w:ilvl w:val="1"/>
          <w:numId w:val="6"/>
        </w:numPr>
        <w:suppressAutoHyphens/>
        <w:jc w:val="both"/>
        <w:rPr>
          <w:rFonts w:eastAsia="Verdana" w:cs="Verdana"/>
        </w:rPr>
      </w:pPr>
      <w:r>
        <w:rPr>
          <w:rFonts w:eastAsia="Verdana" w:cs="Verdana"/>
        </w:rPr>
        <w:t>Le Règlement intérieur d’ALC et notamment sa charte informatique annexée. </w:t>
      </w:r>
    </w:p>
    <w:p w14:paraId="3EE7E924" w14:textId="77777777" w:rsidR="00427F5B" w:rsidRPr="001B1F60" w:rsidRDefault="00427F5B" w:rsidP="00D50722">
      <w:pPr>
        <w:suppressAutoHyphens/>
        <w:ind w:left="1080"/>
        <w:jc w:val="both"/>
        <w:rPr>
          <w:rFonts w:eastAsia="Verdana" w:cs="Verdana"/>
        </w:rPr>
      </w:pPr>
      <w:r w:rsidRPr="001B1F60">
        <w:rPr>
          <w:rFonts w:eastAsia="Verdana" w:cs="Verdana"/>
        </w:rPr>
        <w:t xml:space="preserve"> </w:t>
      </w:r>
    </w:p>
    <w:p w14:paraId="61E7EC62" w14:textId="70F29CEC" w:rsidR="00427F5B" w:rsidRPr="001B1F60" w:rsidRDefault="00427F5B" w:rsidP="00427F5B">
      <w:pPr>
        <w:jc w:val="both"/>
        <w:rPr>
          <w:rFonts w:eastAsia="Verdana" w:cs="Verdana"/>
        </w:rPr>
      </w:pPr>
      <w:r w:rsidRPr="001B1F60">
        <w:rPr>
          <w:rFonts w:eastAsia="Verdana" w:cs="Verdana"/>
        </w:rPr>
        <w:t>La mise en œuvre du présent accord est subordonné</w:t>
      </w:r>
      <w:r w:rsidR="00830867">
        <w:rPr>
          <w:rFonts w:eastAsia="Verdana" w:cs="Verdana"/>
        </w:rPr>
        <w:t>e</w:t>
      </w:r>
      <w:r w:rsidRPr="001B1F60">
        <w:rPr>
          <w:rFonts w:eastAsia="Verdana" w:cs="Verdana"/>
        </w:rPr>
        <w:t xml:space="preserve"> à son agrément conformément à l'article 16 de la Loi n° 75-534</w:t>
      </w:r>
      <w:r w:rsidRPr="001B1F60">
        <w:rPr>
          <w:rFonts w:eastAsia="Arial" w:cs="Arial"/>
        </w:rPr>
        <w:t xml:space="preserve"> </w:t>
      </w:r>
      <w:r w:rsidRPr="001B1F60">
        <w:rPr>
          <w:rFonts w:eastAsia="Verdana" w:cs="Verdana"/>
        </w:rPr>
        <w:t>du 30 juin 1975</w:t>
      </w:r>
      <w:r w:rsidR="001B1F60" w:rsidRPr="001B1F60">
        <w:rPr>
          <w:rFonts w:eastAsia="Verdana" w:cs="Verdana"/>
        </w:rPr>
        <w:t xml:space="preserve"> (Article L.314-6 du C.A.S.F)</w:t>
      </w:r>
      <w:r w:rsidRPr="001B1F60">
        <w:rPr>
          <w:rFonts w:eastAsia="Verdana" w:cs="Verdana"/>
        </w:rPr>
        <w:t>.</w:t>
      </w:r>
    </w:p>
    <w:p w14:paraId="1964516F" w14:textId="77777777" w:rsidR="00427F5B" w:rsidRPr="001B1F60" w:rsidRDefault="00427F5B" w:rsidP="00427F5B">
      <w:pPr>
        <w:jc w:val="both"/>
        <w:rPr>
          <w:rFonts w:eastAsia="Verdana" w:cs="Verdana"/>
        </w:rPr>
      </w:pPr>
    </w:p>
    <w:p w14:paraId="3894BD08" w14:textId="77777777" w:rsidR="00427F5B" w:rsidRPr="001B1F60" w:rsidRDefault="00427F5B" w:rsidP="00427F5B">
      <w:pPr>
        <w:jc w:val="both"/>
        <w:rPr>
          <w:rFonts w:eastAsia="Verdana" w:cs="Verdana"/>
        </w:rPr>
      </w:pPr>
      <w:r w:rsidRPr="001B1F60">
        <w:rPr>
          <w:rFonts w:eastAsia="Verdana" w:cs="Verdana"/>
        </w:rPr>
        <w:t>En cas de modification des textes législatifs, règlementaires ou conventionnels régissant le présent accord, les parties signataires se réservent le droit de renégocier le contenu du présent accord selon les modalités prévues à l'article 1.5</w:t>
      </w:r>
    </w:p>
    <w:p w14:paraId="3D24AE1A" w14:textId="77777777" w:rsidR="00427F5B" w:rsidRPr="001B1F60" w:rsidRDefault="00427F5B" w:rsidP="00427F5B">
      <w:pPr>
        <w:jc w:val="both"/>
        <w:rPr>
          <w:rFonts w:eastAsia="Verdana" w:cs="Verdana"/>
        </w:rPr>
      </w:pPr>
    </w:p>
    <w:p w14:paraId="4337FF40" w14:textId="77777777" w:rsidR="00427F5B" w:rsidRPr="001B1F60" w:rsidRDefault="00427F5B" w:rsidP="00427F5B">
      <w:pPr>
        <w:numPr>
          <w:ilvl w:val="0"/>
          <w:numId w:val="8"/>
        </w:numPr>
        <w:suppressAutoHyphens/>
        <w:jc w:val="both"/>
        <w:rPr>
          <w:rFonts w:eastAsia="Verdana" w:cs="Verdana"/>
          <w:b/>
          <w:bCs/>
          <w:i/>
          <w:sz w:val="28"/>
          <w:szCs w:val="28"/>
        </w:rPr>
      </w:pPr>
      <w:r w:rsidRPr="001B1F60">
        <w:rPr>
          <w:rFonts w:eastAsia="Verdana" w:cs="Verdana"/>
          <w:b/>
          <w:bCs/>
          <w:i/>
          <w:sz w:val="28"/>
          <w:szCs w:val="28"/>
        </w:rPr>
        <w:t>Art. 1.2 – Champ d'application :</w:t>
      </w:r>
    </w:p>
    <w:p w14:paraId="564811FD" w14:textId="77777777" w:rsidR="00427F5B" w:rsidRPr="001B1F60" w:rsidRDefault="00427F5B" w:rsidP="00427F5B">
      <w:pPr>
        <w:jc w:val="both"/>
        <w:rPr>
          <w:rFonts w:eastAsia="Verdana" w:cs="Verdana"/>
        </w:rPr>
      </w:pPr>
      <w:r w:rsidRPr="001B1F60">
        <w:rPr>
          <w:rFonts w:eastAsia="Verdana" w:cs="Verdana"/>
        </w:rPr>
        <w:t xml:space="preserve">Les dispositions du présent accord s'appliquent à tous les salariés de l'Association, </w:t>
      </w:r>
    </w:p>
    <w:p w14:paraId="25E70BA6" w14:textId="77777777" w:rsidR="00427F5B" w:rsidRPr="001B1F60" w:rsidRDefault="00427F5B" w:rsidP="00427F5B">
      <w:pPr>
        <w:jc w:val="both"/>
        <w:rPr>
          <w:rFonts w:eastAsia="Verdana" w:cs="Verdana"/>
        </w:rPr>
      </w:pPr>
    </w:p>
    <w:p w14:paraId="2BB6B8FF" w14:textId="77777777" w:rsidR="00427F5B" w:rsidRPr="001B1F60" w:rsidRDefault="00427F5B" w:rsidP="00427F5B">
      <w:pPr>
        <w:numPr>
          <w:ilvl w:val="0"/>
          <w:numId w:val="8"/>
        </w:numPr>
        <w:suppressAutoHyphens/>
        <w:jc w:val="both"/>
        <w:rPr>
          <w:rFonts w:eastAsia="Verdana" w:cs="Verdana"/>
          <w:b/>
          <w:bCs/>
          <w:i/>
          <w:sz w:val="28"/>
          <w:szCs w:val="28"/>
        </w:rPr>
      </w:pPr>
      <w:r w:rsidRPr="001B1F60">
        <w:rPr>
          <w:rFonts w:eastAsia="Verdana" w:cs="Verdana"/>
          <w:b/>
          <w:bCs/>
          <w:i/>
          <w:sz w:val="28"/>
          <w:szCs w:val="28"/>
        </w:rPr>
        <w:t>Art. 1.3 – Date d'effet – Durée</w:t>
      </w:r>
    </w:p>
    <w:p w14:paraId="0E0A6826" w14:textId="5BE55B51" w:rsidR="00427F5B" w:rsidRPr="001B1F60" w:rsidRDefault="00B96E28" w:rsidP="00B96E28">
      <w:pPr>
        <w:jc w:val="both"/>
        <w:rPr>
          <w:rFonts w:eastAsia="Verdana" w:cs="Verdana"/>
        </w:rPr>
      </w:pPr>
      <w:r>
        <w:rPr>
          <w:rFonts w:eastAsia="Verdana" w:cs="Verdana"/>
        </w:rPr>
        <w:t>Le présent accord e</w:t>
      </w:r>
      <w:r w:rsidR="00427F5B" w:rsidRPr="001B1F60">
        <w:rPr>
          <w:rFonts w:eastAsia="Verdana" w:cs="Verdana"/>
        </w:rPr>
        <w:t xml:space="preserve">st conclu pour une durée de trois années courant à compter du 1er </w:t>
      </w:r>
      <w:r w:rsidR="001B1F60" w:rsidRPr="001B1F60">
        <w:rPr>
          <w:rFonts w:eastAsia="Verdana" w:cs="Verdana"/>
        </w:rPr>
        <w:t>XXX</w:t>
      </w:r>
      <w:r w:rsidR="00427F5B" w:rsidRPr="001B1F60">
        <w:rPr>
          <w:rFonts w:eastAsia="Verdana" w:cs="Verdana"/>
        </w:rPr>
        <w:t xml:space="preserve"> et jusqu’au </w:t>
      </w:r>
      <w:r w:rsidR="001B1F60" w:rsidRPr="001B1F60">
        <w:rPr>
          <w:rFonts w:eastAsia="Verdana" w:cs="Verdana"/>
        </w:rPr>
        <w:t>XXX sous réserve de l’article 1.1 sur l’agrément</w:t>
      </w:r>
      <w:r w:rsidR="00427F5B" w:rsidRPr="001B1F60">
        <w:rPr>
          <w:rFonts w:eastAsia="Verdana" w:cs="Verdana"/>
        </w:rPr>
        <w:t xml:space="preserve">. A l'expiration de cette période, il cesse de produire tous ses effets. </w:t>
      </w:r>
    </w:p>
    <w:p w14:paraId="404A20EB" w14:textId="77777777" w:rsidR="00427F5B" w:rsidRPr="001B1F60" w:rsidRDefault="00427F5B" w:rsidP="00427F5B">
      <w:pPr>
        <w:ind w:left="1080"/>
        <w:jc w:val="both"/>
        <w:rPr>
          <w:rFonts w:eastAsia="Verdana" w:cs="Verdana"/>
        </w:rPr>
      </w:pPr>
    </w:p>
    <w:p w14:paraId="76DDAA2A" w14:textId="77777777" w:rsidR="00427F5B" w:rsidRPr="001B1F60" w:rsidRDefault="00427F5B" w:rsidP="00427F5B">
      <w:pPr>
        <w:autoSpaceDE w:val="0"/>
        <w:jc w:val="both"/>
        <w:rPr>
          <w:rFonts w:eastAsia="Verdana" w:cs="Verdana"/>
        </w:rPr>
      </w:pPr>
      <w:r w:rsidRPr="001B1F60">
        <w:rPr>
          <w:rFonts w:eastAsia="Verdana" w:cs="Verdana"/>
        </w:rPr>
        <w:t xml:space="preserve">Au vu des résultats de cette période triennale, un nouvel accord devra être conclu afin de prendre en compte l’évolution de la situation. </w:t>
      </w:r>
    </w:p>
    <w:p w14:paraId="30D60272" w14:textId="77777777" w:rsidR="00427F5B" w:rsidRPr="001B1F60" w:rsidRDefault="00427F5B" w:rsidP="00427F5B">
      <w:pPr>
        <w:autoSpaceDE w:val="0"/>
        <w:jc w:val="both"/>
        <w:rPr>
          <w:rFonts w:eastAsia="Verdana" w:cs="Verdana"/>
        </w:rPr>
      </w:pPr>
    </w:p>
    <w:p w14:paraId="1D28AC8D" w14:textId="77777777" w:rsidR="00427F5B" w:rsidRPr="001B1F60" w:rsidRDefault="00427F5B" w:rsidP="00427F5B">
      <w:pPr>
        <w:numPr>
          <w:ilvl w:val="0"/>
          <w:numId w:val="9"/>
        </w:numPr>
        <w:suppressAutoHyphens/>
        <w:autoSpaceDE w:val="0"/>
        <w:jc w:val="both"/>
        <w:rPr>
          <w:rFonts w:eastAsia="Verdana" w:cs="Verdana"/>
          <w:b/>
          <w:bCs/>
          <w:i/>
          <w:sz w:val="28"/>
          <w:szCs w:val="28"/>
        </w:rPr>
      </w:pPr>
      <w:r w:rsidRPr="001B1F60">
        <w:rPr>
          <w:rFonts w:eastAsia="Verdana" w:cs="Verdana"/>
          <w:b/>
          <w:bCs/>
          <w:i/>
          <w:sz w:val="28"/>
          <w:szCs w:val="28"/>
        </w:rPr>
        <w:t>Art. 1-4 – Dénonciation</w:t>
      </w:r>
    </w:p>
    <w:p w14:paraId="3C706E98" w14:textId="77777777" w:rsidR="00427F5B" w:rsidRPr="001B1F60" w:rsidRDefault="00427F5B" w:rsidP="00427F5B">
      <w:pPr>
        <w:autoSpaceDE w:val="0"/>
        <w:jc w:val="both"/>
        <w:rPr>
          <w:rFonts w:eastAsia="Verdana" w:cs="Verdana"/>
        </w:rPr>
      </w:pPr>
      <w:r w:rsidRPr="001B1F60">
        <w:rPr>
          <w:rFonts w:eastAsia="Verdana" w:cs="Verdana"/>
        </w:rPr>
        <w:t>La dénonciation du présent accord ne peut être que totale au regard du principe d'indivisibilité retenu par les parties signataires.</w:t>
      </w:r>
    </w:p>
    <w:p w14:paraId="404FA119" w14:textId="77777777" w:rsidR="00427F5B" w:rsidRPr="001B1F60" w:rsidRDefault="00427F5B" w:rsidP="00427F5B">
      <w:pPr>
        <w:autoSpaceDE w:val="0"/>
        <w:jc w:val="both"/>
        <w:rPr>
          <w:i/>
          <w:iCs/>
        </w:rPr>
      </w:pPr>
    </w:p>
    <w:p w14:paraId="49E41ACB" w14:textId="77777777" w:rsidR="00427F5B" w:rsidRPr="001B1F60" w:rsidRDefault="00427F5B" w:rsidP="00427F5B">
      <w:pPr>
        <w:autoSpaceDE w:val="0"/>
        <w:jc w:val="both"/>
        <w:rPr>
          <w:rFonts w:eastAsia="Verdana" w:cs="Verdana"/>
        </w:rPr>
      </w:pPr>
      <w:r w:rsidRPr="001B1F60">
        <w:rPr>
          <w:rFonts w:eastAsia="Verdana" w:cs="Verdana"/>
        </w:rPr>
        <w:t xml:space="preserve">En cas de dénonciation par l'une des parties signataires, il sera fait strictement applications des dispositions légales en ce domaine et notamment des articles </w:t>
      </w:r>
      <w:r w:rsidRPr="001B1F60">
        <w:rPr>
          <w:rFonts w:eastAsia="Verdana" w:cs="Verdana"/>
          <w:iCs/>
        </w:rPr>
        <w:t>L.2222-6 à 14</w:t>
      </w:r>
      <w:r w:rsidRPr="001B1F60">
        <w:rPr>
          <w:rFonts w:eastAsia="Verdana" w:cs="Verdana"/>
        </w:rPr>
        <w:t xml:space="preserve"> et </w:t>
      </w:r>
      <w:r w:rsidRPr="001B1F60">
        <w:rPr>
          <w:rFonts w:eastAsia="Verdana" w:cs="Verdana"/>
          <w:iCs/>
        </w:rPr>
        <w:t>L.2261-12</w:t>
      </w:r>
      <w:r w:rsidRPr="001B1F60">
        <w:rPr>
          <w:rFonts w:eastAsia="Verdana" w:cs="Verdana"/>
        </w:rPr>
        <w:t xml:space="preserve"> du Code du travail. </w:t>
      </w:r>
    </w:p>
    <w:p w14:paraId="4EE4A800" w14:textId="77777777" w:rsidR="00427F5B" w:rsidRPr="001B1F60" w:rsidRDefault="00427F5B" w:rsidP="00427F5B">
      <w:pPr>
        <w:autoSpaceDE w:val="0"/>
        <w:jc w:val="both"/>
        <w:rPr>
          <w:rFonts w:eastAsia="Verdana" w:cs="Verdana"/>
          <w:i/>
          <w:iCs/>
        </w:rPr>
      </w:pPr>
    </w:p>
    <w:p w14:paraId="350DE211" w14:textId="77777777" w:rsidR="00427F5B" w:rsidRPr="001B1F60" w:rsidRDefault="00427F5B" w:rsidP="00427F5B">
      <w:pPr>
        <w:numPr>
          <w:ilvl w:val="0"/>
          <w:numId w:val="9"/>
        </w:numPr>
        <w:suppressAutoHyphens/>
        <w:autoSpaceDE w:val="0"/>
        <w:jc w:val="both"/>
        <w:rPr>
          <w:rFonts w:eastAsia="Verdana" w:cs="Verdana"/>
          <w:b/>
          <w:bCs/>
          <w:i/>
          <w:sz w:val="28"/>
          <w:szCs w:val="28"/>
        </w:rPr>
      </w:pPr>
      <w:r w:rsidRPr="001B1F60">
        <w:rPr>
          <w:rFonts w:eastAsia="Verdana" w:cs="Verdana"/>
          <w:b/>
          <w:bCs/>
          <w:i/>
          <w:sz w:val="28"/>
          <w:szCs w:val="28"/>
        </w:rPr>
        <w:t>Art. 1-5 - Révision</w:t>
      </w:r>
    </w:p>
    <w:p w14:paraId="70A66663" w14:textId="77777777" w:rsidR="00427F5B" w:rsidRPr="001B1F60" w:rsidRDefault="00427F5B" w:rsidP="00427F5B">
      <w:pPr>
        <w:autoSpaceDE w:val="0"/>
        <w:jc w:val="both"/>
        <w:rPr>
          <w:rFonts w:eastAsia="Verdana" w:cs="Verdana"/>
        </w:rPr>
      </w:pPr>
      <w:r w:rsidRPr="001B1F60">
        <w:rPr>
          <w:rFonts w:eastAsia="Verdana" w:cs="Verdana"/>
        </w:rPr>
        <w:t xml:space="preserve">Le présent accord est révisable au gré des parties. </w:t>
      </w:r>
    </w:p>
    <w:p w14:paraId="3AB2D75B" w14:textId="77777777" w:rsidR="00427F5B" w:rsidRPr="001B1F60" w:rsidRDefault="00427F5B" w:rsidP="00427F5B">
      <w:pPr>
        <w:autoSpaceDE w:val="0"/>
        <w:jc w:val="both"/>
        <w:rPr>
          <w:rFonts w:eastAsia="Verdana" w:cs="Verdana"/>
        </w:rPr>
      </w:pPr>
    </w:p>
    <w:p w14:paraId="79FC8D68" w14:textId="77777777" w:rsidR="00427F5B" w:rsidRPr="001B1F60" w:rsidRDefault="00427F5B" w:rsidP="00427F5B">
      <w:pPr>
        <w:autoSpaceDE w:val="0"/>
        <w:jc w:val="both"/>
        <w:rPr>
          <w:rFonts w:eastAsia="Verdana" w:cs="Verdana"/>
        </w:rPr>
      </w:pPr>
      <w:r w:rsidRPr="001B1F60">
        <w:rPr>
          <w:rFonts w:eastAsia="Verdana" w:cs="Verdana"/>
        </w:rPr>
        <w:t xml:space="preserve">L'employeur et/ou les organisations syndicales signataires peuvent demander la révision de certaines clauses. </w:t>
      </w:r>
    </w:p>
    <w:p w14:paraId="68C9B654" w14:textId="77777777" w:rsidR="00427F5B" w:rsidRPr="001B1F60" w:rsidRDefault="00427F5B" w:rsidP="00427F5B">
      <w:pPr>
        <w:autoSpaceDE w:val="0"/>
        <w:jc w:val="both"/>
        <w:rPr>
          <w:rFonts w:eastAsia="Verdana" w:cs="Verdana"/>
        </w:rPr>
      </w:pPr>
    </w:p>
    <w:p w14:paraId="1D64B5EB" w14:textId="77777777" w:rsidR="00427F5B" w:rsidRPr="001B1F60" w:rsidRDefault="00427F5B" w:rsidP="00427F5B">
      <w:pPr>
        <w:autoSpaceDE w:val="0"/>
        <w:jc w:val="both"/>
        <w:rPr>
          <w:rFonts w:eastAsia="Verdana" w:cs="Verdana"/>
        </w:rPr>
      </w:pPr>
      <w:r w:rsidRPr="001B1F60">
        <w:rPr>
          <w:rFonts w:eastAsia="Verdana" w:cs="Verdana"/>
        </w:rPr>
        <w:t xml:space="preserve">Toute demande de révision par l'une ou les partie(s) signataire(s), de certaines clauses, est obligatoirement accompagnée d'une rédaction nouvelle concernant le ou les article(s) soumis à révision. Cette demande de révision sera notifiée par lettre recommandée avec accusé de réception ou contre décharge à chacune des parties signataires. </w:t>
      </w:r>
    </w:p>
    <w:p w14:paraId="3BA3C672" w14:textId="77777777" w:rsidR="00427F5B" w:rsidRPr="001B1F60" w:rsidRDefault="00427F5B" w:rsidP="00427F5B">
      <w:pPr>
        <w:autoSpaceDE w:val="0"/>
        <w:jc w:val="both"/>
        <w:rPr>
          <w:rFonts w:eastAsia="Verdana" w:cs="Verdana"/>
        </w:rPr>
      </w:pPr>
      <w:r w:rsidRPr="001B1F60">
        <w:rPr>
          <w:rFonts w:eastAsia="Verdana" w:cs="Verdana"/>
        </w:rPr>
        <w:t xml:space="preserve">Au plus tard dans un délai d'un mois à partir de la réception de la demande, le Président de l'Association, ou son représentant dûment mandaté, devra convoquer la ou les organisations syndicales signataires. </w:t>
      </w:r>
    </w:p>
    <w:p w14:paraId="1500E799" w14:textId="77777777" w:rsidR="00427F5B" w:rsidRPr="001B1F60" w:rsidRDefault="00427F5B" w:rsidP="00427F5B">
      <w:pPr>
        <w:autoSpaceDE w:val="0"/>
        <w:jc w:val="both"/>
        <w:rPr>
          <w:rFonts w:eastAsia="Verdana" w:cs="Verdana"/>
        </w:rPr>
      </w:pPr>
    </w:p>
    <w:p w14:paraId="5EC18670" w14:textId="77777777" w:rsidR="00427F5B" w:rsidRPr="001B1F60" w:rsidRDefault="00427F5B" w:rsidP="00427F5B">
      <w:pPr>
        <w:autoSpaceDE w:val="0"/>
        <w:jc w:val="both"/>
        <w:rPr>
          <w:rFonts w:eastAsia="Verdana" w:cs="Verdana"/>
        </w:rPr>
      </w:pPr>
      <w:r w:rsidRPr="001B1F60">
        <w:rPr>
          <w:rFonts w:eastAsia="Verdana" w:cs="Verdana"/>
        </w:rPr>
        <w:lastRenderedPageBreak/>
        <w:t>En l'absence d'accord unanime de tous les signataires sur un nouveau texte, la demande de révision sera sans effet et la clause ancienne maintenue sauf accord unanime pour sa suppression pure et simple.</w:t>
      </w:r>
    </w:p>
    <w:p w14:paraId="414F56D2" w14:textId="77777777" w:rsidR="00427F5B" w:rsidRPr="001B1F60" w:rsidRDefault="00427F5B" w:rsidP="00427F5B">
      <w:pPr>
        <w:autoSpaceDE w:val="0"/>
        <w:jc w:val="both"/>
        <w:rPr>
          <w:rFonts w:eastAsia="Verdana" w:cs="Verdana"/>
        </w:rPr>
      </w:pPr>
    </w:p>
    <w:p w14:paraId="1BC291DB" w14:textId="77777777" w:rsidR="00427F5B" w:rsidRPr="001B1F60" w:rsidRDefault="00427F5B" w:rsidP="00427F5B">
      <w:pPr>
        <w:autoSpaceDE w:val="0"/>
        <w:jc w:val="both"/>
        <w:rPr>
          <w:rFonts w:eastAsia="Verdana" w:cs="Verdana"/>
        </w:rPr>
      </w:pPr>
      <w:r w:rsidRPr="001B1F60">
        <w:rPr>
          <w:rFonts w:eastAsia="Verdana" w:cs="Verdana"/>
        </w:rPr>
        <w:t>En cas d'adoption d'un avenant au présent accord, Les clauses révisées donnent lieu à des avenants qui portent les mêmes effets que l'accord initial. Leur prise d'effet sera effective au 1er jour du mois qui suit l'obtention de l'agrément prévu à l'article 1.1.</w:t>
      </w:r>
    </w:p>
    <w:p w14:paraId="126230B0" w14:textId="77777777" w:rsidR="00427F5B" w:rsidRPr="001B1F60" w:rsidRDefault="00427F5B" w:rsidP="00427F5B">
      <w:pPr>
        <w:autoSpaceDE w:val="0"/>
        <w:ind w:left="720"/>
        <w:jc w:val="both"/>
        <w:rPr>
          <w:rFonts w:eastAsia="Verdana" w:cs="Verdana"/>
          <w:b/>
          <w:bCs/>
          <w:i/>
          <w:sz w:val="28"/>
          <w:szCs w:val="28"/>
        </w:rPr>
      </w:pPr>
    </w:p>
    <w:p w14:paraId="5BF29745" w14:textId="77777777" w:rsidR="00427F5B" w:rsidRPr="001B1F60" w:rsidRDefault="00427F5B" w:rsidP="00427F5B">
      <w:pPr>
        <w:numPr>
          <w:ilvl w:val="0"/>
          <w:numId w:val="9"/>
        </w:numPr>
        <w:suppressAutoHyphens/>
        <w:autoSpaceDE w:val="0"/>
        <w:jc w:val="both"/>
        <w:rPr>
          <w:rFonts w:eastAsia="Verdana" w:cs="Verdana"/>
          <w:b/>
          <w:bCs/>
          <w:i/>
          <w:sz w:val="28"/>
          <w:szCs w:val="28"/>
        </w:rPr>
      </w:pPr>
      <w:r w:rsidRPr="001B1F60">
        <w:rPr>
          <w:rFonts w:eastAsia="Verdana" w:cs="Verdana"/>
          <w:b/>
          <w:bCs/>
          <w:i/>
          <w:sz w:val="28"/>
          <w:szCs w:val="28"/>
        </w:rPr>
        <w:t>Article 1-6 – Interprétation &amp; litiges</w:t>
      </w:r>
    </w:p>
    <w:p w14:paraId="04A208EA" w14:textId="77777777" w:rsidR="00427F5B" w:rsidRPr="001B1F60" w:rsidRDefault="00427F5B" w:rsidP="00427F5B">
      <w:pPr>
        <w:autoSpaceDE w:val="0"/>
        <w:jc w:val="both"/>
        <w:rPr>
          <w:rFonts w:eastAsia="Verdana" w:cs="Verdana"/>
        </w:rPr>
      </w:pPr>
      <w:r w:rsidRPr="001B1F60">
        <w:rPr>
          <w:rFonts w:eastAsia="Verdana" w:cs="Verdana"/>
        </w:rPr>
        <w:t>Si l'une des clauses du présent accord pose une difficulté d'interprétation, les parties signataires conviennent de soumettre ladite clause à interprétation.</w:t>
      </w:r>
    </w:p>
    <w:p w14:paraId="573C9A20" w14:textId="77777777" w:rsidR="00427F5B" w:rsidRPr="001B1F60" w:rsidRDefault="00427F5B" w:rsidP="00427F5B">
      <w:pPr>
        <w:autoSpaceDE w:val="0"/>
        <w:jc w:val="both"/>
        <w:rPr>
          <w:rFonts w:eastAsia="Verdana" w:cs="Verdana"/>
        </w:rPr>
      </w:pPr>
    </w:p>
    <w:p w14:paraId="4AF1A267" w14:textId="77777777" w:rsidR="00427F5B" w:rsidRPr="001B1F60" w:rsidRDefault="00427F5B" w:rsidP="00427F5B">
      <w:pPr>
        <w:autoSpaceDE w:val="0"/>
        <w:jc w:val="both"/>
        <w:rPr>
          <w:rFonts w:eastAsia="Verdana" w:cs="Verdana"/>
        </w:rPr>
      </w:pPr>
      <w:r w:rsidRPr="001B1F60">
        <w:rPr>
          <w:rFonts w:eastAsia="Verdana" w:cs="Verdana"/>
        </w:rPr>
        <w:t>Dans le cas où la difficulté porte sur un litige d'ordre individuel ou collectif, le Président de l'Association, ou son représentant dûment mandaté, convoquera dans un délai maximum d'un mois suivant la date où il aura pris connaissance du différend, une commission dans les conditions ci-dessous :</w:t>
      </w:r>
    </w:p>
    <w:p w14:paraId="32F02F06" w14:textId="77777777" w:rsidR="00427F5B" w:rsidRPr="001B1F60" w:rsidRDefault="00427F5B" w:rsidP="00427F5B">
      <w:pPr>
        <w:autoSpaceDE w:val="0"/>
        <w:jc w:val="both"/>
        <w:rPr>
          <w:rFonts w:eastAsia="Verdana" w:cs="Verdana"/>
        </w:rPr>
      </w:pPr>
    </w:p>
    <w:p w14:paraId="4348B858" w14:textId="77777777" w:rsidR="00427F5B" w:rsidRPr="001B1F60" w:rsidRDefault="00427F5B" w:rsidP="00427F5B">
      <w:pPr>
        <w:autoSpaceDE w:val="0"/>
        <w:jc w:val="both"/>
        <w:rPr>
          <w:rFonts w:eastAsia="Verdana" w:cs="Verdana"/>
          <w:b/>
          <w:i/>
        </w:rPr>
      </w:pPr>
      <w:r w:rsidRPr="001B1F60">
        <w:rPr>
          <w:rFonts w:eastAsia="Verdana" w:cs="Verdana"/>
        </w:rPr>
        <w:tab/>
      </w:r>
      <w:r w:rsidRPr="001B1F60">
        <w:rPr>
          <w:rFonts w:eastAsia="Verdana" w:cs="Verdana"/>
          <w:b/>
          <w:bCs/>
          <w:i/>
        </w:rPr>
        <w:t>Art. 1-6-1</w:t>
      </w:r>
      <w:r w:rsidRPr="001B1F60">
        <w:rPr>
          <w:rFonts w:eastAsia="Verdana" w:cs="Verdana"/>
          <w:b/>
          <w:i/>
        </w:rPr>
        <w:t xml:space="preserve"> – composition de la commission  </w:t>
      </w:r>
    </w:p>
    <w:p w14:paraId="57D4E687" w14:textId="081891F7" w:rsidR="00427F5B" w:rsidRPr="001B1F60" w:rsidRDefault="00427F5B" w:rsidP="00427F5B">
      <w:pPr>
        <w:autoSpaceDE w:val="0"/>
        <w:jc w:val="both"/>
        <w:rPr>
          <w:rFonts w:eastAsia="Verdana" w:cs="Verdana"/>
        </w:rPr>
      </w:pPr>
      <w:r w:rsidRPr="001B1F60">
        <w:rPr>
          <w:rFonts w:eastAsia="Verdana" w:cs="Verdana"/>
        </w:rPr>
        <w:t>- d'un délégué syndical par organisation syndicale signataires du présent accord, et représentative au sens de</w:t>
      </w:r>
      <w:r w:rsidR="00502F2C">
        <w:rPr>
          <w:rFonts w:eastAsia="Verdana" w:cs="Verdana"/>
        </w:rPr>
        <w:t>s dispositions légales en vigueur</w:t>
      </w:r>
      <w:r w:rsidRPr="001B1F60">
        <w:rPr>
          <w:rFonts w:eastAsia="Verdana" w:cs="Verdana"/>
        </w:rPr>
        <w:t>. Chaque délégué syndical devra être salarié de l'association. Il pourra néanmoins être accompagné d'une personne de son choix appartenant à son organisation syndicale ou d'un expert extérieur à l'association et susceptible d'apporter un éclairage.</w:t>
      </w:r>
    </w:p>
    <w:p w14:paraId="1D9CABBA" w14:textId="77777777" w:rsidR="00427F5B" w:rsidRPr="001B1F60" w:rsidRDefault="00427F5B" w:rsidP="00427F5B">
      <w:pPr>
        <w:autoSpaceDE w:val="0"/>
        <w:jc w:val="both"/>
        <w:rPr>
          <w:rFonts w:eastAsia="Verdana" w:cs="Verdana"/>
        </w:rPr>
      </w:pPr>
      <w:r w:rsidRPr="001B1F60">
        <w:rPr>
          <w:rFonts w:eastAsia="Verdana" w:cs="Verdana"/>
        </w:rPr>
        <w:t>- Et du même nombre de personnes désignées par le Président qui seront également susceptibles d'apporter un éclairage.</w:t>
      </w:r>
    </w:p>
    <w:p w14:paraId="1E74BA84" w14:textId="77777777" w:rsidR="00427F5B" w:rsidRPr="001B1F60" w:rsidRDefault="00427F5B" w:rsidP="00427F5B">
      <w:pPr>
        <w:autoSpaceDE w:val="0"/>
        <w:jc w:val="both"/>
        <w:rPr>
          <w:rFonts w:eastAsia="Verdana" w:cs="Verdana"/>
        </w:rPr>
      </w:pPr>
    </w:p>
    <w:p w14:paraId="7F24196A" w14:textId="77777777" w:rsidR="00427F5B" w:rsidRPr="001B1F60" w:rsidRDefault="00427F5B" w:rsidP="00427F5B">
      <w:pPr>
        <w:autoSpaceDE w:val="0"/>
        <w:jc w:val="both"/>
        <w:rPr>
          <w:rFonts w:eastAsia="Verdana" w:cs="Verdana"/>
          <w:iCs/>
        </w:rPr>
      </w:pPr>
      <w:r w:rsidRPr="001B1F60">
        <w:rPr>
          <w:rFonts w:eastAsia="Verdana" w:cs="Verdana"/>
        </w:rPr>
        <w:t>Les conclusions de cette interprétation feront l'objet d'une note d'information adoptée par les signataires de l'accord.</w:t>
      </w:r>
      <w:r w:rsidRPr="001B1F60">
        <w:rPr>
          <w:rFonts w:eastAsia="Verdana" w:cs="Verdana"/>
          <w:i/>
          <w:iCs/>
        </w:rPr>
        <w:t xml:space="preserve"> </w:t>
      </w:r>
      <w:r w:rsidRPr="001B1F60">
        <w:rPr>
          <w:rFonts w:eastAsia="Verdana" w:cs="Verdana"/>
          <w:iCs/>
        </w:rPr>
        <w:t>Cette note fera l'objet d'une information auprès du Comité d'Entreprise.</w:t>
      </w:r>
    </w:p>
    <w:p w14:paraId="26EFF1F1" w14:textId="77777777" w:rsidR="00427F5B" w:rsidRPr="001B1F60" w:rsidRDefault="00427F5B" w:rsidP="00427F5B">
      <w:pPr>
        <w:autoSpaceDE w:val="0"/>
        <w:jc w:val="both"/>
        <w:rPr>
          <w:rFonts w:eastAsia="Verdana" w:cs="Verdana"/>
        </w:rPr>
      </w:pPr>
    </w:p>
    <w:p w14:paraId="7DA17F6F" w14:textId="0428EF8C" w:rsidR="00427F5B" w:rsidRPr="001B1F60" w:rsidRDefault="00427F5B" w:rsidP="00427F5B">
      <w:pPr>
        <w:numPr>
          <w:ilvl w:val="0"/>
          <w:numId w:val="11"/>
        </w:numPr>
        <w:suppressAutoHyphens/>
        <w:autoSpaceDE w:val="0"/>
        <w:jc w:val="both"/>
        <w:rPr>
          <w:rFonts w:eastAsia="Verdana" w:cs="Verdana"/>
          <w:b/>
          <w:bCs/>
          <w:i/>
        </w:rPr>
      </w:pPr>
      <w:r w:rsidRPr="001B1F60">
        <w:rPr>
          <w:rFonts w:eastAsia="Verdana" w:cs="Verdana"/>
          <w:b/>
          <w:bCs/>
          <w:i/>
          <w:sz w:val="28"/>
          <w:szCs w:val="28"/>
        </w:rPr>
        <w:t>Art. 1-</w:t>
      </w:r>
      <w:r w:rsidR="00B96E28">
        <w:rPr>
          <w:rFonts w:eastAsia="Verdana" w:cs="Verdana"/>
          <w:b/>
          <w:bCs/>
          <w:i/>
          <w:sz w:val="28"/>
          <w:szCs w:val="28"/>
        </w:rPr>
        <w:t>7</w:t>
      </w:r>
      <w:r w:rsidRPr="001B1F60">
        <w:rPr>
          <w:rFonts w:eastAsia="Verdana" w:cs="Verdana"/>
          <w:b/>
          <w:bCs/>
          <w:i/>
          <w:sz w:val="28"/>
          <w:szCs w:val="28"/>
        </w:rPr>
        <w:t xml:space="preserve"> – Formalités de dépôt et de publicité</w:t>
      </w:r>
    </w:p>
    <w:p w14:paraId="7C8326B6" w14:textId="77777777" w:rsidR="00427F5B" w:rsidRPr="001B1F60" w:rsidRDefault="00427F5B" w:rsidP="00427F5B">
      <w:pPr>
        <w:autoSpaceDE w:val="0"/>
        <w:jc w:val="both"/>
        <w:rPr>
          <w:rFonts w:eastAsia="Verdana" w:cs="Verdana"/>
        </w:rPr>
      </w:pPr>
      <w:r w:rsidRPr="001B1F60">
        <w:rPr>
          <w:rFonts w:eastAsia="Verdana" w:cs="Verdana"/>
        </w:rPr>
        <w:t xml:space="preserve">Le présent accord fera l'objet des formalités de dépôt et de publicité conformément à l'article L.2231-6 du Code du travail. </w:t>
      </w:r>
    </w:p>
    <w:p w14:paraId="63DA7776" w14:textId="77777777" w:rsidR="001B1F60" w:rsidRPr="001B1F60" w:rsidRDefault="001B1F60" w:rsidP="00407940">
      <w:pPr>
        <w:jc w:val="both"/>
        <w:rPr>
          <w:rFonts w:cs="Arial"/>
          <w:bCs/>
        </w:rPr>
      </w:pPr>
    </w:p>
    <w:p w14:paraId="4F25DA1C" w14:textId="3329FB5C" w:rsidR="00CE481E" w:rsidRPr="001B1F60" w:rsidRDefault="001B1F60" w:rsidP="00CE481E">
      <w:pPr>
        <w:jc w:val="both"/>
        <w:rPr>
          <w:rFonts w:cs="Arial"/>
          <w:b/>
          <w:bCs/>
          <w:u w:val="single"/>
        </w:rPr>
      </w:pPr>
      <w:r w:rsidRPr="001B1F60">
        <w:rPr>
          <w:rFonts w:cs="Arial"/>
          <w:b/>
          <w:bCs/>
          <w:u w:val="single"/>
        </w:rPr>
        <w:t xml:space="preserve">CHAPITRE 2 - </w:t>
      </w:r>
      <w:r w:rsidR="00B96E28">
        <w:rPr>
          <w:rFonts w:cs="Arial"/>
          <w:b/>
          <w:bCs/>
          <w:u w:val="single"/>
        </w:rPr>
        <w:t>DEFINITION</w:t>
      </w:r>
    </w:p>
    <w:p w14:paraId="7A2D41C1" w14:textId="77777777" w:rsidR="00CE481E" w:rsidRPr="001B1F60" w:rsidRDefault="00CE481E" w:rsidP="00CE481E">
      <w:pPr>
        <w:jc w:val="both"/>
        <w:rPr>
          <w:rFonts w:cs="Arial"/>
        </w:rPr>
      </w:pPr>
    </w:p>
    <w:p w14:paraId="072022C4" w14:textId="4D7902C7" w:rsidR="00CE481E" w:rsidRPr="00502F2C" w:rsidRDefault="00CE481E" w:rsidP="00641B8B">
      <w:pPr>
        <w:numPr>
          <w:ilvl w:val="0"/>
          <w:numId w:val="11"/>
        </w:numPr>
        <w:jc w:val="both"/>
        <w:rPr>
          <w:rFonts w:cs="Arial"/>
          <w:sz w:val="28"/>
          <w:szCs w:val="28"/>
        </w:rPr>
      </w:pPr>
      <w:r w:rsidRPr="00502F2C">
        <w:rPr>
          <w:rFonts w:cs="Arial"/>
          <w:b/>
          <w:bCs/>
          <w:i/>
          <w:iCs/>
          <w:sz w:val="28"/>
          <w:szCs w:val="28"/>
          <w:u w:val="single"/>
        </w:rPr>
        <w:t xml:space="preserve">art. </w:t>
      </w:r>
      <w:r w:rsidR="001B1F60" w:rsidRPr="00502F2C">
        <w:rPr>
          <w:rFonts w:cs="Arial"/>
          <w:b/>
          <w:bCs/>
          <w:i/>
          <w:iCs/>
          <w:sz w:val="28"/>
          <w:szCs w:val="28"/>
          <w:u w:val="single"/>
        </w:rPr>
        <w:t>2</w:t>
      </w:r>
      <w:r w:rsidRPr="00502F2C">
        <w:rPr>
          <w:rFonts w:cs="Arial"/>
          <w:b/>
          <w:bCs/>
          <w:i/>
          <w:iCs/>
          <w:sz w:val="28"/>
          <w:szCs w:val="28"/>
          <w:u w:val="single"/>
        </w:rPr>
        <w:t>.1</w:t>
      </w:r>
      <w:r w:rsidRPr="00502F2C">
        <w:rPr>
          <w:rFonts w:cs="Arial"/>
          <w:b/>
          <w:bCs/>
          <w:i/>
          <w:iCs/>
          <w:sz w:val="28"/>
          <w:szCs w:val="28"/>
        </w:rPr>
        <w:t xml:space="preserve"> : </w:t>
      </w:r>
      <w:r w:rsidR="00B96E28" w:rsidRPr="00502F2C">
        <w:rPr>
          <w:rFonts w:cs="Arial"/>
          <w:b/>
          <w:bCs/>
          <w:i/>
          <w:iCs/>
          <w:sz w:val="28"/>
          <w:szCs w:val="28"/>
        </w:rPr>
        <w:t>Droit à la déconnexion</w:t>
      </w:r>
    </w:p>
    <w:p w14:paraId="580CFC42" w14:textId="3CB2CDCC" w:rsidR="00B96E28" w:rsidRDefault="00B96E28" w:rsidP="00B96E28">
      <w:r>
        <w:t xml:space="preserve">Le droit pour le salarié de ne pas être connecté à ses outils numériques professionnels en dehors de son temps de travail. </w:t>
      </w:r>
    </w:p>
    <w:p w14:paraId="68813498" w14:textId="77777777" w:rsidR="0003215A" w:rsidRPr="001B1F60" w:rsidRDefault="0003215A" w:rsidP="00CC62EF">
      <w:pPr>
        <w:ind w:firstLine="708"/>
        <w:jc w:val="both"/>
        <w:rPr>
          <w:rFonts w:cs="Arial"/>
          <w:i/>
          <w:u w:val="single"/>
        </w:rPr>
      </w:pPr>
    </w:p>
    <w:p w14:paraId="699F60B2" w14:textId="09E0FC72" w:rsidR="00CE481E" w:rsidRPr="00502F2C" w:rsidRDefault="00CE481E" w:rsidP="001B1F60">
      <w:pPr>
        <w:numPr>
          <w:ilvl w:val="0"/>
          <w:numId w:val="11"/>
        </w:numPr>
        <w:jc w:val="both"/>
        <w:rPr>
          <w:rFonts w:cs="Arial"/>
          <w:b/>
          <w:bCs/>
          <w:i/>
          <w:iCs/>
          <w:sz w:val="28"/>
          <w:szCs w:val="28"/>
        </w:rPr>
      </w:pPr>
      <w:r w:rsidRPr="00502F2C">
        <w:rPr>
          <w:rFonts w:cs="Arial"/>
          <w:b/>
          <w:bCs/>
          <w:i/>
          <w:iCs/>
          <w:sz w:val="28"/>
          <w:szCs w:val="28"/>
          <w:u w:val="single"/>
        </w:rPr>
        <w:t xml:space="preserve">art. </w:t>
      </w:r>
      <w:r w:rsidR="001B1F60" w:rsidRPr="00502F2C">
        <w:rPr>
          <w:rFonts w:cs="Arial"/>
          <w:b/>
          <w:bCs/>
          <w:i/>
          <w:iCs/>
          <w:sz w:val="28"/>
          <w:szCs w:val="28"/>
          <w:u w:val="single"/>
        </w:rPr>
        <w:t>2</w:t>
      </w:r>
      <w:r w:rsidRPr="00502F2C">
        <w:rPr>
          <w:rFonts w:cs="Arial"/>
          <w:b/>
          <w:bCs/>
          <w:i/>
          <w:iCs/>
          <w:sz w:val="28"/>
          <w:szCs w:val="28"/>
          <w:u w:val="single"/>
        </w:rPr>
        <w:t>.2</w:t>
      </w:r>
      <w:r w:rsidRPr="00502F2C">
        <w:rPr>
          <w:rFonts w:cs="Arial"/>
          <w:b/>
          <w:bCs/>
          <w:i/>
          <w:iCs/>
          <w:sz w:val="28"/>
          <w:szCs w:val="28"/>
        </w:rPr>
        <w:t xml:space="preserve"> : </w:t>
      </w:r>
      <w:r w:rsidR="00B96E28" w:rsidRPr="00502F2C">
        <w:rPr>
          <w:rFonts w:cs="Arial"/>
          <w:b/>
          <w:bCs/>
          <w:i/>
          <w:iCs/>
          <w:sz w:val="28"/>
          <w:szCs w:val="28"/>
        </w:rPr>
        <w:t>Outils numériques professionnels</w:t>
      </w:r>
    </w:p>
    <w:p w14:paraId="50C3DBD5" w14:textId="5C9D032C" w:rsidR="00B96E28" w:rsidRDefault="00B96E28" w:rsidP="00B96E28">
      <w:r>
        <w:t>Il s’agit des outils numériques physiques (ordinateurs, tablettes, smartphones, réseaux filaires etc.) et dématérialisés (logiciels, connexions sans fil, messagerie électronique, internet/extranet, etc.) qui permettent d’être joignable à distance.</w:t>
      </w:r>
    </w:p>
    <w:p w14:paraId="0E8FA287" w14:textId="77777777" w:rsidR="00502F2C" w:rsidRDefault="00502F2C" w:rsidP="00B96E28"/>
    <w:p w14:paraId="58991B20" w14:textId="785E42AF" w:rsidR="00B96E28" w:rsidRPr="00502F2C" w:rsidRDefault="00B96E28" w:rsidP="00B96E28">
      <w:pPr>
        <w:numPr>
          <w:ilvl w:val="0"/>
          <w:numId w:val="11"/>
        </w:numPr>
        <w:jc w:val="both"/>
        <w:rPr>
          <w:rFonts w:cs="Arial"/>
          <w:b/>
          <w:bCs/>
          <w:i/>
          <w:iCs/>
          <w:sz w:val="28"/>
          <w:szCs w:val="28"/>
        </w:rPr>
      </w:pPr>
      <w:r w:rsidRPr="00502F2C">
        <w:rPr>
          <w:rFonts w:cs="Arial"/>
          <w:b/>
          <w:bCs/>
          <w:i/>
          <w:iCs/>
          <w:sz w:val="28"/>
          <w:szCs w:val="28"/>
          <w:u w:val="single"/>
        </w:rPr>
        <w:t>art. 2.3</w:t>
      </w:r>
      <w:r w:rsidRPr="00502F2C">
        <w:rPr>
          <w:rFonts w:cs="Arial"/>
          <w:b/>
          <w:bCs/>
          <w:i/>
          <w:iCs/>
          <w:sz w:val="28"/>
          <w:szCs w:val="28"/>
        </w:rPr>
        <w:t xml:space="preserve"> : </w:t>
      </w:r>
      <w:r w:rsidR="00FC4DD0" w:rsidRPr="00502F2C">
        <w:rPr>
          <w:rFonts w:cs="Arial"/>
          <w:b/>
          <w:bCs/>
          <w:i/>
          <w:iCs/>
          <w:sz w:val="28"/>
          <w:szCs w:val="28"/>
        </w:rPr>
        <w:t>Temps de travail</w:t>
      </w:r>
    </w:p>
    <w:p w14:paraId="3C74770E" w14:textId="1EB10D88" w:rsidR="005C5AC7" w:rsidRDefault="005C5AC7" w:rsidP="005C5AC7">
      <w:r>
        <w:t xml:space="preserve">Horaires de travail du salarié durant lesquelles il est à la disposition de son employeur. Cela comprend les heures normales de travail, les heures supplémentaires, à l’exclusion des temps de repos quotidien et hebdomadaires, des congés payés, des congés exceptionnels, des jours fériés chômés et les jours de récupération. </w:t>
      </w:r>
    </w:p>
    <w:p w14:paraId="48C4757E" w14:textId="77777777" w:rsidR="005C5AC7" w:rsidRPr="001B1F60" w:rsidRDefault="005C5AC7" w:rsidP="00C84AA3">
      <w:pPr>
        <w:ind w:left="360"/>
        <w:jc w:val="both"/>
        <w:rPr>
          <w:rFonts w:cs="Arial"/>
          <w:i/>
        </w:rPr>
      </w:pPr>
    </w:p>
    <w:p w14:paraId="29BF1FB1" w14:textId="77777777" w:rsidR="00060302" w:rsidRDefault="00060302">
      <w:pPr>
        <w:rPr>
          <w:b/>
          <w:u w:val="single"/>
        </w:rPr>
      </w:pPr>
    </w:p>
    <w:p w14:paraId="51688998" w14:textId="77777777" w:rsidR="00060302" w:rsidRDefault="00060302">
      <w:pPr>
        <w:rPr>
          <w:b/>
          <w:u w:val="single"/>
        </w:rPr>
      </w:pPr>
    </w:p>
    <w:p w14:paraId="18D64EE1" w14:textId="434F39C8" w:rsidR="00853C8D" w:rsidRDefault="001B1F60">
      <w:pPr>
        <w:rPr>
          <w:b/>
          <w:u w:val="single"/>
        </w:rPr>
      </w:pPr>
      <w:r>
        <w:rPr>
          <w:b/>
          <w:u w:val="single"/>
        </w:rPr>
        <w:lastRenderedPageBreak/>
        <w:t xml:space="preserve">CHAPITRE 3 </w:t>
      </w:r>
      <w:r w:rsidR="005C5AC7">
        <w:rPr>
          <w:b/>
          <w:u w:val="single"/>
        </w:rPr>
        <w:t>–</w:t>
      </w:r>
      <w:r>
        <w:rPr>
          <w:b/>
          <w:u w:val="single"/>
        </w:rPr>
        <w:t xml:space="preserve"> FORMATION</w:t>
      </w:r>
      <w:r w:rsidR="005C5AC7">
        <w:rPr>
          <w:b/>
          <w:u w:val="single"/>
        </w:rPr>
        <w:t xml:space="preserve"> ET SENSIBILISATION</w:t>
      </w:r>
    </w:p>
    <w:p w14:paraId="0147E811" w14:textId="77777777" w:rsidR="005C5AC7" w:rsidRDefault="005C5AC7" w:rsidP="005C5AC7"/>
    <w:p w14:paraId="6FD1B741" w14:textId="62E04979" w:rsidR="005C5AC7" w:rsidRDefault="00502F2C" w:rsidP="005C5AC7">
      <w:r>
        <w:t>L</w:t>
      </w:r>
      <w:r w:rsidR="005C5AC7">
        <w:t>’Association ALC s’engage</w:t>
      </w:r>
      <w:r w:rsidR="00D82782">
        <w:t xml:space="preserve"> à</w:t>
      </w:r>
      <w:r w:rsidR="005C5AC7">
        <w:t> :</w:t>
      </w:r>
    </w:p>
    <w:p w14:paraId="78C9C645" w14:textId="77777777" w:rsidR="005C5AC7" w:rsidRDefault="005C5AC7" w:rsidP="005C5AC7"/>
    <w:p w14:paraId="07C35061" w14:textId="08AB22BC" w:rsidR="00D82782" w:rsidRDefault="005C5AC7" w:rsidP="00D82782">
      <w:pPr>
        <w:pStyle w:val="Paragraphedeliste"/>
        <w:numPr>
          <w:ilvl w:val="0"/>
          <w:numId w:val="11"/>
        </w:numPr>
      </w:pPr>
      <w:r>
        <w:t xml:space="preserve"> </w:t>
      </w:r>
      <w:r w:rsidR="00D82782">
        <w:t>Désigner au sein des pôles des référents spécifiquement chargés des questions relatives à l’évolution numérique des postes de travail,</w:t>
      </w:r>
    </w:p>
    <w:p w14:paraId="53FA991E" w14:textId="33836C18" w:rsidR="00D82782" w:rsidRDefault="00D82782" w:rsidP="00D82782">
      <w:pPr>
        <w:pStyle w:val="Paragraphedeliste"/>
        <w:numPr>
          <w:ilvl w:val="0"/>
          <w:numId w:val="11"/>
        </w:numPr>
      </w:pPr>
      <w:r>
        <w:t>Organiser des actions de formation à destination des responsables hiérarchiques, les référents informatiques et les membres du CHSCT en vue de les informer sur les risques, les enjeux et les bonnes pratiques liées à l’utilisation des outils numériques,</w:t>
      </w:r>
    </w:p>
    <w:p w14:paraId="5C2476C1" w14:textId="029AD0A7" w:rsidR="005C5AC7" w:rsidRDefault="00D82782" w:rsidP="00716CD3">
      <w:pPr>
        <w:pStyle w:val="Paragraphedeliste"/>
        <w:numPr>
          <w:ilvl w:val="0"/>
          <w:numId w:val="11"/>
        </w:numPr>
      </w:pPr>
      <w:r>
        <w:t>S</w:t>
      </w:r>
      <w:r w:rsidR="005C5AC7">
        <w:t>ensibiliser les salariés à l’utilisation raisonnée et équilibrée des outils numériques</w:t>
      </w:r>
      <w:r w:rsidR="00502F2C">
        <w:t>.</w:t>
      </w:r>
    </w:p>
    <w:p w14:paraId="2EB4753D" w14:textId="77777777" w:rsidR="005C5AC7" w:rsidRPr="001B1F60" w:rsidRDefault="005C5AC7">
      <w:pPr>
        <w:rPr>
          <w:b/>
        </w:rPr>
      </w:pPr>
    </w:p>
    <w:p w14:paraId="122D5222" w14:textId="7D6EE333" w:rsidR="00D82782" w:rsidRPr="00D82782" w:rsidRDefault="001B1F60" w:rsidP="00D82782">
      <w:pPr>
        <w:rPr>
          <w:b/>
          <w:u w:val="single"/>
        </w:rPr>
      </w:pPr>
      <w:r>
        <w:rPr>
          <w:b/>
          <w:u w:val="single"/>
        </w:rPr>
        <w:t xml:space="preserve">CHAPITRE 4 - </w:t>
      </w:r>
      <w:r w:rsidR="00D82782" w:rsidRPr="00D82782">
        <w:rPr>
          <w:b/>
          <w:u w:val="single"/>
        </w:rPr>
        <w:t xml:space="preserve">LUTTE CONTRE LA SURCHARGE INFORMATIONNELLE LIEE A L’UTILISATION DE LA MESSAGERIE ELECTRONIQUE PROFESSIONNELLE </w:t>
      </w:r>
    </w:p>
    <w:p w14:paraId="220F2493" w14:textId="77777777" w:rsidR="00D82782" w:rsidRDefault="00D82782" w:rsidP="00D82782"/>
    <w:p w14:paraId="6FB4911B" w14:textId="18247F27" w:rsidR="00D82782" w:rsidRDefault="00D82782" w:rsidP="00D82782">
      <w:r>
        <w:t xml:space="preserve">Afin d’éviter la surcharge informationnelle, il est recommandé à tous les salariés de : </w:t>
      </w:r>
    </w:p>
    <w:p w14:paraId="4B2EAD12" w14:textId="77777777" w:rsidR="00D82782" w:rsidRDefault="00D82782" w:rsidP="00D82782"/>
    <w:p w14:paraId="7D2F9FD5" w14:textId="0AB8B06B" w:rsidR="00D82782" w:rsidRDefault="00D82782" w:rsidP="00D82782">
      <w:pPr>
        <w:pStyle w:val="Paragraphedeliste"/>
        <w:numPr>
          <w:ilvl w:val="0"/>
          <w:numId w:val="15"/>
        </w:numPr>
      </w:pPr>
      <w:r>
        <w:t xml:space="preserve">S’interroger sur la pertinence de l’utilisation de la messagerie électronique professionnelle par rapport aux autres outils de communication disponibles, </w:t>
      </w:r>
    </w:p>
    <w:p w14:paraId="2713A54B" w14:textId="266624A1" w:rsidR="00D82782" w:rsidRDefault="00D82782" w:rsidP="00D82782">
      <w:pPr>
        <w:pStyle w:val="Paragraphedeliste"/>
        <w:numPr>
          <w:ilvl w:val="0"/>
          <w:numId w:val="15"/>
        </w:numPr>
      </w:pPr>
      <w:r>
        <w:t xml:space="preserve">Veiller à ce que l’usage de la messagerie ne puisse se substituer au dialogue et aux échanges physiques ou oraux qui contribuent au lien social dans les équipes et préviennent de l’isolement, sous réserve de l’obligation de traçabilité, </w:t>
      </w:r>
    </w:p>
    <w:p w14:paraId="37B8EBEA" w14:textId="65ABD42B" w:rsidR="00D82782" w:rsidRDefault="00D82782" w:rsidP="00D82782">
      <w:pPr>
        <w:pStyle w:val="Paragraphedeliste"/>
        <w:numPr>
          <w:ilvl w:val="0"/>
          <w:numId w:val="15"/>
        </w:numPr>
      </w:pPr>
      <w:r>
        <w:t>S’interroger sur la pertinence des destinataires du courriel (donner la bonne information, au bon interlocuteur, au bon moment),</w:t>
      </w:r>
    </w:p>
    <w:p w14:paraId="5226FE9C" w14:textId="1083CDD9" w:rsidR="00D82782" w:rsidRDefault="00D82782" w:rsidP="00D82782">
      <w:pPr>
        <w:pStyle w:val="Paragraphedeliste"/>
        <w:numPr>
          <w:ilvl w:val="0"/>
          <w:numId w:val="15"/>
        </w:numPr>
      </w:pPr>
      <w:r>
        <w:t xml:space="preserve">Utiliser avec modération les fonctions « CC » ou « Cci », </w:t>
      </w:r>
    </w:p>
    <w:p w14:paraId="3D02866E" w14:textId="63CC044D" w:rsidR="00D82782" w:rsidRDefault="00D82782" w:rsidP="00D82782">
      <w:pPr>
        <w:pStyle w:val="Paragraphedeliste"/>
        <w:numPr>
          <w:ilvl w:val="0"/>
          <w:numId w:val="15"/>
        </w:numPr>
      </w:pPr>
      <w:r>
        <w:t xml:space="preserve">S’interroger sur la pertinence des fichiers à joindre aux courriels, </w:t>
      </w:r>
    </w:p>
    <w:p w14:paraId="0E23D818" w14:textId="449D3FA1" w:rsidR="00D82782" w:rsidRDefault="00D82782" w:rsidP="00D82782">
      <w:pPr>
        <w:pStyle w:val="Paragraphedeliste"/>
        <w:numPr>
          <w:ilvl w:val="0"/>
          <w:numId w:val="15"/>
        </w:numPr>
      </w:pPr>
      <w:r>
        <w:t>Indiquer un objet précis permettant au destinataire d’identifier immédiatement le contenu du courriel</w:t>
      </w:r>
      <w:r w:rsidR="00502F2C">
        <w:t>,</w:t>
      </w:r>
    </w:p>
    <w:p w14:paraId="7179457B" w14:textId="6B49938C" w:rsidR="00D82782" w:rsidRDefault="00D82782" w:rsidP="00D82782">
      <w:pPr>
        <w:pStyle w:val="Paragraphedeliste"/>
        <w:numPr>
          <w:ilvl w:val="0"/>
          <w:numId w:val="15"/>
        </w:numPr>
      </w:pPr>
      <w:r>
        <w:t>M</w:t>
      </w:r>
      <w:r w:rsidR="007F0C58">
        <w:t xml:space="preserve">ettre </w:t>
      </w:r>
      <w:r>
        <w:t>en place de</w:t>
      </w:r>
      <w:r w:rsidR="007F0C58">
        <w:t>s</w:t>
      </w:r>
      <w:r>
        <w:t xml:space="preserve"> visioconférence</w:t>
      </w:r>
      <w:r w:rsidR="007F0C58">
        <w:t>s</w:t>
      </w:r>
      <w:r>
        <w:t xml:space="preserve"> pour les réunions</w:t>
      </w:r>
      <w:r w:rsidR="007F0C58">
        <w:t xml:space="preserve"> ou conversations</w:t>
      </w:r>
      <w:r>
        <w:t xml:space="preserve"> devant s’organiser avec différents interlocuteurs présents sur différents sites</w:t>
      </w:r>
      <w:r w:rsidR="007F0C58">
        <w:t xml:space="preserve"> à l’aide d’</w:t>
      </w:r>
      <w:r w:rsidR="00502F2C">
        <w:t>un outil numérique dédié</w:t>
      </w:r>
      <w:r w:rsidR="007F0C58">
        <w:t>.</w:t>
      </w:r>
      <w:r>
        <w:t xml:space="preserve">   </w:t>
      </w:r>
    </w:p>
    <w:p w14:paraId="6078E786" w14:textId="127E4BC4" w:rsidR="00806509" w:rsidRPr="001B1F60" w:rsidRDefault="00806509" w:rsidP="00D82782">
      <w:pPr>
        <w:rPr>
          <w:u w:val="single"/>
        </w:rPr>
      </w:pPr>
    </w:p>
    <w:p w14:paraId="4D427F26" w14:textId="2E2BED5D" w:rsidR="007F0C58" w:rsidRPr="007F0C58" w:rsidRDefault="001B1F60" w:rsidP="007F0C58">
      <w:pPr>
        <w:rPr>
          <w:b/>
          <w:u w:val="single"/>
        </w:rPr>
      </w:pPr>
      <w:r>
        <w:rPr>
          <w:b/>
          <w:u w:val="single"/>
        </w:rPr>
        <w:t xml:space="preserve">CHAPITRE 5 – </w:t>
      </w:r>
      <w:r w:rsidR="007F0C58" w:rsidRPr="007F0C58">
        <w:rPr>
          <w:b/>
          <w:u w:val="single"/>
        </w:rPr>
        <w:t>PREVENTION DES RPS LIE</w:t>
      </w:r>
      <w:r w:rsidR="007F0C58">
        <w:rPr>
          <w:b/>
          <w:u w:val="single"/>
        </w:rPr>
        <w:t>S</w:t>
      </w:r>
      <w:r w:rsidR="007F0C58" w:rsidRPr="007F0C58">
        <w:rPr>
          <w:b/>
          <w:u w:val="single"/>
        </w:rPr>
        <w:t xml:space="preserve"> A L’UTILISATION DES OUTILS NUMERIQUES PROFESSIONNELS </w:t>
      </w:r>
    </w:p>
    <w:p w14:paraId="34B28BAE" w14:textId="1E841C68" w:rsidR="00806509" w:rsidRPr="001B1F60" w:rsidRDefault="00806509" w:rsidP="00806509">
      <w:pPr>
        <w:jc w:val="both"/>
        <w:rPr>
          <w:b/>
          <w:u w:val="single"/>
        </w:rPr>
      </w:pPr>
    </w:p>
    <w:p w14:paraId="5C5D0DAF" w14:textId="63944303" w:rsidR="007F0C58" w:rsidRDefault="007F0C58" w:rsidP="007F0C58">
      <w:r>
        <w:t xml:space="preserve">Afin d’éviter le stress lié à l’utilisation des outils numériques professionnels, il est également recommandé à tous les salariés d’ALC : </w:t>
      </w:r>
    </w:p>
    <w:p w14:paraId="49DBB623" w14:textId="77777777" w:rsidR="007F0C58" w:rsidRDefault="007F0C58" w:rsidP="007F0C58"/>
    <w:p w14:paraId="78E2EAAE" w14:textId="557F14B9" w:rsidR="007F0C58" w:rsidRDefault="007F0C58" w:rsidP="007F0C58">
      <w:pPr>
        <w:pStyle w:val="Paragraphedeliste"/>
        <w:numPr>
          <w:ilvl w:val="0"/>
          <w:numId w:val="16"/>
        </w:numPr>
      </w:pPr>
      <w:r>
        <w:t xml:space="preserve">S’interroger sur le moment opportun pour envoyer un courriel/SMS ou appeler un collègue sur son téléphone professionnel (pendant les horaires de travail), </w:t>
      </w:r>
    </w:p>
    <w:p w14:paraId="34521BEF" w14:textId="65EB6639" w:rsidR="007F0C58" w:rsidRDefault="007F0C58" w:rsidP="007F0C58">
      <w:pPr>
        <w:pStyle w:val="Paragraphedeliste"/>
        <w:numPr>
          <w:ilvl w:val="0"/>
          <w:numId w:val="16"/>
        </w:numPr>
      </w:pPr>
      <w:r>
        <w:t xml:space="preserve">Ne pas solliciter de réponse immédiate si ce n’est pas nécessaire, </w:t>
      </w:r>
      <w:r w:rsidR="003F5839">
        <w:t>ou demander une échéance,</w:t>
      </w:r>
    </w:p>
    <w:p w14:paraId="4D066A14" w14:textId="33F724FE" w:rsidR="007F0C58" w:rsidRDefault="007F0C58" w:rsidP="007F0C58">
      <w:pPr>
        <w:pStyle w:val="Paragraphedeliste"/>
        <w:numPr>
          <w:ilvl w:val="0"/>
          <w:numId w:val="16"/>
        </w:numPr>
      </w:pPr>
      <w:r>
        <w:t xml:space="preserve">Définir le « gestionnaire d’absence au bureau » sur la messagerie électronique et indiquer les coordonnées d’une personne à joindre en cas d’urgence, </w:t>
      </w:r>
    </w:p>
    <w:p w14:paraId="2B52F2F3" w14:textId="2BC91E10" w:rsidR="003F5839" w:rsidRDefault="003F5839" w:rsidP="007F0C58">
      <w:pPr>
        <w:pStyle w:val="Paragraphedeliste"/>
        <w:numPr>
          <w:ilvl w:val="0"/>
          <w:numId w:val="16"/>
        </w:numPr>
      </w:pPr>
      <w:r>
        <w:t>Dans la mesure du possible,</w:t>
      </w:r>
      <w:r w:rsidRPr="003F5839">
        <w:t xml:space="preserve"> </w:t>
      </w:r>
      <w:r>
        <w:t xml:space="preserve">les salariés absents pour raison médicale sont priés de rédiger un message d’absence automatique, </w:t>
      </w:r>
    </w:p>
    <w:p w14:paraId="0A205B55" w14:textId="13F53403" w:rsidR="007F0C58" w:rsidRDefault="007F0C58" w:rsidP="007F0C58">
      <w:pPr>
        <w:pStyle w:val="Paragraphedeliste"/>
        <w:numPr>
          <w:ilvl w:val="0"/>
          <w:numId w:val="16"/>
        </w:numPr>
      </w:pPr>
      <w:r>
        <w:t xml:space="preserve">Privilégier les envois différés lors de la rédaction d’un courriel en dehors des horaires de travail. </w:t>
      </w:r>
    </w:p>
    <w:p w14:paraId="1A552201" w14:textId="77777777" w:rsidR="0063348E" w:rsidRPr="001B1F60" w:rsidRDefault="0063348E" w:rsidP="00F63660">
      <w:pPr>
        <w:jc w:val="both"/>
        <w:rPr>
          <w:b/>
          <w:i/>
          <w:u w:val="single"/>
        </w:rPr>
      </w:pPr>
    </w:p>
    <w:p w14:paraId="3ECE3072" w14:textId="270C3294" w:rsidR="0063348E" w:rsidRDefault="001B1F60" w:rsidP="00086777">
      <w:pPr>
        <w:jc w:val="both"/>
        <w:rPr>
          <w:b/>
          <w:u w:val="single"/>
        </w:rPr>
      </w:pPr>
      <w:r>
        <w:rPr>
          <w:b/>
          <w:u w:val="single"/>
        </w:rPr>
        <w:t xml:space="preserve">CHAPITRE </w:t>
      </w:r>
      <w:r w:rsidR="003F5839">
        <w:rPr>
          <w:b/>
          <w:u w:val="single"/>
        </w:rPr>
        <w:t>6</w:t>
      </w:r>
      <w:r>
        <w:rPr>
          <w:b/>
          <w:u w:val="single"/>
        </w:rPr>
        <w:t xml:space="preserve"> - </w:t>
      </w:r>
      <w:r w:rsidR="003F5839" w:rsidRPr="003F5839">
        <w:rPr>
          <w:b/>
          <w:u w:val="single"/>
        </w:rPr>
        <w:t>DROIT A LA DECONNEXION EN DEHORS DU TEMPS DE TRAVAIL EFFECTIF</w:t>
      </w:r>
    </w:p>
    <w:p w14:paraId="19FD1369" w14:textId="77777777" w:rsidR="003F5839" w:rsidRPr="001B1F60" w:rsidRDefault="003F5839" w:rsidP="00086777">
      <w:pPr>
        <w:jc w:val="both"/>
        <w:rPr>
          <w:b/>
          <w:u w:val="single"/>
        </w:rPr>
      </w:pPr>
    </w:p>
    <w:p w14:paraId="5B0DCD40" w14:textId="77777777" w:rsidR="003F5839" w:rsidRDefault="003F5839" w:rsidP="003F5839">
      <w:r>
        <w:t>Les périodes de repos, congé et suspension du contrat de travail doivent être respectées par l’ensemble des personnels, sauf astreinte.</w:t>
      </w:r>
    </w:p>
    <w:p w14:paraId="7CA07D1D" w14:textId="2EADC290" w:rsidR="003F5839" w:rsidRDefault="003F5839" w:rsidP="003F5839">
      <w:r>
        <w:t xml:space="preserve"> </w:t>
      </w:r>
    </w:p>
    <w:p w14:paraId="33ECB91F" w14:textId="6F8F65FC" w:rsidR="003F5839" w:rsidRDefault="003F5839" w:rsidP="003F5839">
      <w:r>
        <w:lastRenderedPageBreak/>
        <w:t xml:space="preserve">Sauf urgence avérée, les responsables hiérarchiques ne peuvent pas contacter leurs collaborateurs en dehors de leurs </w:t>
      </w:r>
      <w:r w:rsidR="00502F2C">
        <w:t>temps de</w:t>
      </w:r>
      <w:r>
        <w:t xml:space="preserve"> travail telles que définies au contrat de travail ou par l’horaire collectif applicable au sein du pôle. </w:t>
      </w:r>
    </w:p>
    <w:p w14:paraId="574046BF" w14:textId="0ED34F8A" w:rsidR="003F5839" w:rsidRDefault="003F5839" w:rsidP="003F5839"/>
    <w:p w14:paraId="40FEF591" w14:textId="77777777" w:rsidR="003F5839" w:rsidRDefault="003F5839" w:rsidP="003F5839">
      <w:r>
        <w:t>Concernant plus particulièrement l’usage de la messagerie électronique professionnelle, les salariés ne sont pas tenus de prendre connaissance des courriels qui leur sont adressés ou d’y répondre en dehors du temps de travail.</w:t>
      </w:r>
    </w:p>
    <w:p w14:paraId="54E05DAC" w14:textId="22974F01" w:rsidR="003F5839" w:rsidRDefault="003F5839" w:rsidP="003F5839">
      <w:r>
        <w:t xml:space="preserve"> </w:t>
      </w:r>
    </w:p>
    <w:p w14:paraId="3E7663A1" w14:textId="77777777" w:rsidR="003F5839" w:rsidRDefault="003F5839" w:rsidP="003F5839">
      <w:r>
        <w:t xml:space="preserve">Il en est de même des appels ou messages téléphoniques professionnels reçus pendant les temps de repos ou de congé. Et toute dérogation doit être justifiée par la gravité, l’urgence et/ou l’importance du sujet en cause. </w:t>
      </w:r>
    </w:p>
    <w:p w14:paraId="7356CC5E" w14:textId="77777777" w:rsidR="003F5839" w:rsidRDefault="003F5839" w:rsidP="003F5839"/>
    <w:p w14:paraId="1B86B035" w14:textId="74AEFE1A" w:rsidR="003F5839" w:rsidRDefault="003F5839" w:rsidP="003F5839">
      <w:r>
        <w:t xml:space="preserve">En tout état de cause, un salarié ne peut être sanctionné en cas de non réponse à un appel, courriel en dehors de ses heures de travail. </w:t>
      </w:r>
    </w:p>
    <w:p w14:paraId="78573203" w14:textId="5EF5B49E" w:rsidR="00BC07BE" w:rsidRDefault="00BC07BE" w:rsidP="003F5839"/>
    <w:p w14:paraId="1450C67E" w14:textId="07C2A753" w:rsidR="00BC07BE" w:rsidRDefault="00BC07BE" w:rsidP="00BC07BE">
      <w:pPr>
        <w:rPr>
          <w:b/>
          <w:u w:val="single"/>
        </w:rPr>
      </w:pPr>
      <w:r>
        <w:rPr>
          <w:b/>
          <w:u w:val="single"/>
        </w:rPr>
        <w:t>CHAPITR</w:t>
      </w:r>
      <w:r w:rsidRPr="00BC07BE">
        <w:rPr>
          <w:b/>
          <w:u w:val="single"/>
        </w:rPr>
        <w:t xml:space="preserve">E 6 : BILAN ANNUEL SUR L’USAGE DES OUTILS NUMERIQUES PROFESSIONNELS </w:t>
      </w:r>
    </w:p>
    <w:p w14:paraId="76C9CF9B" w14:textId="77777777" w:rsidR="00BC07BE" w:rsidRPr="00BC07BE" w:rsidRDefault="00BC07BE" w:rsidP="00BC07BE">
      <w:pPr>
        <w:rPr>
          <w:b/>
          <w:u w:val="single"/>
        </w:rPr>
      </w:pPr>
    </w:p>
    <w:p w14:paraId="79DB99F3" w14:textId="12D3E4B5" w:rsidR="00BC07BE" w:rsidRDefault="00BC07BE" w:rsidP="00BC07BE">
      <w:r>
        <w:t xml:space="preserve">L’Association ALC s’engage à effectuer un bilan annuel de l’usage des outils numériques professionnels dans l’entreprise. </w:t>
      </w:r>
    </w:p>
    <w:p w14:paraId="65F9BE88" w14:textId="77777777" w:rsidR="00BC07BE" w:rsidRDefault="00BC07BE" w:rsidP="00BC07BE"/>
    <w:p w14:paraId="49D45DF5" w14:textId="0C36710B" w:rsidR="00BC07BE" w:rsidRDefault="00BC07BE" w:rsidP="00BC07BE">
      <w:r>
        <w:t>Si nécessaire, ce bilan peut être élaboré à partir d’un questionnaire personnel et anonyme, ou d’un sondage numérique adressé à chaque salarié concerné en fin d’année.</w:t>
      </w:r>
    </w:p>
    <w:p w14:paraId="78ADF8BC" w14:textId="6AE7632B" w:rsidR="00BC07BE" w:rsidRDefault="00BC07BE" w:rsidP="00BC07BE">
      <w:r>
        <w:t xml:space="preserve"> </w:t>
      </w:r>
    </w:p>
    <w:p w14:paraId="30DE13D3" w14:textId="77777777" w:rsidR="00BC07BE" w:rsidRDefault="00BC07BE" w:rsidP="00BC07BE">
      <w:r>
        <w:t>Il est communiqué au CHSCT, au service de santé au travail ainsi qu’à l’ensemble des organisations institutions représentatives du personnel dans l’entreprise.</w:t>
      </w:r>
    </w:p>
    <w:p w14:paraId="452C2F12" w14:textId="783F5649" w:rsidR="00BC07BE" w:rsidRDefault="00BC07BE" w:rsidP="00BC07BE">
      <w:r>
        <w:t xml:space="preserve"> </w:t>
      </w:r>
    </w:p>
    <w:p w14:paraId="4B16993C" w14:textId="0DB077FD" w:rsidR="00BC07BE" w:rsidRDefault="00BC07BE" w:rsidP="00BC07BE">
      <w:r>
        <w:t>Dans le cas où ce bilan ferait apparaître des difficultés identifiées, l’entreprise s’engage à mettre en œuvre toutes les actions de préventions et toutes les mesures, pour mettre fin au risque.</w:t>
      </w:r>
    </w:p>
    <w:p w14:paraId="131EF761" w14:textId="77777777" w:rsidR="00BC07BE" w:rsidRDefault="00BC07BE" w:rsidP="003F5839"/>
    <w:p w14:paraId="0F6C8881" w14:textId="77777777" w:rsidR="001B1F60" w:rsidRPr="001B1F60" w:rsidRDefault="001B1F60" w:rsidP="00086777">
      <w:pPr>
        <w:jc w:val="both"/>
        <w:rPr>
          <w:b/>
          <w:u w:val="single"/>
        </w:rPr>
      </w:pPr>
    </w:p>
    <w:p w14:paraId="51BD7D27" w14:textId="77777777" w:rsidR="0003215A" w:rsidRPr="001B1F60" w:rsidRDefault="0003215A" w:rsidP="0003215A">
      <w:pPr>
        <w:ind w:left="720"/>
      </w:pPr>
    </w:p>
    <w:p w14:paraId="24B5C4B0" w14:textId="2F8B4EC0" w:rsidR="00BC07BE" w:rsidRDefault="00ED01B7" w:rsidP="001B1F60">
      <w:pPr>
        <w:pStyle w:val="Sansinterligne"/>
        <w:tabs>
          <w:tab w:val="left" w:pos="3969"/>
          <w:tab w:val="left" w:pos="7938"/>
        </w:tabs>
        <w:rPr>
          <w:rFonts w:ascii="Corbel" w:hAnsi="Corbel"/>
          <w:color w:val="auto"/>
        </w:rPr>
      </w:pPr>
      <w:r w:rsidRPr="001B1F60">
        <w:rPr>
          <w:rFonts w:ascii="Corbel" w:hAnsi="Corbel"/>
          <w:color w:val="auto"/>
        </w:rPr>
        <w:t xml:space="preserve">Nice, le </w:t>
      </w:r>
      <w:r w:rsidR="000566FA">
        <w:rPr>
          <w:rFonts w:ascii="Corbel" w:hAnsi="Corbel"/>
          <w:color w:val="auto"/>
        </w:rPr>
        <w:t>05/10/2017</w:t>
      </w:r>
    </w:p>
    <w:p w14:paraId="6D771529" w14:textId="3D41E9DE" w:rsidR="00ED01B7" w:rsidRPr="001B1F60" w:rsidRDefault="001B1F60" w:rsidP="001B1F60">
      <w:pPr>
        <w:pStyle w:val="Sansinterligne"/>
        <w:tabs>
          <w:tab w:val="left" w:pos="3969"/>
          <w:tab w:val="left" w:pos="7938"/>
        </w:tabs>
        <w:rPr>
          <w:rFonts w:ascii="Corbel" w:hAnsi="Corbel"/>
          <w:color w:val="auto"/>
        </w:rPr>
      </w:pPr>
      <w:r>
        <w:rPr>
          <w:rFonts w:ascii="Corbel" w:hAnsi="Corbel"/>
          <w:color w:val="auto"/>
        </w:rPr>
        <w:tab/>
      </w:r>
    </w:p>
    <w:p w14:paraId="0C73B77D" w14:textId="77777777" w:rsidR="0063348E" w:rsidRDefault="001B1F60" w:rsidP="001B1F60">
      <w:pPr>
        <w:pStyle w:val="Sansinterligne"/>
        <w:tabs>
          <w:tab w:val="left" w:pos="3969"/>
          <w:tab w:val="left" w:pos="7938"/>
        </w:tabs>
        <w:rPr>
          <w:rFonts w:ascii="Corbel" w:hAnsi="Corbel"/>
          <w:color w:val="auto"/>
        </w:rPr>
      </w:pPr>
      <w:r w:rsidRPr="001B1F60">
        <w:rPr>
          <w:rFonts w:ascii="Corbel" w:hAnsi="Corbel"/>
          <w:color w:val="auto"/>
        </w:rPr>
        <w:t xml:space="preserve">Pour l’Association ALC </w:t>
      </w:r>
      <w:r>
        <w:rPr>
          <w:rFonts w:ascii="Corbel" w:hAnsi="Corbel"/>
          <w:color w:val="auto"/>
        </w:rPr>
        <w:tab/>
        <w:t>Pour la CFDT</w:t>
      </w:r>
      <w:r>
        <w:rPr>
          <w:rFonts w:ascii="Corbel" w:hAnsi="Corbel"/>
          <w:color w:val="auto"/>
        </w:rPr>
        <w:tab/>
        <w:t>Pour la CGT</w:t>
      </w:r>
    </w:p>
    <w:p w14:paraId="4E52F7F9" w14:textId="3A0427FD" w:rsidR="001B1F60" w:rsidRPr="001B1F60" w:rsidRDefault="001B1F60" w:rsidP="001B1F60">
      <w:pPr>
        <w:pStyle w:val="Sansinterligne"/>
        <w:tabs>
          <w:tab w:val="left" w:pos="3969"/>
          <w:tab w:val="left" w:pos="7938"/>
        </w:tabs>
        <w:rPr>
          <w:rFonts w:ascii="Corbel" w:hAnsi="Corbel"/>
          <w:color w:val="auto"/>
        </w:rPr>
      </w:pPr>
      <w:bookmarkStart w:id="0" w:name="_GoBack"/>
      <w:bookmarkEnd w:id="0"/>
      <w:r>
        <w:rPr>
          <w:rFonts w:ascii="Corbel" w:hAnsi="Corbel"/>
          <w:color w:val="auto"/>
        </w:rPr>
        <w:tab/>
      </w:r>
    </w:p>
    <w:p w14:paraId="5FFFE2D2" w14:textId="77777777" w:rsidR="00ED01B7" w:rsidRPr="001B1F60" w:rsidRDefault="001B1F60" w:rsidP="001B1F60">
      <w:pPr>
        <w:pStyle w:val="Sansinterligne"/>
        <w:tabs>
          <w:tab w:val="left" w:pos="3969"/>
          <w:tab w:val="left" w:pos="7938"/>
        </w:tabs>
        <w:rPr>
          <w:rFonts w:ascii="Corbel" w:hAnsi="Corbel"/>
          <w:color w:val="auto"/>
        </w:rPr>
      </w:pPr>
      <w:r>
        <w:rPr>
          <w:rFonts w:ascii="Corbel" w:hAnsi="Corbel"/>
          <w:color w:val="auto"/>
        </w:rPr>
        <w:t>Présidente</w:t>
      </w:r>
      <w:r>
        <w:rPr>
          <w:rFonts w:ascii="Corbel" w:hAnsi="Corbel"/>
          <w:color w:val="auto"/>
        </w:rPr>
        <w:tab/>
        <w:t>D. Syndicale</w:t>
      </w:r>
      <w:r>
        <w:rPr>
          <w:rFonts w:ascii="Corbel" w:hAnsi="Corbel"/>
          <w:color w:val="auto"/>
        </w:rPr>
        <w:tab/>
        <w:t>D. Syndicale</w:t>
      </w:r>
    </w:p>
    <w:sectPr w:rsidR="00ED01B7" w:rsidRPr="001B1F60" w:rsidSect="006E569D">
      <w:footerReference w:type="defaul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3D176" w14:textId="77777777" w:rsidR="000D08D4" w:rsidRDefault="000D08D4" w:rsidP="00347B59">
      <w:r>
        <w:separator/>
      </w:r>
    </w:p>
  </w:endnote>
  <w:endnote w:type="continuationSeparator" w:id="0">
    <w:p w14:paraId="05883123" w14:textId="77777777" w:rsidR="000D08D4" w:rsidRDefault="000D08D4" w:rsidP="0034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2122B" w14:textId="7F22A2D7" w:rsidR="00B83F49" w:rsidRPr="00347B59" w:rsidRDefault="00B83F49">
    <w:pPr>
      <w:pStyle w:val="Pieddepage"/>
      <w:jc w:val="right"/>
    </w:pPr>
    <w:r w:rsidRPr="00347B59">
      <w:fldChar w:fldCharType="begin"/>
    </w:r>
    <w:r w:rsidRPr="00347B59">
      <w:instrText xml:space="preserve"> PAGE   \* MERGEFORMAT </w:instrText>
    </w:r>
    <w:r w:rsidRPr="00347B59">
      <w:fldChar w:fldCharType="separate"/>
    </w:r>
    <w:r w:rsidR="00060302">
      <w:rPr>
        <w:noProof/>
      </w:rPr>
      <w:t>5</w:t>
    </w:r>
    <w:r w:rsidRPr="00347B59">
      <w:fldChar w:fldCharType="end"/>
    </w:r>
  </w:p>
  <w:p w14:paraId="6F1FA428" w14:textId="77777777" w:rsidR="00B83F49" w:rsidRDefault="00B83F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90B27" w14:textId="77777777" w:rsidR="000D08D4" w:rsidRDefault="000D08D4" w:rsidP="00347B59">
      <w:r>
        <w:separator/>
      </w:r>
    </w:p>
  </w:footnote>
  <w:footnote w:type="continuationSeparator" w:id="0">
    <w:p w14:paraId="0A4452A5" w14:textId="77777777" w:rsidR="000D08D4" w:rsidRDefault="000D08D4" w:rsidP="00347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3341549"/>
    <w:multiLevelType w:val="hybridMultilevel"/>
    <w:tmpl w:val="AFF6FCB0"/>
    <w:lvl w:ilvl="0" w:tplc="040C000D">
      <w:start w:val="1"/>
      <w:numFmt w:val="bullet"/>
      <w:lvlText w:val=""/>
      <w:lvlJc w:val="left"/>
      <w:pPr>
        <w:ind w:left="720" w:hanging="360"/>
      </w:pPr>
      <w:rPr>
        <w:rFonts w:ascii="Wingdings" w:hAnsi="Wingdings" w:hint="default"/>
      </w:rPr>
    </w:lvl>
    <w:lvl w:ilvl="1" w:tplc="76E6BFD0">
      <w:numFmt w:val="bullet"/>
      <w:lvlText w:val=""/>
      <w:lvlJc w:val="left"/>
      <w:pPr>
        <w:ind w:left="1440" w:hanging="360"/>
      </w:pPr>
      <w:rPr>
        <w:rFonts w:ascii="Corbel" w:eastAsia="Times New Roman" w:hAnsi="Corbel"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974732"/>
    <w:multiLevelType w:val="hybridMultilevel"/>
    <w:tmpl w:val="21062ACA"/>
    <w:lvl w:ilvl="0" w:tplc="5AF629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FC29DA"/>
    <w:multiLevelType w:val="hybridMultilevel"/>
    <w:tmpl w:val="7A26A2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4B2AC3"/>
    <w:multiLevelType w:val="hybridMultilevel"/>
    <w:tmpl w:val="7BE0E4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FB0C41"/>
    <w:multiLevelType w:val="hybridMultilevel"/>
    <w:tmpl w:val="7C0E8AB6"/>
    <w:lvl w:ilvl="0" w:tplc="5AF6295E">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ECC4009"/>
    <w:multiLevelType w:val="hybridMultilevel"/>
    <w:tmpl w:val="98102E16"/>
    <w:lvl w:ilvl="0" w:tplc="5896C748">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BA6F26"/>
    <w:multiLevelType w:val="hybridMultilevel"/>
    <w:tmpl w:val="57E8DA2A"/>
    <w:lvl w:ilvl="0" w:tplc="040C000D">
      <w:start w:val="1"/>
      <w:numFmt w:val="bullet"/>
      <w:lvlText w:val=""/>
      <w:lvlJc w:val="left"/>
      <w:pPr>
        <w:ind w:left="720" w:hanging="360"/>
      </w:pPr>
      <w:rPr>
        <w:rFonts w:ascii="Wingdings" w:hAnsi="Wingdings" w:hint="default"/>
      </w:rPr>
    </w:lvl>
    <w:lvl w:ilvl="1" w:tplc="675CA896">
      <w:numFmt w:val="bullet"/>
      <w:lvlText w:val=""/>
      <w:lvlJc w:val="left"/>
      <w:pPr>
        <w:ind w:left="1440" w:hanging="360"/>
      </w:pPr>
      <w:rPr>
        <w:rFonts w:ascii="Corbel" w:eastAsia="Times New Roman" w:hAnsi="Corbel"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E462CC"/>
    <w:multiLevelType w:val="hybridMultilevel"/>
    <w:tmpl w:val="F15844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100B4E"/>
    <w:multiLevelType w:val="hybridMultilevel"/>
    <w:tmpl w:val="7850FDCE"/>
    <w:lvl w:ilvl="0" w:tplc="F14A4D9A">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DF3E7D"/>
    <w:multiLevelType w:val="hybridMultilevel"/>
    <w:tmpl w:val="C902E8F8"/>
    <w:lvl w:ilvl="0" w:tplc="E684066C">
      <w:numFmt w:val="bullet"/>
      <w:lvlText w:val=""/>
      <w:lvlJc w:val="left"/>
      <w:pPr>
        <w:ind w:left="720" w:hanging="360"/>
      </w:pPr>
      <w:rPr>
        <w:rFonts w:ascii="Corbel" w:eastAsia="Times New Roman" w:hAnsi="Corbe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ED1AA9"/>
    <w:multiLevelType w:val="hybridMultilevel"/>
    <w:tmpl w:val="C8366534"/>
    <w:lvl w:ilvl="0" w:tplc="353ED98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830D89"/>
    <w:multiLevelType w:val="hybridMultilevel"/>
    <w:tmpl w:val="FFF066D0"/>
    <w:lvl w:ilvl="0" w:tplc="5AF6295E">
      <w:start w:val="1"/>
      <w:numFmt w:val="bullet"/>
      <w:lvlText w:val=""/>
      <w:lvlJc w:val="left"/>
      <w:pPr>
        <w:ind w:left="1785" w:hanging="360"/>
      </w:pPr>
      <w:rPr>
        <w:rFonts w:ascii="Wingdings" w:hAnsi="Wingdings"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14" w15:restartNumberingAfterBreak="0">
    <w:nsid w:val="71D249A0"/>
    <w:multiLevelType w:val="hybridMultilevel"/>
    <w:tmpl w:val="E384DAA0"/>
    <w:lvl w:ilvl="0" w:tplc="5AF6295E">
      <w:start w:val="1"/>
      <w:numFmt w:val="bullet"/>
      <w:lvlText w:val=""/>
      <w:lvlJc w:val="left"/>
      <w:pPr>
        <w:ind w:left="106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6881628"/>
    <w:multiLevelType w:val="hybridMultilevel"/>
    <w:tmpl w:val="67B05A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6D7740E"/>
    <w:multiLevelType w:val="hybridMultilevel"/>
    <w:tmpl w:val="D8EC6A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3"/>
  </w:num>
  <w:num w:numId="5">
    <w:abstractNumId w:val="7"/>
  </w:num>
  <w:num w:numId="6">
    <w:abstractNumId w:val="0"/>
  </w:num>
  <w:num w:numId="7">
    <w:abstractNumId w:val="1"/>
  </w:num>
  <w:num w:numId="8">
    <w:abstractNumId w:val="16"/>
  </w:num>
  <w:num w:numId="9">
    <w:abstractNumId w:val="5"/>
  </w:num>
  <w:num w:numId="10">
    <w:abstractNumId w:val="4"/>
  </w:num>
  <w:num w:numId="11">
    <w:abstractNumId w:val="15"/>
  </w:num>
  <w:num w:numId="12">
    <w:abstractNumId w:val="14"/>
  </w:num>
  <w:num w:numId="13">
    <w:abstractNumId w:val="13"/>
  </w:num>
  <w:num w:numId="14">
    <w:abstractNumId w:val="9"/>
  </w:num>
  <w:num w:numId="15">
    <w:abstractNumId w:val="2"/>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1E"/>
    <w:rsid w:val="0003215A"/>
    <w:rsid w:val="00042A40"/>
    <w:rsid w:val="000566FA"/>
    <w:rsid w:val="00060302"/>
    <w:rsid w:val="000862FC"/>
    <w:rsid w:val="00086777"/>
    <w:rsid w:val="000D08D4"/>
    <w:rsid w:val="000D09B7"/>
    <w:rsid w:val="00101484"/>
    <w:rsid w:val="0010167D"/>
    <w:rsid w:val="0015416A"/>
    <w:rsid w:val="00172CEF"/>
    <w:rsid w:val="001A1341"/>
    <w:rsid w:val="001B1F60"/>
    <w:rsid w:val="001B3308"/>
    <w:rsid w:val="001D4E24"/>
    <w:rsid w:val="002D00F0"/>
    <w:rsid w:val="003436E8"/>
    <w:rsid w:val="00347B59"/>
    <w:rsid w:val="003D5A18"/>
    <w:rsid w:val="003F5839"/>
    <w:rsid w:val="00407940"/>
    <w:rsid w:val="0042608C"/>
    <w:rsid w:val="00427F5B"/>
    <w:rsid w:val="0045711D"/>
    <w:rsid w:val="004E5774"/>
    <w:rsid w:val="00502F2C"/>
    <w:rsid w:val="0054154A"/>
    <w:rsid w:val="005B31AE"/>
    <w:rsid w:val="005C5AC7"/>
    <w:rsid w:val="005E0FC9"/>
    <w:rsid w:val="00612461"/>
    <w:rsid w:val="0063348E"/>
    <w:rsid w:val="00637C4C"/>
    <w:rsid w:val="00665231"/>
    <w:rsid w:val="006C0D96"/>
    <w:rsid w:val="006D044A"/>
    <w:rsid w:val="006E569D"/>
    <w:rsid w:val="00714111"/>
    <w:rsid w:val="0072114B"/>
    <w:rsid w:val="00797EE3"/>
    <w:rsid w:val="007D1B79"/>
    <w:rsid w:val="007E24D9"/>
    <w:rsid w:val="007F0C58"/>
    <w:rsid w:val="00806509"/>
    <w:rsid w:val="00813EDA"/>
    <w:rsid w:val="008305B7"/>
    <w:rsid w:val="00830867"/>
    <w:rsid w:val="008423A1"/>
    <w:rsid w:val="0085369C"/>
    <w:rsid w:val="00853C8D"/>
    <w:rsid w:val="00864685"/>
    <w:rsid w:val="008A3BD5"/>
    <w:rsid w:val="008B45FC"/>
    <w:rsid w:val="008B5454"/>
    <w:rsid w:val="008D0499"/>
    <w:rsid w:val="008D6B15"/>
    <w:rsid w:val="008D6D99"/>
    <w:rsid w:val="008F6FF1"/>
    <w:rsid w:val="009142B8"/>
    <w:rsid w:val="00927684"/>
    <w:rsid w:val="00954AF3"/>
    <w:rsid w:val="00963B21"/>
    <w:rsid w:val="00976C9E"/>
    <w:rsid w:val="009D50A9"/>
    <w:rsid w:val="00A00AA7"/>
    <w:rsid w:val="00A16FA2"/>
    <w:rsid w:val="00A20B80"/>
    <w:rsid w:val="00AA66C3"/>
    <w:rsid w:val="00AF7DC8"/>
    <w:rsid w:val="00B016E5"/>
    <w:rsid w:val="00B17D3D"/>
    <w:rsid w:val="00B83F49"/>
    <w:rsid w:val="00B96E28"/>
    <w:rsid w:val="00BC07BE"/>
    <w:rsid w:val="00BD4993"/>
    <w:rsid w:val="00C84AA3"/>
    <w:rsid w:val="00C84B4F"/>
    <w:rsid w:val="00CC62EF"/>
    <w:rsid w:val="00CE481E"/>
    <w:rsid w:val="00CF3A5F"/>
    <w:rsid w:val="00D174FA"/>
    <w:rsid w:val="00D50722"/>
    <w:rsid w:val="00D82782"/>
    <w:rsid w:val="00DA61DE"/>
    <w:rsid w:val="00E46B64"/>
    <w:rsid w:val="00ED01B7"/>
    <w:rsid w:val="00EE6B43"/>
    <w:rsid w:val="00F140C6"/>
    <w:rsid w:val="00F3128D"/>
    <w:rsid w:val="00F350D8"/>
    <w:rsid w:val="00F63660"/>
    <w:rsid w:val="00F73619"/>
    <w:rsid w:val="00F8160F"/>
    <w:rsid w:val="00FC4DD0"/>
    <w:rsid w:val="00FC5990"/>
    <w:rsid w:val="00FE68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A7D3D"/>
  <w15:chartTrackingRefBased/>
  <w15:docId w15:val="{EBC1507A-4527-4BFF-8070-DA4B79CE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E28"/>
    <w:rPr>
      <w:rFonts w:ascii="Corbel" w:eastAsia="Times New Roman" w:hAnsi="Corbe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CE481E"/>
    <w:pPr>
      <w:jc w:val="both"/>
    </w:pPr>
    <w:rPr>
      <w:rFonts w:ascii="Arial" w:hAnsi="Arial" w:cs="Arial"/>
    </w:rPr>
  </w:style>
  <w:style w:type="character" w:customStyle="1" w:styleId="CorpsdetexteCar">
    <w:name w:val="Corps de texte Car"/>
    <w:link w:val="Corpsdetexte"/>
    <w:semiHidden/>
    <w:rsid w:val="00CE481E"/>
    <w:rPr>
      <w:rFonts w:ascii="Arial" w:eastAsia="Times New Roman" w:hAnsi="Arial" w:cs="Arial"/>
      <w:sz w:val="24"/>
      <w:szCs w:val="24"/>
      <w:lang w:eastAsia="fr-FR"/>
    </w:rPr>
  </w:style>
  <w:style w:type="paragraph" w:styleId="Textedebulles">
    <w:name w:val="Balloon Text"/>
    <w:basedOn w:val="Normal"/>
    <w:link w:val="TextedebullesCar"/>
    <w:uiPriority w:val="99"/>
    <w:semiHidden/>
    <w:unhideWhenUsed/>
    <w:rsid w:val="00665231"/>
    <w:rPr>
      <w:rFonts w:ascii="Tahoma" w:hAnsi="Tahoma" w:cs="Tahoma"/>
      <w:sz w:val="16"/>
      <w:szCs w:val="16"/>
    </w:rPr>
  </w:style>
  <w:style w:type="character" w:customStyle="1" w:styleId="TextedebullesCar">
    <w:name w:val="Texte de bulles Car"/>
    <w:link w:val="Textedebulles"/>
    <w:uiPriority w:val="99"/>
    <w:semiHidden/>
    <w:rsid w:val="00665231"/>
    <w:rPr>
      <w:rFonts w:ascii="Tahoma" w:eastAsia="Times New Roman" w:hAnsi="Tahoma" w:cs="Tahoma"/>
      <w:color w:val="FF0000"/>
      <w:sz w:val="16"/>
      <w:szCs w:val="16"/>
    </w:rPr>
  </w:style>
  <w:style w:type="paragraph" w:styleId="En-tte">
    <w:name w:val="header"/>
    <w:basedOn w:val="Normal"/>
    <w:link w:val="En-tteCar"/>
    <w:uiPriority w:val="99"/>
    <w:semiHidden/>
    <w:unhideWhenUsed/>
    <w:rsid w:val="00347B59"/>
    <w:pPr>
      <w:tabs>
        <w:tab w:val="center" w:pos="4536"/>
        <w:tab w:val="right" w:pos="9072"/>
      </w:tabs>
    </w:pPr>
  </w:style>
  <w:style w:type="character" w:customStyle="1" w:styleId="En-tteCar">
    <w:name w:val="En-tête Car"/>
    <w:link w:val="En-tte"/>
    <w:uiPriority w:val="99"/>
    <w:semiHidden/>
    <w:rsid w:val="00347B59"/>
    <w:rPr>
      <w:rFonts w:ascii="Comic Sans MS" w:eastAsia="Times New Roman" w:hAnsi="Comic Sans MS"/>
      <w:color w:val="FF0000"/>
      <w:sz w:val="24"/>
      <w:szCs w:val="24"/>
    </w:rPr>
  </w:style>
  <w:style w:type="paragraph" w:styleId="Pieddepage">
    <w:name w:val="footer"/>
    <w:basedOn w:val="Normal"/>
    <w:link w:val="PieddepageCar"/>
    <w:uiPriority w:val="99"/>
    <w:unhideWhenUsed/>
    <w:rsid w:val="00347B59"/>
    <w:pPr>
      <w:tabs>
        <w:tab w:val="center" w:pos="4536"/>
        <w:tab w:val="right" w:pos="9072"/>
      </w:tabs>
    </w:pPr>
  </w:style>
  <w:style w:type="character" w:customStyle="1" w:styleId="PieddepageCar">
    <w:name w:val="Pied de page Car"/>
    <w:link w:val="Pieddepage"/>
    <w:uiPriority w:val="99"/>
    <w:rsid w:val="00347B59"/>
    <w:rPr>
      <w:rFonts w:ascii="Comic Sans MS" w:eastAsia="Times New Roman" w:hAnsi="Comic Sans MS"/>
      <w:color w:val="FF0000"/>
      <w:sz w:val="24"/>
      <w:szCs w:val="24"/>
    </w:rPr>
  </w:style>
  <w:style w:type="paragraph" w:styleId="NormalWeb">
    <w:name w:val="Normal (Web)"/>
    <w:basedOn w:val="Normal"/>
    <w:uiPriority w:val="99"/>
    <w:semiHidden/>
    <w:unhideWhenUsed/>
    <w:rsid w:val="0063348E"/>
    <w:pPr>
      <w:spacing w:before="100" w:beforeAutospacing="1" w:after="100" w:afterAutospacing="1"/>
    </w:pPr>
    <w:rPr>
      <w:rFonts w:ascii="Times New Roman" w:hAnsi="Times New Roman"/>
    </w:rPr>
  </w:style>
  <w:style w:type="paragraph" w:styleId="Sansinterligne">
    <w:name w:val="No Spacing"/>
    <w:uiPriority w:val="1"/>
    <w:qFormat/>
    <w:rsid w:val="001B1F60"/>
    <w:rPr>
      <w:rFonts w:ascii="Comic Sans MS" w:eastAsia="Times New Roman" w:hAnsi="Comic Sans MS"/>
      <w:color w:val="FF0000"/>
      <w:sz w:val="24"/>
      <w:szCs w:val="24"/>
    </w:rPr>
  </w:style>
  <w:style w:type="paragraph" w:styleId="Paragraphedeliste">
    <w:name w:val="List Paragraph"/>
    <w:basedOn w:val="Normal"/>
    <w:uiPriority w:val="34"/>
    <w:qFormat/>
    <w:rsid w:val="00FC5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0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2DD6EF582EBA4981CD318D0577D92D" ma:contentTypeVersion="7" ma:contentTypeDescription="Crée un document." ma:contentTypeScope="" ma:versionID="51e2ad14903407191c34fd917c474d88">
  <xsd:schema xmlns:xsd="http://www.w3.org/2001/XMLSchema" xmlns:xs="http://www.w3.org/2001/XMLSchema" xmlns:p="http://schemas.microsoft.com/office/2006/metadata/properties" xmlns:ns2="823fdeb6-279d-4a79-b894-64dc68ceb89b" xmlns:ns3="61d8265a-394b-48c0-857f-d0944443559a" targetNamespace="http://schemas.microsoft.com/office/2006/metadata/properties" ma:root="true" ma:fieldsID="02bf662d9e1a505b65df39c2792b608e" ns2:_="" ns3:_="">
    <xsd:import namespace="823fdeb6-279d-4a79-b894-64dc68ceb89b"/>
    <xsd:import namespace="61d8265a-394b-48c0-857f-d094444355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fdeb6-279d-4a79-b894-64dc68ceb89b"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d8265a-394b-48c0-857f-d0944443559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73A49-F997-4A2B-9621-036262BB7423}">
  <ds:schemaRefs>
    <ds:schemaRef ds:uri="61d8265a-394b-48c0-857f-d0944443559a"/>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823fdeb6-279d-4a79-b894-64dc68ceb89b"/>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2E629FF-6FAE-401A-AB9F-CDBA47BC4E4B}">
  <ds:schemaRefs>
    <ds:schemaRef ds:uri="http://schemas.microsoft.com/sharepoint/v3/contenttype/forms"/>
  </ds:schemaRefs>
</ds:datastoreItem>
</file>

<file path=customXml/itemProps3.xml><?xml version="1.0" encoding="utf-8"?>
<ds:datastoreItem xmlns:ds="http://schemas.openxmlformats.org/officeDocument/2006/customXml" ds:itemID="{FFE23EF8-A956-44D4-ADED-7BEB96D0F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fdeb6-279d-4a79-b894-64dc68ceb89b"/>
    <ds:schemaRef ds:uri="61d8265a-394b-48c0-857f-d09444435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F54AB1-E60E-4746-A4DC-F620497F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1759</Words>
  <Characters>9679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2017-05-29T10:14:00Z</cp:lastPrinted>
  <dcterms:created xsi:type="dcterms:W3CDTF">2017-11-21T08:46:00Z</dcterms:created>
  <dcterms:modified xsi:type="dcterms:W3CDTF">2017-11-21T08:46:00Z</dcterms:modified>
</cp:coreProperties>
</file>