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5.png" ContentType="image/png"/>
  <Override PartName="/word/media/image4.png" ContentType="image/png"/>
  <Override PartName="/word/media/image3.png" ContentType="image/png"/>
  <Override PartName="/word/media/image2.png" ContentType="image/png"/>
  <Override PartName="/word/media/image1.jpeg" ContentType="image/jpeg"/>
  <Override PartName="/word/styles.xml" ContentType="application/vnd.openxmlformats-officedocument.wordprocessingml.styles+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numPr>
          <w:ilvl w:val="0"/>
          <w:numId w:val="1"/>
        </w:numPr>
        <w:rPr/>
      </w:pPr>
      <w:r>
        <w:rPr/>
        <w:drawing>
          <wp:inline distT="0" distB="0" distL="0" distR="0">
            <wp:extent cx="2363470" cy="1187450"/>
            <wp:effectExtent l="0" t="0" r="0" b="0"/>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tretch>
                      <a:fillRect/>
                    </a:stretch>
                  </pic:blipFill>
                  <pic:spPr bwMode="auto">
                    <a:xfrm>
                      <a:off x="0" y="0"/>
                      <a:ext cx="2363470" cy="1187450"/>
                    </a:xfrm>
                    <a:prstGeom prst="rect">
                      <a:avLst/>
                    </a:prstGeom>
                  </pic:spPr>
                </pic:pic>
              </a:graphicData>
            </a:graphic>
          </wp:inline>
        </w:drawing>
      </w:r>
      <w:r>
        <mc:AlternateContent>
          <mc:Choice Requires="wps">
            <w:drawing>
              <wp:anchor behindDoc="0" distT="0" distB="0" distL="114935" distR="114935" simplePos="0" locked="0" layoutInCell="1" allowOverlap="1" relativeHeight="16">
                <wp:simplePos x="0" y="0"/>
                <wp:positionH relativeFrom="column">
                  <wp:posOffset>2390775</wp:posOffset>
                </wp:positionH>
                <wp:positionV relativeFrom="paragraph">
                  <wp:posOffset>208915</wp:posOffset>
                </wp:positionV>
                <wp:extent cx="3332480" cy="892175"/>
                <wp:effectExtent l="0" t="0" r="0" b="0"/>
                <wp:wrapNone/>
                <wp:docPr id="2" name="Frame1"/>
                <a:graphic xmlns:a="http://schemas.openxmlformats.org/drawingml/2006/main">
                  <a:graphicData uri="http://schemas.microsoft.com/office/word/2010/wordprocessingShape">
                    <wps:wsp>
                      <wps:cNvSpPr txBox="1"/>
                      <wps:spPr>
                        <a:xfrm>
                          <a:off x="0" y="0"/>
                          <a:ext cx="3332480" cy="892175"/>
                        </a:xfrm>
                        <a:prstGeom prst="rect"/>
                        <a:solidFill>
                          <a:srgbClr val="FFFFFF"/>
                        </a:solidFill>
                      </wps:spPr>
                      <wps:txbx>
                        <w:txbxContent>
                          <w:p>
                            <w:pPr>
                              <w:pStyle w:val="Heading"/>
                              <w:pBdr/>
                              <w:ind w:left="-900" w:right="0" w:hanging="0"/>
                              <w:rPr>
                                <w:rFonts w:ascii="Calibri" w:hAnsi="Calibri" w:cs="Calibri"/>
                                <w:sz w:val="24"/>
                              </w:rPr>
                            </w:pPr>
                            <w:r>
                              <w:rPr>
                                <w:rFonts w:cs="Calibri" w:ascii="Calibri" w:hAnsi="Calibri"/>
                                <w:sz w:val="24"/>
                              </w:rPr>
                              <w:t>Protocole d’Accord signé dans le cadre de la</w:t>
                            </w:r>
                          </w:p>
                          <w:p>
                            <w:pPr>
                              <w:pStyle w:val="Normal"/>
                              <w:ind w:left="180" w:right="58" w:hanging="0"/>
                              <w:jc w:val="center"/>
                              <w:rPr>
                                <w:rFonts w:ascii="Calibri" w:hAnsi="Calibri" w:cs="Calibri"/>
                                <w:b/>
                                <w:b/>
                                <w:bCs/>
                                <w:shadow/>
                              </w:rPr>
                            </w:pPr>
                            <w:r>
                              <w:rPr>
                                <w:rFonts w:cs="Calibri" w:ascii="Calibri" w:hAnsi="Calibri"/>
                                <w:b/>
                                <w:bCs/>
                                <w:shadow/>
                              </w:rPr>
                              <w:t xml:space="preserve">Négociation Annuelle Obligatoire </w:t>
                            </w:r>
                          </w:p>
                          <w:p>
                            <w:pPr>
                              <w:pStyle w:val="Normal"/>
                              <w:ind w:left="180" w:right="58" w:hanging="0"/>
                              <w:jc w:val="center"/>
                              <w:rPr>
                                <w:rFonts w:ascii="Calibri" w:hAnsi="Calibri" w:cs="Calibri"/>
                                <w:b/>
                                <w:b/>
                                <w:bCs/>
                                <w:shadow/>
                              </w:rPr>
                            </w:pPr>
                            <w:r>
                              <w:rPr>
                                <w:rFonts w:cs="Calibri" w:ascii="Calibri" w:hAnsi="Calibri"/>
                                <w:b/>
                                <w:bCs/>
                                <w:shadow/>
                              </w:rPr>
                              <w:t>sur les salaires</w:t>
                            </w:r>
                          </w:p>
                          <w:p>
                            <w:pPr>
                              <w:pStyle w:val="Normal"/>
                              <w:ind w:left="180" w:right="58" w:hanging="0"/>
                              <w:jc w:val="center"/>
                              <w:rPr/>
                            </w:pPr>
                            <w:r>
                              <w:rPr>
                                <w:rFonts w:cs="Calibri" w:ascii="Calibri" w:hAnsi="Calibri"/>
                                <w:b/>
                                <w:bCs/>
                                <w:shadow/>
                              </w:rPr>
                              <w:t>et le temps de travail  2018</w:t>
                            </w:r>
                          </w:p>
                        </w:txbxContent>
                      </wps:txbx>
                      <wps:bodyPr anchor="t" lIns="92075" tIns="46355" rIns="92075" bIns="46355">
                        <a:noAutofit/>
                      </wps:bodyPr>
                    </wps:wsp>
                  </a:graphicData>
                </a:graphic>
              </wp:anchor>
            </w:drawing>
          </mc:Choice>
          <mc:Fallback>
            <w:pict>
              <v:rect fillcolor="#FFFFFF" style="position:absolute;rotation:0;width:262.4pt;height:70.25pt;mso-wrap-distance-left:9.05pt;mso-wrap-distance-right:9.05pt;margin-top:16.45pt;mso-position-vertical-relative:text;margin-left:188.25pt;mso-position-horizontal-relative:text">
                <v:textbox inset="0.100694444444444in,0.0506944444444444in,0.100694444444444in,0.0506944444444444in">
                  <w:txbxContent>
                    <w:p>
                      <w:pPr>
                        <w:pStyle w:val="Heading"/>
                        <w:pBdr/>
                        <w:ind w:left="-900" w:right="0" w:hanging="0"/>
                        <w:rPr>
                          <w:rFonts w:ascii="Calibri" w:hAnsi="Calibri" w:cs="Calibri"/>
                          <w:sz w:val="24"/>
                        </w:rPr>
                      </w:pPr>
                      <w:r>
                        <w:rPr>
                          <w:rFonts w:cs="Calibri" w:ascii="Calibri" w:hAnsi="Calibri"/>
                          <w:sz w:val="24"/>
                        </w:rPr>
                        <w:t>Protocole d’Accord signé dans le cadre de la</w:t>
                      </w:r>
                    </w:p>
                    <w:p>
                      <w:pPr>
                        <w:pStyle w:val="Normal"/>
                        <w:ind w:left="180" w:right="58" w:hanging="0"/>
                        <w:jc w:val="center"/>
                        <w:rPr>
                          <w:rFonts w:ascii="Calibri" w:hAnsi="Calibri" w:cs="Calibri"/>
                          <w:b/>
                          <w:b/>
                          <w:bCs/>
                          <w:shadow/>
                        </w:rPr>
                      </w:pPr>
                      <w:r>
                        <w:rPr>
                          <w:rFonts w:cs="Calibri" w:ascii="Calibri" w:hAnsi="Calibri"/>
                          <w:b/>
                          <w:bCs/>
                          <w:shadow/>
                        </w:rPr>
                        <w:t xml:space="preserve">Négociation Annuelle Obligatoire </w:t>
                      </w:r>
                    </w:p>
                    <w:p>
                      <w:pPr>
                        <w:pStyle w:val="Normal"/>
                        <w:ind w:left="180" w:right="58" w:hanging="0"/>
                        <w:jc w:val="center"/>
                        <w:rPr>
                          <w:rFonts w:ascii="Calibri" w:hAnsi="Calibri" w:cs="Calibri"/>
                          <w:b/>
                          <w:b/>
                          <w:bCs/>
                          <w:shadow/>
                        </w:rPr>
                      </w:pPr>
                      <w:r>
                        <w:rPr>
                          <w:rFonts w:cs="Calibri" w:ascii="Calibri" w:hAnsi="Calibri"/>
                          <w:b/>
                          <w:bCs/>
                          <w:shadow/>
                        </w:rPr>
                        <w:t>sur les salaires</w:t>
                      </w:r>
                    </w:p>
                    <w:p>
                      <w:pPr>
                        <w:pStyle w:val="Normal"/>
                        <w:ind w:left="180" w:right="58" w:hanging="0"/>
                        <w:jc w:val="center"/>
                        <w:rPr/>
                      </w:pPr>
                      <w:r>
                        <w:rPr>
                          <w:rFonts w:cs="Calibri" w:ascii="Calibri" w:hAnsi="Calibri"/>
                          <w:b/>
                          <w:bCs/>
                          <w:shadow/>
                        </w:rPr>
                        <w:t>et le temps de travail  2018</w:t>
                      </w:r>
                    </w:p>
                  </w:txbxContent>
                </v:textbox>
              </v:rect>
            </w:pict>
          </mc:Fallback>
        </mc:AlternateContent>
      </w:r>
    </w:p>
    <w:p>
      <w:pPr>
        <w:pStyle w:val="Normal"/>
        <w:rPr>
          <w:rFonts w:ascii="Calibri" w:hAnsi="Calibri" w:cs="Calibri"/>
          <w:sz w:val="22"/>
          <w:szCs w:val="22"/>
        </w:rPr>
      </w:pPr>
      <w:r>
        <w:rPr>
          <w:rFonts w:cs="Calibri" w:ascii="Calibri" w:hAnsi="Calibri"/>
          <w:sz w:val="22"/>
          <w:szCs w:val="22"/>
        </w:rPr>
      </w:r>
    </w:p>
    <w:p>
      <w:pPr>
        <w:pStyle w:val="Normal"/>
        <w:jc w:val="both"/>
        <w:rPr>
          <w:rFonts w:ascii="Calibri" w:hAnsi="Calibri" w:cs="Calibri"/>
          <w:sz w:val="22"/>
          <w:szCs w:val="22"/>
        </w:rPr>
      </w:pPr>
      <w:r>
        <w:rPr>
          <w:rFonts w:cs="Calibri" w:ascii="Calibri" w:hAnsi="Calibri"/>
          <w:sz w:val="22"/>
          <w:szCs w:val="22"/>
        </w:rPr>
        <w:t>entre l’</w:t>
      </w:r>
      <w:r>
        <w:rPr>
          <w:rFonts w:cs="Calibri" w:ascii="Calibri" w:hAnsi="Calibri"/>
          <w:b/>
          <w:bCs/>
          <w:sz w:val="22"/>
          <w:szCs w:val="22"/>
        </w:rPr>
        <w:t>Association ADALEA</w:t>
      </w:r>
      <w:r>
        <w:rPr>
          <w:rFonts w:cs="Calibri" w:ascii="Calibri" w:hAnsi="Calibri"/>
          <w:sz w:val="22"/>
          <w:szCs w:val="22"/>
        </w:rPr>
        <w:t xml:space="preserve"> – 50 rue de la Corderie – 22000 SAINT-BRIEUC, représentée par</w:t>
      </w:r>
      <w:r>
        <w:rPr>
          <w:rFonts w:cs="Calibri" w:ascii="Calibri" w:hAnsi="Calibri"/>
          <w:b/>
          <w:sz w:val="22"/>
          <w:szCs w:val="22"/>
        </w:rPr>
        <w:tab/>
        <w:tab/>
        <w:tab/>
      </w:r>
      <w:r>
        <w:rPr>
          <w:rFonts w:cs="Calibri" w:ascii="Calibri" w:hAnsi="Calibri"/>
          <w:sz w:val="22"/>
          <w:szCs w:val="22"/>
        </w:rPr>
        <w:t>, Président</w:t>
      </w:r>
    </w:p>
    <w:p>
      <w:pPr>
        <w:pStyle w:val="Normal"/>
        <w:jc w:val="both"/>
        <w:rPr>
          <w:rFonts w:ascii="Calibri" w:hAnsi="Calibri" w:cs="Calibri"/>
          <w:sz w:val="22"/>
          <w:szCs w:val="22"/>
        </w:rPr>
      </w:pPr>
      <w:r>
        <w:rPr>
          <w:rFonts w:cs="Calibri" w:ascii="Calibri" w:hAnsi="Calibri"/>
          <w:sz w:val="22"/>
          <w:szCs w:val="22"/>
        </w:rPr>
      </w:r>
    </w:p>
    <w:p>
      <w:pPr>
        <w:pStyle w:val="Normal"/>
        <w:jc w:val="both"/>
        <w:rPr>
          <w:rFonts w:ascii="Calibri" w:hAnsi="Calibri" w:cs="Calibri"/>
          <w:b/>
          <w:b/>
          <w:bCs/>
          <w:sz w:val="22"/>
          <w:szCs w:val="22"/>
        </w:rPr>
      </w:pPr>
      <w:r>
        <w:rPr>
          <w:rFonts w:cs="Calibri" w:ascii="Calibri" w:hAnsi="Calibri"/>
          <w:sz w:val="22"/>
          <w:szCs w:val="22"/>
        </w:rPr>
        <w:t xml:space="preserve">le Syndicat </w:t>
      </w:r>
      <w:r>
        <w:rPr>
          <w:rFonts w:cs="Calibri" w:ascii="Calibri" w:hAnsi="Calibri"/>
          <w:b/>
          <w:bCs/>
          <w:sz w:val="22"/>
          <w:szCs w:val="22"/>
        </w:rPr>
        <w:t>C.F.D.T.</w:t>
      </w:r>
      <w:r>
        <w:rPr>
          <w:rFonts w:cs="Calibri" w:ascii="Calibri" w:hAnsi="Calibri"/>
          <w:sz w:val="22"/>
          <w:szCs w:val="22"/>
        </w:rPr>
        <w:t xml:space="preserve">, représenté par son Délégué, </w:t>
      </w:r>
      <w:r>
        <w:rPr>
          <w:rFonts w:cs="Calibri" w:ascii="Calibri" w:hAnsi="Calibri"/>
          <w:b/>
          <w:bCs/>
          <w:sz w:val="22"/>
          <w:szCs w:val="22"/>
        </w:rPr>
        <w:tab/>
        <w:tab/>
      </w:r>
    </w:p>
    <w:p>
      <w:pPr>
        <w:pStyle w:val="Normal"/>
        <w:jc w:val="both"/>
        <w:rPr>
          <w:rFonts w:ascii="Calibri" w:hAnsi="Calibri" w:cs="Calibri"/>
          <w:b/>
          <w:b/>
          <w:bCs/>
          <w:sz w:val="22"/>
          <w:szCs w:val="22"/>
        </w:rPr>
      </w:pPr>
      <w:r>
        <w:rPr>
          <w:rFonts w:cs="Calibri" w:ascii="Calibri" w:hAnsi="Calibri"/>
          <w:b/>
          <w:bCs/>
          <w:sz w:val="22"/>
          <w:szCs w:val="22"/>
        </w:rPr>
      </w:r>
    </w:p>
    <w:p>
      <w:pPr>
        <w:pStyle w:val="Normal"/>
        <w:jc w:val="both"/>
        <w:rPr>
          <w:rFonts w:ascii="Calibri" w:hAnsi="Calibri" w:cs="Calibri"/>
          <w:b/>
          <w:b/>
          <w:sz w:val="22"/>
          <w:szCs w:val="22"/>
        </w:rPr>
      </w:pPr>
      <w:r>
        <w:rPr>
          <w:rFonts w:cs="Calibri" w:ascii="Calibri" w:hAnsi="Calibri"/>
          <w:sz w:val="22"/>
          <w:szCs w:val="22"/>
        </w:rPr>
        <w:t xml:space="preserve">le Syndicat </w:t>
      </w:r>
      <w:r>
        <w:rPr>
          <w:rFonts w:cs="Calibri" w:ascii="Calibri" w:hAnsi="Calibri"/>
          <w:b/>
          <w:bCs/>
          <w:sz w:val="22"/>
          <w:szCs w:val="22"/>
        </w:rPr>
        <w:t>CGT F.O.</w:t>
      </w:r>
      <w:r>
        <w:rPr>
          <w:rFonts w:cs="Calibri" w:ascii="Calibri" w:hAnsi="Calibri"/>
          <w:sz w:val="22"/>
          <w:szCs w:val="22"/>
        </w:rPr>
        <w:t xml:space="preserve">, représenté par sa Déléguée, </w:t>
      </w:r>
      <w:r>
        <w:rPr>
          <w:rFonts w:cs="Calibri" w:ascii="Calibri" w:hAnsi="Calibri"/>
          <w:b/>
          <w:sz w:val="22"/>
          <w:szCs w:val="22"/>
        </w:rPr>
        <w:tab/>
        <w:tab/>
      </w:r>
    </w:p>
    <w:p>
      <w:pPr>
        <w:pStyle w:val="Normal"/>
        <w:jc w:val="both"/>
        <w:rPr>
          <w:rFonts w:ascii="Calibri" w:hAnsi="Calibri" w:cs="Calibri"/>
          <w:b/>
          <w:b/>
          <w:sz w:val="22"/>
          <w:szCs w:val="22"/>
        </w:rPr>
      </w:pPr>
      <w:r>
        <w:rPr>
          <w:rFonts w:cs="Calibri" w:ascii="Calibri" w:hAnsi="Calibri"/>
          <w:b/>
          <w:sz w:val="22"/>
          <w:szCs w:val="22"/>
        </w:rPr>
      </w:r>
    </w:p>
    <w:p>
      <w:pPr>
        <w:pStyle w:val="Normal"/>
        <w:jc w:val="both"/>
        <w:rPr>
          <w:rFonts w:ascii="Calibri" w:hAnsi="Calibri" w:cs="Calibri"/>
          <w:sz w:val="22"/>
          <w:szCs w:val="22"/>
        </w:rPr>
      </w:pPr>
      <w:r>
        <w:rPr>
          <w:rFonts w:cs="Calibri" w:ascii="Calibri" w:hAnsi="Calibri"/>
          <w:sz w:val="22"/>
          <w:szCs w:val="22"/>
        </w:rPr>
      </w:r>
    </w:p>
    <w:p>
      <w:pPr>
        <w:pStyle w:val="Normal"/>
        <w:jc w:val="both"/>
        <w:rPr>
          <w:rFonts w:ascii="Arial Narrow" w:hAnsi="Arial Narrow" w:cs="Calibri"/>
          <w:b/>
          <w:b/>
          <w:bCs/>
          <w:sz w:val="22"/>
          <w:szCs w:val="22"/>
          <w:u w:val="single"/>
        </w:rPr>
      </w:pPr>
      <w:r>
        <w:rPr>
          <w:rFonts w:cs="Calibri" w:ascii="Arial Narrow" w:hAnsi="Arial Narrow"/>
          <w:b/>
          <w:bCs/>
          <w:sz w:val="22"/>
          <w:szCs w:val="22"/>
          <w:u w:val="single"/>
        </w:rPr>
        <w:t>Demandes syndicales (reprises selon les termes transmis à la direction)</w:t>
      </w:r>
    </w:p>
    <w:p>
      <w:pPr>
        <w:pStyle w:val="Normal"/>
        <w:jc w:val="both"/>
        <w:rPr>
          <w:rFonts w:ascii="Calibri" w:hAnsi="Calibri" w:cs="Calibri"/>
          <w:b/>
          <w:b/>
          <w:bCs/>
          <w:sz w:val="22"/>
          <w:szCs w:val="22"/>
          <w:u w:val="single"/>
        </w:rPr>
      </w:pPr>
      <w:r>
        <w:rPr>
          <w:rFonts w:cs="Calibri" w:ascii="Calibri" w:hAnsi="Calibri"/>
          <w:b/>
          <w:bCs/>
          <w:sz w:val="22"/>
          <w:szCs w:val="22"/>
          <w:u w:val="single"/>
        </w:rPr>
      </w:r>
    </w:p>
    <w:p>
      <w:pPr>
        <w:pStyle w:val="Normal"/>
        <w:ind w:left="720" w:hanging="0"/>
        <w:rPr>
          <w:lang w:val="en-GB" w:eastAsia="en-GB"/>
        </w:rPr>
      </w:pPr>
      <w:r>
        <w:rPr>
          <w:lang w:val="en-GB" w:eastAsia="en-GB"/>
        </w:rPr>
        <w:drawing>
          <wp:inline distT="0" distB="0" distL="0" distR="0">
            <wp:extent cx="723900" cy="62865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3"/>
                    <a:stretch>
                      <a:fillRect/>
                    </a:stretch>
                  </pic:blipFill>
                  <pic:spPr bwMode="auto">
                    <a:xfrm>
                      <a:off x="0" y="0"/>
                      <a:ext cx="723900" cy="628650"/>
                    </a:xfrm>
                    <a:prstGeom prst="rect">
                      <a:avLst/>
                    </a:prstGeom>
                  </pic:spPr>
                </pic:pic>
              </a:graphicData>
            </a:graphic>
          </wp:inline>
        </w:drawing>
      </w:r>
    </w:p>
    <w:p>
      <w:pPr>
        <w:pStyle w:val="Normal"/>
        <w:ind w:left="720" w:hanging="0"/>
        <w:rPr/>
      </w:pPr>
      <w:r>
        <w:rPr/>
      </w:r>
    </w:p>
    <w:p>
      <w:pPr>
        <w:pStyle w:val="Normal"/>
        <w:spacing w:lineRule="auto" w:line="256" w:before="0" w:after="160"/>
        <w:contextualSpacing/>
        <w:jc w:val="both"/>
        <w:rPr>
          <w:rFonts w:ascii="Arial Narrow" w:hAnsi="Arial Narrow" w:cs="Arial Narrow"/>
          <w:sz w:val="22"/>
          <w:szCs w:val="22"/>
        </w:rPr>
      </w:pPr>
      <w:r>
        <w:rPr>
          <w:rFonts w:cs="Arial Narrow" w:ascii="Arial Narrow" w:hAnsi="Arial Narrow"/>
          <w:sz w:val="22"/>
          <w:szCs w:val="22"/>
        </w:rPr>
        <w:t>Dans le souci notamment de prévenir l'allongement de la durée du travail, de la qualité de vie au travail, de la prévention des risques psychosociaux, de l'intérêt pour leur travail, de la fierté de faire partie d'une association qui soutient ses salariés et leur projet d'évolution de carrière, image sociale positive de son employeur, voici nos demandes :</w:t>
      </w:r>
    </w:p>
    <w:p>
      <w:pPr>
        <w:pStyle w:val="Normal"/>
        <w:numPr>
          <w:ilvl w:val="0"/>
          <w:numId w:val="2"/>
        </w:numPr>
        <w:spacing w:lineRule="auto" w:line="256" w:before="0" w:after="160"/>
        <w:contextualSpacing/>
        <w:jc w:val="both"/>
        <w:rPr>
          <w:rFonts w:ascii="Arial Narrow" w:hAnsi="Arial Narrow" w:cs="Arial Narrow"/>
          <w:sz w:val="22"/>
          <w:szCs w:val="22"/>
        </w:rPr>
      </w:pPr>
      <w:r>
        <w:rPr>
          <w:rFonts w:cs="Arial Narrow" w:ascii="Arial Narrow" w:hAnsi="Arial Narrow"/>
          <w:sz w:val="22"/>
          <w:szCs w:val="22"/>
        </w:rPr>
        <w:t>il serait souhaitable que la mobilité interne et la montée en compétence du personnel soient des priorités. Il s'agirait de prendre en compte le souhait des salariés qui émettent, dans le cadre de l'entretien biannuel, un désir de formation individuelle et qualifiante. Si des formations sont proposées et parfois même non demandées par les salariés, beaucoup de salariés voient par contre leur demande personnelle de qualification refusée et sont non soutenus dans leur désir de plus de professionnalisme (formation), de développement de carrière, de changement de statut au sein de l'association.</w:t>
      </w:r>
    </w:p>
    <w:p>
      <w:pPr>
        <w:pStyle w:val="Normal"/>
        <w:numPr>
          <w:ilvl w:val="0"/>
          <w:numId w:val="2"/>
        </w:numPr>
        <w:spacing w:lineRule="auto" w:line="256" w:before="0" w:after="160"/>
        <w:contextualSpacing/>
        <w:jc w:val="both"/>
        <w:rPr>
          <w:rFonts w:ascii="Arial Narrow" w:hAnsi="Arial Narrow" w:cs="Arial Narrow"/>
          <w:sz w:val="22"/>
          <w:szCs w:val="22"/>
        </w:rPr>
      </w:pPr>
      <w:r>
        <w:rPr>
          <w:rFonts w:cs="Arial Narrow" w:ascii="Arial Narrow" w:hAnsi="Arial Narrow"/>
          <w:sz w:val="22"/>
          <w:szCs w:val="22"/>
        </w:rPr>
        <w:t xml:space="preserve">Dans le même esprit de valorisation du travail de ces professionnels, de la reconnaissance du travail qu'ils effectuent au quotidien et de leurs compétences acquises avec l'expérience : </w:t>
      </w:r>
    </w:p>
    <w:p>
      <w:pPr>
        <w:pStyle w:val="Normal"/>
        <w:spacing w:lineRule="auto" w:line="256" w:before="0" w:after="160"/>
        <w:contextualSpacing/>
        <w:jc w:val="both"/>
        <w:rPr>
          <w:rFonts w:ascii="Arial Narrow" w:hAnsi="Arial Narrow" w:cs="Arial Narrow"/>
          <w:sz w:val="22"/>
          <w:szCs w:val="22"/>
        </w:rPr>
      </w:pPr>
      <w:r>
        <w:rPr>
          <w:rFonts w:cs="Arial Narrow" w:ascii="Arial Narrow" w:hAnsi="Arial Narrow"/>
          <w:sz w:val="22"/>
          <w:szCs w:val="22"/>
        </w:rPr>
        <w:t xml:space="preserve">- Possibilité d'avoir des jours d'ancienneté pour les personnes allant du groupe 1 au groupe 5 au-delà des 21 ans dans l'association. Ces jours d’ancienneté n'ajouteraient pas un coût supplémentaire à l'Etat, aux financeurs, à l’association...on nous oppose toujours l'aspect financier face à une demande d'évolution de la grille des salaires, nous proposons donc 1 forfait jour d'ancienneté : </w:t>
      </w:r>
    </w:p>
    <w:p>
      <w:pPr>
        <w:pStyle w:val="Normal"/>
        <w:numPr>
          <w:ilvl w:val="0"/>
          <w:numId w:val="2"/>
        </w:numPr>
        <w:spacing w:lineRule="auto" w:line="256" w:before="0" w:after="160"/>
        <w:ind w:left="1843" w:hanging="360"/>
        <w:contextualSpacing/>
        <w:jc w:val="both"/>
        <w:rPr/>
      </w:pPr>
      <w:r>
        <w:rPr>
          <w:rFonts w:cs="Arial Narrow" w:ascii="Arial Narrow" w:hAnsi="Arial Narrow"/>
          <w:sz w:val="22"/>
          <w:szCs w:val="22"/>
        </w:rPr>
        <w:t>au-delà de 10 ans d'ancienneté 1 jour de congé supplémentaire</w:t>
      </w:r>
    </w:p>
    <w:p>
      <w:pPr>
        <w:pStyle w:val="Normal"/>
        <w:numPr>
          <w:ilvl w:val="0"/>
          <w:numId w:val="2"/>
        </w:numPr>
        <w:spacing w:lineRule="auto" w:line="256" w:before="0" w:after="160"/>
        <w:ind w:left="1843" w:hanging="360"/>
        <w:contextualSpacing/>
        <w:jc w:val="both"/>
        <w:rPr>
          <w:rFonts w:ascii="Arial Narrow" w:hAnsi="Arial Narrow" w:cs="Arial Narrow"/>
          <w:sz w:val="22"/>
          <w:szCs w:val="22"/>
        </w:rPr>
      </w:pPr>
      <w:r>
        <w:rPr>
          <w:rFonts w:cs="Arial Narrow" w:ascii="Arial Narrow" w:hAnsi="Arial Narrow"/>
          <w:sz w:val="22"/>
          <w:szCs w:val="22"/>
        </w:rPr>
        <w:t>à partir de 15 ans 2 jours supplémentaires de congé par an</w:t>
      </w:r>
    </w:p>
    <w:p>
      <w:pPr>
        <w:pStyle w:val="Normal"/>
        <w:numPr>
          <w:ilvl w:val="0"/>
          <w:numId w:val="2"/>
        </w:numPr>
        <w:spacing w:lineRule="auto" w:line="256" w:before="0" w:after="160"/>
        <w:ind w:left="1843" w:hanging="360"/>
        <w:contextualSpacing/>
        <w:jc w:val="both"/>
        <w:rPr>
          <w:rFonts w:ascii="Arial Narrow" w:hAnsi="Arial Narrow" w:cs="Arial Narrow"/>
          <w:sz w:val="22"/>
          <w:szCs w:val="22"/>
        </w:rPr>
      </w:pPr>
      <w:r>
        <w:rPr>
          <w:rFonts w:cs="Arial Narrow" w:ascii="Arial Narrow" w:hAnsi="Arial Narrow"/>
          <w:sz w:val="22"/>
          <w:szCs w:val="22"/>
        </w:rPr>
        <w:t>à partir de 20 ans 3 jours supplémentaires de congé par an</w:t>
      </w:r>
    </w:p>
    <w:p>
      <w:pPr>
        <w:pStyle w:val="Normal"/>
        <w:numPr>
          <w:ilvl w:val="0"/>
          <w:numId w:val="2"/>
        </w:numPr>
        <w:spacing w:lineRule="auto" w:line="256" w:before="0" w:after="160"/>
        <w:ind w:left="1843" w:hanging="360"/>
        <w:contextualSpacing/>
        <w:jc w:val="both"/>
        <w:rPr>
          <w:rFonts w:ascii="Arial Narrow" w:hAnsi="Arial Narrow" w:cs="Arial Narrow"/>
          <w:sz w:val="22"/>
          <w:szCs w:val="22"/>
        </w:rPr>
      </w:pPr>
      <w:r>
        <w:rPr>
          <w:rFonts w:cs="Arial Narrow" w:ascii="Arial Narrow" w:hAnsi="Arial Narrow"/>
          <w:sz w:val="22"/>
          <w:szCs w:val="22"/>
        </w:rPr>
        <w:t>à partir de 25 ans 4 jours supplémentaires de congé par an</w:t>
      </w:r>
    </w:p>
    <w:p>
      <w:pPr>
        <w:pStyle w:val="Normal"/>
        <w:numPr>
          <w:ilvl w:val="0"/>
          <w:numId w:val="2"/>
        </w:numPr>
        <w:spacing w:lineRule="auto" w:line="256" w:before="0" w:after="160"/>
        <w:ind w:left="1843" w:hanging="360"/>
        <w:contextualSpacing/>
        <w:jc w:val="both"/>
        <w:rPr>
          <w:rFonts w:ascii="Arial Narrow" w:hAnsi="Arial Narrow" w:cs="Arial Narrow"/>
          <w:sz w:val="22"/>
          <w:szCs w:val="22"/>
        </w:rPr>
      </w:pPr>
      <w:r>
        <w:rPr>
          <w:rFonts w:cs="Arial Narrow" w:ascii="Arial Narrow" w:hAnsi="Arial Narrow"/>
          <w:sz w:val="22"/>
          <w:szCs w:val="22"/>
        </w:rPr>
        <w:t>à partir de 30 ans 5 jours supplémentaires de congé par an</w:t>
      </w:r>
    </w:p>
    <w:p>
      <w:pPr>
        <w:pStyle w:val="Normal"/>
        <w:spacing w:lineRule="auto" w:line="256" w:before="0" w:after="160"/>
        <w:contextualSpacing/>
        <w:jc w:val="both"/>
        <w:rPr>
          <w:rFonts w:ascii="Arial Narrow" w:hAnsi="Arial Narrow" w:cs="Arial Narrow"/>
          <w:sz w:val="22"/>
          <w:szCs w:val="22"/>
        </w:rPr>
      </w:pPr>
      <w:r>
        <w:rPr>
          <w:rFonts w:cs="Arial Narrow" w:ascii="Arial Narrow" w:hAnsi="Arial Narrow"/>
          <w:sz w:val="22"/>
          <w:szCs w:val="22"/>
        </w:rPr>
        <w:t>Il serait évidemment, beaucoup mieux encore, de faire évoluer les grilles de salaires voire carrément de changer de convention, pour une plus avantageuse pour les salariés.</w:t>
      </w:r>
    </w:p>
    <w:p>
      <w:pPr>
        <w:pStyle w:val="Normal"/>
        <w:spacing w:lineRule="auto" w:line="256" w:before="0" w:after="160"/>
        <w:contextualSpacing/>
        <w:jc w:val="both"/>
        <w:rPr>
          <w:rFonts w:ascii="Arial Narrow" w:hAnsi="Arial Narrow" w:cs="Arial Narrow"/>
          <w:sz w:val="22"/>
          <w:szCs w:val="22"/>
        </w:rPr>
      </w:pPr>
      <w:r>
        <w:rPr>
          <w:rFonts w:cs="Arial Narrow" w:ascii="Arial Narrow" w:hAnsi="Arial Narrow"/>
          <w:sz w:val="22"/>
          <w:szCs w:val="22"/>
        </w:rPr>
      </w:r>
    </w:p>
    <w:p>
      <w:pPr>
        <w:pStyle w:val="Normal"/>
        <w:spacing w:lineRule="auto" w:line="256" w:before="0" w:after="160"/>
        <w:contextualSpacing/>
        <w:jc w:val="both"/>
        <w:rPr>
          <w:rFonts w:ascii="Arial Narrow" w:hAnsi="Arial Narrow" w:cs="Arial Narrow"/>
          <w:sz w:val="22"/>
          <w:szCs w:val="22"/>
        </w:rPr>
      </w:pPr>
      <w:r>
        <w:rPr>
          <w:rFonts w:cs="Arial Narrow" w:ascii="Arial Narrow" w:hAnsi="Arial Narrow"/>
          <w:sz w:val="22"/>
          <w:szCs w:val="22"/>
        </w:rPr>
        <w:t>- Une participation plus grande de l'association pour la mutuelle d'entreprise notamment pour les bas salaires.</w:t>
      </w:r>
    </w:p>
    <w:p>
      <w:pPr>
        <w:pStyle w:val="Normal"/>
        <w:spacing w:lineRule="auto" w:line="256" w:before="0" w:after="160"/>
        <w:contextualSpacing/>
        <w:jc w:val="both"/>
        <w:rPr>
          <w:rFonts w:ascii="Arial Narrow" w:hAnsi="Arial Narrow" w:cs="Arial Narrow"/>
          <w:sz w:val="22"/>
          <w:szCs w:val="22"/>
        </w:rPr>
      </w:pPr>
      <w:r>
        <w:rPr>
          <w:rFonts w:cs="Arial Narrow" w:ascii="Arial Narrow" w:hAnsi="Arial Narrow"/>
          <w:sz w:val="22"/>
          <w:szCs w:val="22"/>
        </w:rPr>
      </w:r>
    </w:p>
    <w:p>
      <w:pPr>
        <w:pStyle w:val="Normal"/>
        <w:spacing w:lineRule="auto" w:line="256" w:before="0" w:after="160"/>
        <w:contextualSpacing/>
        <w:jc w:val="both"/>
        <w:rPr/>
      </w:pPr>
      <w:r>
        <w:rPr>
          <w:rFonts w:cs="Arial Narrow" w:ascii="Arial Narrow" w:hAnsi="Arial Narrow"/>
          <w:sz w:val="22"/>
          <w:szCs w:val="22"/>
        </w:rPr>
        <w:t>- La possibilité de prendre ses jours congés trimestriels fractionnés en 1/2 journées.</w:t>
      </w:r>
    </w:p>
    <w:p>
      <w:pPr>
        <w:pStyle w:val="Normal"/>
        <w:spacing w:lineRule="auto" w:line="256" w:before="0" w:after="160"/>
        <w:contextualSpacing/>
        <w:jc w:val="both"/>
        <w:rPr>
          <w:rFonts w:ascii="Arial Narrow" w:hAnsi="Arial Narrow" w:cs="Arial Narrow"/>
          <w:sz w:val="22"/>
          <w:szCs w:val="22"/>
        </w:rPr>
      </w:pPr>
      <w:r>
        <w:rPr>
          <w:rFonts w:cs="Arial Narrow" w:ascii="Arial Narrow" w:hAnsi="Arial Narrow"/>
          <w:sz w:val="22"/>
          <w:szCs w:val="22"/>
        </w:rPr>
      </w:r>
    </w:p>
    <w:p>
      <w:pPr>
        <w:pStyle w:val="Normal"/>
        <w:spacing w:lineRule="auto" w:line="256" w:before="0" w:after="160"/>
        <w:contextualSpacing/>
        <w:jc w:val="both"/>
        <w:rPr>
          <w:rFonts w:ascii="Arial Narrow" w:hAnsi="Arial Narrow" w:cs="Arial Narrow"/>
          <w:sz w:val="22"/>
          <w:szCs w:val="22"/>
        </w:rPr>
      </w:pPr>
      <w:r>
        <w:rPr>
          <w:rFonts w:cs="Arial Narrow" w:ascii="Arial Narrow" w:hAnsi="Arial Narrow"/>
          <w:sz w:val="22"/>
          <w:szCs w:val="22"/>
        </w:rPr>
        <w:t xml:space="preserve">- Embaucher les salariés directement avec un salaire décent : augmentation des plus bas salaires, refuser de faire des contrats au plus bas du plus bas !!!! </w:t>
      </w:r>
    </w:p>
    <w:p>
      <w:pPr>
        <w:pStyle w:val="Normal"/>
        <w:spacing w:lineRule="auto" w:line="256" w:before="0" w:after="160"/>
        <w:contextualSpacing/>
        <w:rPr>
          <w:rFonts w:ascii="Calibri" w:hAnsi="Calibri" w:eastAsia="Calibri" w:cs="Calibri"/>
          <w:sz w:val="22"/>
          <w:szCs w:val="22"/>
          <w:lang w:eastAsia="en-US"/>
        </w:rPr>
      </w:pPr>
      <w:r>
        <w:rPr>
          <w:rFonts w:eastAsia="Calibri" w:cs="Calibri" w:ascii="Calibri" w:hAnsi="Calibri"/>
          <w:sz w:val="22"/>
          <w:szCs w:val="22"/>
          <w:lang w:eastAsia="en-US"/>
        </w:rPr>
      </w:r>
    </w:p>
    <w:p>
      <w:pPr>
        <w:pStyle w:val="Normal"/>
        <w:spacing w:lineRule="auto" w:line="256" w:before="0" w:after="160"/>
        <w:contextualSpacing/>
        <w:rPr>
          <w:rFonts w:ascii="Calibri" w:hAnsi="Calibri" w:eastAsia="Calibri" w:cs="Calibri"/>
          <w:sz w:val="22"/>
          <w:szCs w:val="22"/>
          <w:lang w:eastAsia="en-US"/>
        </w:rPr>
      </w:pPr>
      <w:r>
        <w:rPr>
          <w:rFonts w:eastAsia="Calibri" w:cs="Calibri" w:ascii="Calibri" w:hAnsi="Calibri"/>
          <w:sz w:val="22"/>
          <w:szCs w:val="22"/>
          <w:lang w:eastAsia="en-US"/>
        </w:rPr>
      </w:r>
    </w:p>
    <w:p>
      <w:pPr>
        <w:pStyle w:val="Normal"/>
        <w:autoSpaceDE w:val="false"/>
        <w:rPr>
          <w:rFonts w:cs="Arial"/>
        </w:rPr>
      </w:pPr>
      <w:r>
        <w:rPr>
          <w:lang w:val="en-GB" w:eastAsia="en-GB"/>
        </w:rPr>
        <w:drawing>
          <wp:inline distT="0" distB="0" distL="0" distR="0">
            <wp:extent cx="5728970" cy="7907020"/>
            <wp:effectExtent l="0" t="0" r="0" b="0"/>
            <wp:docPr id="4"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
                    <pic:cNvPicPr>
                      <a:picLocks noChangeAspect="1" noChangeArrowheads="1"/>
                    </pic:cNvPicPr>
                  </pic:nvPicPr>
                  <pic:blipFill>
                    <a:blip r:embed="rId4"/>
                    <a:stretch>
                      <a:fillRect/>
                    </a:stretch>
                  </pic:blipFill>
                  <pic:spPr bwMode="auto">
                    <a:xfrm>
                      <a:off x="0" y="0"/>
                      <a:ext cx="5728970" cy="7907020"/>
                    </a:xfrm>
                    <a:prstGeom prst="rect">
                      <a:avLst/>
                    </a:prstGeom>
                  </pic:spPr>
                </pic:pic>
              </a:graphicData>
            </a:graphic>
          </wp:inline>
        </w:drawing>
      </w:r>
    </w:p>
    <w:p>
      <w:pPr>
        <w:pStyle w:val="Normal"/>
        <w:autoSpaceDE w:val="false"/>
        <w:rPr>
          <w:rFonts w:cs="Arial"/>
        </w:rPr>
      </w:pPr>
      <w:r>
        <w:rPr>
          <w:rFonts w:cs="Arial"/>
        </w:rPr>
      </w:r>
    </w:p>
    <w:p>
      <w:pPr>
        <w:pStyle w:val="Normal"/>
        <w:autoSpaceDE w:val="false"/>
        <w:rPr>
          <w:rFonts w:cs="Arial"/>
        </w:rPr>
      </w:pPr>
      <w:r>
        <w:rPr>
          <w:rFonts w:cs="Arial"/>
        </w:rPr>
      </w:r>
    </w:p>
    <w:p>
      <w:pPr>
        <w:pStyle w:val="Normal"/>
        <w:autoSpaceDE w:val="false"/>
        <w:rPr>
          <w:rFonts w:cs="Arial"/>
        </w:rPr>
      </w:pPr>
      <w:r>
        <w:rPr>
          <w:rFonts w:cs="Arial"/>
        </w:rPr>
      </w:r>
    </w:p>
    <w:p>
      <w:pPr>
        <w:pStyle w:val="Normal"/>
        <w:autoSpaceDE w:val="false"/>
        <w:rPr>
          <w:rFonts w:cs="Arial"/>
        </w:rPr>
      </w:pPr>
      <w:r>
        <w:rPr>
          <w:rFonts w:cs="Arial"/>
        </w:rPr>
      </w:r>
    </w:p>
    <w:p>
      <w:pPr>
        <w:pStyle w:val="Normal"/>
        <w:tabs>
          <w:tab w:val="left" w:pos="900" w:leader="none"/>
        </w:tabs>
        <w:spacing w:lineRule="auto" w:line="360"/>
        <w:ind w:right="23" w:hanging="0"/>
        <w:rPr>
          <w:rFonts w:ascii="Calibri" w:hAnsi="Calibri" w:cs="Arial"/>
          <w:i/>
          <w:i/>
          <w:iCs/>
          <w:sz w:val="22"/>
          <w:szCs w:val="22"/>
        </w:rPr>
      </w:pPr>
      <w:r>
        <w:rPr>
          <w:rFonts w:cs="Arial" w:ascii="Calibri" w:hAnsi="Calibri"/>
          <w:i/>
          <w:iCs/>
          <w:sz w:val="22"/>
          <w:szCs w:val="22"/>
        </w:rPr>
      </w:r>
      <w:r>
        <w:br w:type="page"/>
      </w:r>
    </w:p>
    <w:p>
      <w:pPr>
        <w:pStyle w:val="Normal"/>
        <w:tabs>
          <w:tab w:val="left" w:pos="900" w:leader="none"/>
        </w:tabs>
        <w:spacing w:lineRule="auto" w:line="360"/>
        <w:ind w:right="23" w:hanging="0"/>
        <w:rPr>
          <w:rFonts w:ascii="Calibri" w:hAnsi="Calibri" w:cs="Arial"/>
          <w:i/>
          <w:i/>
          <w:iCs/>
          <w:sz w:val="22"/>
          <w:szCs w:val="22"/>
        </w:rPr>
      </w:pPr>
      <w:r>
        <w:rPr>
          <w:lang w:val="en-GB" w:eastAsia="en-GB"/>
        </w:rPr>
        <w:drawing>
          <wp:inline distT="0" distB="0" distL="0" distR="0">
            <wp:extent cx="5730875" cy="8247380"/>
            <wp:effectExtent l="0" t="0" r="0" b="0"/>
            <wp:docPr id="5"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descr=""/>
                    <pic:cNvPicPr>
                      <a:picLocks noChangeAspect="1" noChangeArrowheads="1"/>
                    </pic:cNvPicPr>
                  </pic:nvPicPr>
                  <pic:blipFill>
                    <a:blip r:embed="rId5"/>
                    <a:stretch>
                      <a:fillRect/>
                    </a:stretch>
                  </pic:blipFill>
                  <pic:spPr bwMode="auto">
                    <a:xfrm>
                      <a:off x="0" y="0"/>
                      <a:ext cx="5730875" cy="8247380"/>
                    </a:xfrm>
                    <a:prstGeom prst="rect">
                      <a:avLst/>
                    </a:prstGeom>
                  </pic:spPr>
                </pic:pic>
              </a:graphicData>
            </a:graphic>
          </wp:inline>
        </w:drawing>
      </w:r>
      <w:r>
        <w:br w:type="page"/>
      </w:r>
    </w:p>
    <w:p>
      <w:pPr>
        <w:pStyle w:val="Normal"/>
        <w:tabs>
          <w:tab w:val="left" w:pos="900" w:leader="none"/>
        </w:tabs>
        <w:spacing w:lineRule="auto" w:line="360"/>
        <w:ind w:right="23" w:hanging="0"/>
        <w:rPr>
          <w:rFonts w:ascii="Calibri" w:hAnsi="Calibri" w:cs="Arial"/>
          <w:i/>
          <w:i/>
          <w:iCs/>
          <w:sz w:val="22"/>
          <w:szCs w:val="22"/>
        </w:rPr>
      </w:pPr>
      <w:r>
        <w:rPr>
          <w:lang w:val="en-GB" w:eastAsia="en-GB"/>
        </w:rPr>
        <w:drawing>
          <wp:inline distT="0" distB="0" distL="0" distR="0">
            <wp:extent cx="5734050" cy="4462780"/>
            <wp:effectExtent l="0" t="0" r="0" b="0"/>
            <wp:docPr id="6"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descr=""/>
                    <pic:cNvPicPr>
                      <a:picLocks noChangeAspect="1" noChangeArrowheads="1"/>
                    </pic:cNvPicPr>
                  </pic:nvPicPr>
                  <pic:blipFill>
                    <a:blip r:embed="rId6"/>
                    <a:srcRect l="0" t="0" r="0" b="27142"/>
                    <a:stretch>
                      <a:fillRect/>
                    </a:stretch>
                  </pic:blipFill>
                  <pic:spPr bwMode="auto">
                    <a:xfrm>
                      <a:off x="0" y="0"/>
                      <a:ext cx="5734050" cy="4462780"/>
                    </a:xfrm>
                    <a:prstGeom prst="rect">
                      <a:avLst/>
                    </a:prstGeom>
                  </pic:spPr>
                </pic:pic>
              </a:graphicData>
            </a:graphic>
          </wp:inline>
        </w:drawing>
      </w:r>
    </w:p>
    <w:p>
      <w:pPr>
        <w:pStyle w:val="Normal"/>
        <w:tabs>
          <w:tab w:val="left" w:pos="900" w:leader="none"/>
        </w:tabs>
        <w:spacing w:lineRule="auto" w:line="360"/>
        <w:ind w:right="23" w:hanging="0"/>
        <w:rPr>
          <w:rFonts w:ascii="Calibri" w:hAnsi="Calibri" w:cs="Arial"/>
          <w:i/>
          <w:i/>
          <w:iCs/>
          <w:sz w:val="22"/>
          <w:szCs w:val="22"/>
        </w:rPr>
      </w:pPr>
      <w:r>
        <w:rPr>
          <w:rFonts w:cs="Arial" w:ascii="Calibri" w:hAnsi="Calibri"/>
          <w:i/>
          <w:iCs/>
          <w:sz w:val="22"/>
          <w:szCs w:val="22"/>
        </w:rPr>
      </w:r>
    </w:p>
    <w:p>
      <w:pPr>
        <w:pStyle w:val="Normal"/>
        <w:tabs>
          <w:tab w:val="left" w:pos="900" w:leader="none"/>
        </w:tabs>
        <w:spacing w:lineRule="auto" w:line="360"/>
        <w:ind w:right="23" w:hanging="0"/>
        <w:rPr>
          <w:rFonts w:ascii="Calibri" w:hAnsi="Calibri" w:cs="Arial"/>
          <w:i/>
          <w:i/>
          <w:iCs/>
          <w:sz w:val="22"/>
          <w:szCs w:val="22"/>
        </w:rPr>
      </w:pPr>
      <w:r>
        <w:rPr>
          <w:rFonts w:cs="Arial" w:ascii="Calibri" w:hAnsi="Calibri"/>
          <w:i/>
          <w:iCs/>
          <w:sz w:val="22"/>
          <w:szCs w:val="22"/>
        </w:rPr>
      </w:r>
    </w:p>
    <w:p>
      <w:pPr>
        <w:pStyle w:val="Normal"/>
        <w:tabs>
          <w:tab w:val="left" w:pos="900" w:leader="none"/>
        </w:tabs>
        <w:spacing w:lineRule="auto" w:line="360"/>
        <w:ind w:right="23" w:hanging="0"/>
        <w:rPr>
          <w:rFonts w:ascii="Calibri" w:hAnsi="Calibri" w:cs="Arial"/>
          <w:i/>
          <w:i/>
          <w:iCs/>
          <w:sz w:val="22"/>
          <w:szCs w:val="22"/>
        </w:rPr>
      </w:pPr>
      <w:r>
        <w:rPr>
          <w:rFonts w:cs="Arial" w:ascii="Calibri" w:hAnsi="Calibri"/>
          <w:i/>
          <w:iCs/>
          <w:sz w:val="22"/>
          <w:szCs w:val="22"/>
        </w:rPr>
      </w:r>
    </w:p>
    <w:p>
      <w:pPr>
        <w:pStyle w:val="Normal"/>
        <w:tabs>
          <w:tab w:val="left" w:pos="900" w:leader="none"/>
        </w:tabs>
        <w:spacing w:lineRule="auto" w:line="360"/>
        <w:ind w:right="23" w:hanging="0"/>
        <w:rPr>
          <w:rFonts w:ascii="Calibri" w:hAnsi="Calibri" w:cs="Arial"/>
          <w:i/>
          <w:i/>
          <w:iCs/>
          <w:sz w:val="22"/>
          <w:szCs w:val="22"/>
        </w:rPr>
      </w:pPr>
      <w:r>
        <w:rPr>
          <w:rFonts w:cs="Arial" w:ascii="Calibri" w:hAnsi="Calibri"/>
          <w:i/>
          <w:iCs/>
          <w:sz w:val="22"/>
          <w:szCs w:val="22"/>
        </w:rPr>
      </w:r>
    </w:p>
    <w:p>
      <w:pPr>
        <w:pStyle w:val="Normal"/>
        <w:tabs>
          <w:tab w:val="left" w:pos="900" w:leader="none"/>
        </w:tabs>
        <w:spacing w:lineRule="auto" w:line="360"/>
        <w:ind w:right="23" w:hanging="0"/>
        <w:rPr>
          <w:rFonts w:ascii="Calibri" w:hAnsi="Calibri" w:cs="Arial"/>
          <w:i/>
          <w:i/>
          <w:iCs/>
          <w:sz w:val="22"/>
          <w:szCs w:val="22"/>
        </w:rPr>
      </w:pPr>
      <w:r>
        <w:rPr>
          <w:rFonts w:cs="Arial" w:ascii="Calibri" w:hAnsi="Calibri"/>
          <w:i/>
          <w:iCs/>
          <w:sz w:val="22"/>
          <w:szCs w:val="22"/>
        </w:rPr>
      </w:r>
    </w:p>
    <w:p>
      <w:pPr>
        <w:pStyle w:val="Normal"/>
        <w:tabs>
          <w:tab w:val="left" w:pos="900" w:leader="none"/>
        </w:tabs>
        <w:spacing w:lineRule="auto" w:line="360"/>
        <w:ind w:right="23" w:hanging="0"/>
        <w:rPr>
          <w:rFonts w:ascii="Calibri" w:hAnsi="Calibri" w:cs="Arial"/>
          <w:i/>
          <w:i/>
          <w:iCs/>
          <w:sz w:val="22"/>
          <w:szCs w:val="22"/>
        </w:rPr>
      </w:pPr>
      <w:r>
        <w:rPr>
          <w:rFonts w:cs="Arial" w:ascii="Calibri" w:hAnsi="Calibri"/>
          <w:i/>
          <w:iCs/>
          <w:sz w:val="22"/>
          <w:szCs w:val="22"/>
        </w:rPr>
      </w:r>
    </w:p>
    <w:p>
      <w:pPr>
        <w:pStyle w:val="Normal"/>
        <w:tabs>
          <w:tab w:val="left" w:pos="900" w:leader="none"/>
        </w:tabs>
        <w:spacing w:lineRule="auto" w:line="360"/>
        <w:ind w:right="23" w:hanging="0"/>
        <w:rPr>
          <w:rFonts w:ascii="Calibri" w:hAnsi="Calibri" w:cs="Arial"/>
          <w:i/>
          <w:i/>
          <w:iCs/>
          <w:sz w:val="22"/>
          <w:szCs w:val="22"/>
        </w:rPr>
      </w:pPr>
      <w:r>
        <w:rPr>
          <w:rFonts w:cs="Arial" w:ascii="Calibri" w:hAnsi="Calibri"/>
          <w:i/>
          <w:iCs/>
          <w:sz w:val="22"/>
          <w:szCs w:val="22"/>
        </w:rPr>
      </w:r>
    </w:p>
    <w:p>
      <w:pPr>
        <w:pStyle w:val="Normal"/>
        <w:tabs>
          <w:tab w:val="left" w:pos="900" w:leader="none"/>
        </w:tabs>
        <w:spacing w:lineRule="auto" w:line="360"/>
        <w:ind w:right="23" w:hanging="0"/>
        <w:rPr>
          <w:rFonts w:ascii="Calibri" w:hAnsi="Calibri" w:cs="Arial"/>
          <w:i/>
          <w:i/>
          <w:iCs/>
          <w:sz w:val="22"/>
          <w:szCs w:val="22"/>
        </w:rPr>
      </w:pPr>
      <w:r>
        <w:rPr>
          <w:rFonts w:cs="Arial" w:ascii="Calibri" w:hAnsi="Calibri"/>
          <w:i/>
          <w:iCs/>
          <w:sz w:val="22"/>
          <w:szCs w:val="22"/>
        </w:rPr>
      </w:r>
    </w:p>
    <w:p>
      <w:pPr>
        <w:pStyle w:val="Normal"/>
        <w:tabs>
          <w:tab w:val="left" w:pos="900" w:leader="none"/>
        </w:tabs>
        <w:spacing w:lineRule="auto" w:line="360"/>
        <w:ind w:right="23" w:hanging="0"/>
        <w:rPr>
          <w:rFonts w:ascii="Calibri" w:hAnsi="Calibri" w:cs="Arial"/>
          <w:i/>
          <w:i/>
          <w:iCs/>
          <w:sz w:val="22"/>
          <w:szCs w:val="22"/>
        </w:rPr>
      </w:pPr>
      <w:r>
        <w:rPr>
          <w:rFonts w:cs="Arial" w:ascii="Calibri" w:hAnsi="Calibri"/>
          <w:i/>
          <w:iCs/>
          <w:sz w:val="22"/>
          <w:szCs w:val="22"/>
        </w:rPr>
      </w:r>
    </w:p>
    <w:p>
      <w:pPr>
        <w:pStyle w:val="Normal"/>
        <w:tabs>
          <w:tab w:val="left" w:pos="900" w:leader="none"/>
        </w:tabs>
        <w:spacing w:lineRule="auto" w:line="360"/>
        <w:ind w:right="23" w:hanging="0"/>
        <w:rPr>
          <w:rFonts w:ascii="Calibri" w:hAnsi="Calibri" w:cs="Arial"/>
          <w:i/>
          <w:i/>
          <w:iCs/>
          <w:sz w:val="22"/>
          <w:szCs w:val="22"/>
        </w:rPr>
      </w:pPr>
      <w:r>
        <w:rPr>
          <w:rFonts w:cs="Arial" w:ascii="Calibri" w:hAnsi="Calibri"/>
          <w:i/>
          <w:iCs/>
          <w:sz w:val="22"/>
          <w:szCs w:val="22"/>
        </w:rPr>
      </w:r>
    </w:p>
    <w:p>
      <w:pPr>
        <w:pStyle w:val="Normal"/>
        <w:tabs>
          <w:tab w:val="left" w:pos="900" w:leader="none"/>
        </w:tabs>
        <w:spacing w:lineRule="auto" w:line="360"/>
        <w:ind w:right="23" w:hanging="0"/>
        <w:rPr>
          <w:rFonts w:ascii="Calibri" w:hAnsi="Calibri" w:cs="Arial"/>
          <w:i/>
          <w:i/>
          <w:iCs/>
          <w:sz w:val="22"/>
          <w:szCs w:val="22"/>
        </w:rPr>
      </w:pPr>
      <w:r>
        <w:rPr>
          <w:rFonts w:cs="Arial" w:ascii="Calibri" w:hAnsi="Calibri"/>
          <w:i/>
          <w:iCs/>
          <w:sz w:val="22"/>
          <w:szCs w:val="22"/>
        </w:rPr>
      </w:r>
    </w:p>
    <w:p>
      <w:pPr>
        <w:pStyle w:val="Normal"/>
        <w:tabs>
          <w:tab w:val="left" w:pos="900" w:leader="none"/>
        </w:tabs>
        <w:spacing w:lineRule="auto" w:line="360"/>
        <w:ind w:right="23" w:hanging="0"/>
        <w:rPr>
          <w:rFonts w:ascii="Calibri" w:hAnsi="Calibri" w:cs="Arial"/>
          <w:i/>
          <w:i/>
          <w:iCs/>
          <w:sz w:val="22"/>
          <w:szCs w:val="22"/>
        </w:rPr>
      </w:pPr>
      <w:r>
        <w:rPr>
          <w:rFonts w:cs="Arial" w:ascii="Calibri" w:hAnsi="Calibri"/>
          <w:i/>
          <w:iCs/>
          <w:sz w:val="22"/>
          <w:szCs w:val="22"/>
        </w:rPr>
      </w:r>
    </w:p>
    <w:p>
      <w:pPr>
        <w:pStyle w:val="Normal"/>
        <w:tabs>
          <w:tab w:val="left" w:pos="900" w:leader="none"/>
        </w:tabs>
        <w:spacing w:lineRule="auto" w:line="360"/>
        <w:ind w:right="23" w:hanging="0"/>
        <w:rPr>
          <w:rFonts w:ascii="Calibri" w:hAnsi="Calibri" w:cs="Arial"/>
          <w:i/>
          <w:i/>
          <w:iCs/>
          <w:sz w:val="22"/>
          <w:szCs w:val="22"/>
        </w:rPr>
      </w:pPr>
      <w:r>
        <w:rPr>
          <w:rFonts w:cs="Arial" w:ascii="Calibri" w:hAnsi="Calibri"/>
          <w:i/>
          <w:iCs/>
          <w:sz w:val="22"/>
          <w:szCs w:val="22"/>
        </w:rPr>
      </w:r>
    </w:p>
    <w:p>
      <w:pPr>
        <w:pStyle w:val="Normal"/>
        <w:tabs>
          <w:tab w:val="left" w:pos="900" w:leader="none"/>
        </w:tabs>
        <w:spacing w:lineRule="auto" w:line="360"/>
        <w:ind w:right="23" w:hanging="0"/>
        <w:rPr>
          <w:rFonts w:ascii="Calibri" w:hAnsi="Calibri" w:cs="Arial"/>
          <w:i/>
          <w:i/>
          <w:iCs/>
          <w:sz w:val="22"/>
          <w:szCs w:val="22"/>
        </w:rPr>
      </w:pPr>
      <w:r>
        <w:rPr>
          <w:rFonts w:cs="Arial" w:ascii="Calibri" w:hAnsi="Calibri"/>
          <w:i/>
          <w:iCs/>
          <w:sz w:val="22"/>
          <w:szCs w:val="22"/>
        </w:rPr>
      </w:r>
    </w:p>
    <w:p>
      <w:pPr>
        <w:pStyle w:val="Normal"/>
        <w:tabs>
          <w:tab w:val="left" w:pos="900" w:leader="none"/>
        </w:tabs>
        <w:spacing w:lineRule="auto" w:line="360"/>
        <w:ind w:right="23" w:hanging="0"/>
        <w:rPr>
          <w:rFonts w:ascii="Calibri" w:hAnsi="Calibri" w:cs="Arial"/>
          <w:i/>
          <w:i/>
          <w:iCs/>
          <w:sz w:val="22"/>
          <w:szCs w:val="22"/>
        </w:rPr>
      </w:pPr>
      <w:r>
        <w:rPr>
          <w:rFonts w:cs="Arial" w:ascii="Calibri" w:hAnsi="Calibri"/>
          <w:i/>
          <w:iCs/>
          <w:sz w:val="22"/>
          <w:szCs w:val="22"/>
        </w:rPr>
      </w:r>
    </w:p>
    <w:p>
      <w:pPr>
        <w:pStyle w:val="Normal"/>
        <w:tabs>
          <w:tab w:val="left" w:pos="900" w:leader="none"/>
        </w:tabs>
        <w:spacing w:lineRule="auto" w:line="360"/>
        <w:ind w:right="23" w:hanging="0"/>
        <w:rPr>
          <w:rFonts w:ascii="Calibri" w:hAnsi="Calibri" w:cs="Arial"/>
          <w:i/>
          <w:i/>
          <w:iCs/>
          <w:sz w:val="22"/>
          <w:szCs w:val="22"/>
        </w:rPr>
      </w:pPr>
      <w:r>
        <w:rPr>
          <w:rFonts w:cs="Arial" w:ascii="Calibri" w:hAnsi="Calibri"/>
          <w:i/>
          <w:iCs/>
          <w:sz w:val="22"/>
          <w:szCs w:val="22"/>
        </w:rPr>
      </w:r>
    </w:p>
    <w:p>
      <w:pPr>
        <w:pStyle w:val="Normal"/>
        <w:tabs>
          <w:tab w:val="left" w:pos="900" w:leader="none"/>
        </w:tabs>
        <w:spacing w:lineRule="auto" w:line="360"/>
        <w:ind w:right="23" w:hanging="0"/>
        <w:rPr>
          <w:rFonts w:ascii="Calibri" w:hAnsi="Calibri" w:cs="Arial"/>
          <w:i/>
          <w:i/>
          <w:iCs/>
          <w:sz w:val="22"/>
          <w:szCs w:val="22"/>
        </w:rPr>
      </w:pPr>
      <w:r>
        <w:rPr>
          <w:rFonts w:cs="Arial" w:ascii="Calibri" w:hAnsi="Calibri"/>
          <w:i/>
          <w:iCs/>
          <w:sz w:val="22"/>
          <w:szCs w:val="22"/>
        </w:rPr>
      </w:r>
    </w:p>
    <w:p>
      <w:pPr>
        <w:pStyle w:val="Normal"/>
        <w:tabs>
          <w:tab w:val="left" w:pos="900" w:leader="none"/>
        </w:tabs>
        <w:spacing w:lineRule="auto" w:line="360"/>
        <w:ind w:right="23" w:hanging="0"/>
        <w:rPr>
          <w:rFonts w:ascii="Calibri" w:hAnsi="Calibri" w:cs="Arial"/>
          <w:i/>
          <w:i/>
          <w:iCs/>
          <w:sz w:val="22"/>
          <w:szCs w:val="22"/>
        </w:rPr>
      </w:pPr>
      <w:r>
        <w:rPr>
          <w:rFonts w:cs="Arial" w:ascii="Calibri" w:hAnsi="Calibri"/>
          <w:i/>
          <w:iCs/>
          <w:sz w:val="22"/>
          <w:szCs w:val="22"/>
        </w:rPr>
      </w:r>
    </w:p>
    <w:p>
      <w:pPr>
        <w:pStyle w:val="Heading1"/>
        <w:numPr>
          <w:ilvl w:val="0"/>
          <w:numId w:val="1"/>
        </w:numPr>
        <w:rPr/>
      </w:pPr>
      <w:r>
        <w:rPr>
          <w:rFonts w:eastAsia="Calibri" w:cs="Calibri" w:ascii="Calibri" w:hAnsi="Calibri"/>
          <w:sz w:val="22"/>
          <w:szCs w:val="22"/>
        </w:rPr>
        <w:t xml:space="preserve">  </w:t>
      </w:r>
      <w:r>
        <w:rPr>
          <w:rFonts w:cs="Calibri"/>
          <w:sz w:val="22"/>
          <w:szCs w:val="22"/>
        </w:rPr>
        <w:t>Il a été convenu ce qui suit</w:t>
      </w:r>
    </w:p>
    <w:p>
      <w:pPr>
        <w:pStyle w:val="Heading2"/>
        <w:numPr>
          <w:ilvl w:val="1"/>
          <w:numId w:val="1"/>
        </w:numPr>
        <w:ind w:left="1080" w:hanging="0"/>
        <w:rPr>
          <w:rFonts w:cs="Calibri"/>
          <w:i/>
          <w:i/>
          <w:iCs/>
          <w:sz w:val="22"/>
          <w:szCs w:val="22"/>
        </w:rPr>
      </w:pPr>
      <w:r>
        <w:rPr>
          <w:rFonts w:cs="Calibri"/>
          <w:i/>
          <w:iCs/>
          <w:sz w:val="22"/>
          <w:szCs w:val="22"/>
        </w:rPr>
      </w:r>
    </w:p>
    <w:p>
      <w:pPr>
        <w:pStyle w:val="Normal"/>
        <w:jc w:val="both"/>
        <w:rPr>
          <w:rFonts w:ascii="Arial Narrow" w:hAnsi="Arial Narrow" w:cs="Calibri"/>
          <w:sz w:val="22"/>
          <w:szCs w:val="22"/>
        </w:rPr>
      </w:pPr>
      <w:r>
        <w:rPr>
          <w:rFonts w:cs="Calibri" w:ascii="Arial Narrow" w:hAnsi="Arial Narrow"/>
          <w:sz w:val="22"/>
          <w:szCs w:val="22"/>
        </w:rPr>
        <w:t xml:space="preserve">Dans le cadre de la NAO, les points suivants sont l’objet d’un échange : </w:t>
      </w:r>
    </w:p>
    <w:p>
      <w:pPr>
        <w:pStyle w:val="NormalWeb"/>
        <w:shd w:fill="FFFFFF" w:val="clear"/>
        <w:spacing w:lineRule="atLeast" w:line="399" w:before="0" w:after="0"/>
        <w:jc w:val="both"/>
        <w:rPr>
          <w:rFonts w:ascii="Arial Narrow" w:hAnsi="Arial Narrow" w:cs="Calibri"/>
          <w:color w:val="000000"/>
          <w:sz w:val="22"/>
          <w:szCs w:val="22"/>
        </w:rPr>
      </w:pPr>
      <w:r>
        <w:rPr>
          <w:rFonts w:cs="Calibri" w:ascii="Arial Narrow" w:hAnsi="Arial Narrow"/>
          <w:color w:val="000000"/>
          <w:sz w:val="22"/>
          <w:szCs w:val="22"/>
        </w:rPr>
        <w:t xml:space="preserve">- Les salaires bruts effectifs par catégorie socioprofessionnelle, primes et avantages en nature compris. </w:t>
      </w:r>
    </w:p>
    <w:p>
      <w:pPr>
        <w:pStyle w:val="NormalWeb"/>
        <w:shd w:fill="FFFFFF" w:val="clear"/>
        <w:spacing w:lineRule="atLeast" w:line="399" w:before="0" w:after="0"/>
        <w:jc w:val="both"/>
        <w:rPr>
          <w:rFonts w:ascii="Arial Narrow" w:hAnsi="Arial Narrow" w:cs="Calibri"/>
          <w:color w:val="000000"/>
          <w:sz w:val="22"/>
          <w:szCs w:val="22"/>
        </w:rPr>
      </w:pPr>
      <w:r>
        <w:rPr>
          <w:rFonts w:cs="Calibri" w:ascii="Arial Narrow" w:hAnsi="Arial Narrow"/>
          <w:color w:val="000000"/>
          <w:sz w:val="22"/>
          <w:szCs w:val="22"/>
        </w:rPr>
        <w:t>- La durée effective du travail et l'organisation du temps de travail (temps partiel, travail de nuit, télétravail) / l’évolution de l’emploi.</w:t>
      </w:r>
    </w:p>
    <w:p>
      <w:pPr>
        <w:pStyle w:val="NormalWeb"/>
        <w:shd w:fill="FFFFFF" w:val="clear"/>
        <w:spacing w:lineRule="atLeast" w:line="399" w:before="0" w:after="0"/>
        <w:jc w:val="both"/>
        <w:rPr/>
      </w:pPr>
      <w:r>
        <w:rPr>
          <w:rFonts w:cs="Calibri" w:ascii="Arial Narrow" w:hAnsi="Arial Narrow"/>
          <w:color w:val="000000"/>
          <w:sz w:val="22"/>
          <w:szCs w:val="22"/>
        </w:rPr>
        <w:t xml:space="preserve">- L'égalité professionnelle femmes/hommes ; la négociation porte sur les objectifs d'égalité professionnelle entre les femmes et les hommes ainsi que sur les mesures permettant de les atteindre en matière d'égalité salariale, de formation professionnelle et de conditions de travail. </w:t>
      </w:r>
    </w:p>
    <w:p>
      <w:pPr>
        <w:pStyle w:val="NormalWeb"/>
        <w:shd w:fill="FFFFFF" w:val="clear"/>
        <w:spacing w:lineRule="atLeast" w:line="399" w:before="0" w:after="0"/>
        <w:jc w:val="both"/>
        <w:rPr>
          <w:rFonts w:ascii="Arial Narrow" w:hAnsi="Arial Narrow" w:cs="Calibri"/>
          <w:color w:val="000000"/>
          <w:sz w:val="22"/>
          <w:szCs w:val="22"/>
        </w:rPr>
      </w:pPr>
      <w:r>
        <w:rPr>
          <w:rFonts w:cs="Calibri" w:ascii="Arial Narrow" w:hAnsi="Arial Narrow"/>
          <w:color w:val="000000"/>
          <w:sz w:val="22"/>
          <w:szCs w:val="22"/>
        </w:rPr>
        <w:t>- L'insertion professionnelle et le maintien dans l'emploi des travailleurs handicapés.</w:t>
      </w:r>
    </w:p>
    <w:p>
      <w:pPr>
        <w:pStyle w:val="NormalWeb"/>
        <w:shd w:fill="FFFFFF" w:val="clear"/>
        <w:spacing w:lineRule="atLeast" w:line="399" w:before="0" w:after="0"/>
        <w:jc w:val="both"/>
        <w:rPr>
          <w:rFonts w:ascii="Arial Narrow" w:hAnsi="Arial Narrow" w:cs="Calibri"/>
          <w:color w:val="000000"/>
          <w:sz w:val="22"/>
          <w:szCs w:val="22"/>
        </w:rPr>
      </w:pPr>
      <w:r>
        <w:rPr>
          <w:rFonts w:cs="Calibri" w:ascii="Arial Narrow" w:hAnsi="Arial Narrow"/>
          <w:color w:val="000000"/>
          <w:sz w:val="22"/>
          <w:szCs w:val="22"/>
        </w:rPr>
        <w:t>- La prévoyance maladie et l'épargne salariale.</w:t>
      </w:r>
    </w:p>
    <w:p>
      <w:pPr>
        <w:pStyle w:val="Normal"/>
        <w:tabs>
          <w:tab w:val="left" w:pos="9000" w:leader="none"/>
        </w:tabs>
        <w:ind w:right="-110" w:hanging="0"/>
        <w:jc w:val="both"/>
        <w:rPr>
          <w:rFonts w:ascii="Arial Narrow" w:hAnsi="Arial Narrow" w:cs="Calibri"/>
          <w:color w:val="000000"/>
          <w:sz w:val="22"/>
          <w:szCs w:val="22"/>
        </w:rPr>
      </w:pPr>
      <w:r>
        <w:rPr>
          <w:rFonts w:cs="Calibri" w:ascii="Arial Narrow" w:hAnsi="Arial Narrow"/>
          <w:color w:val="000000"/>
          <w:sz w:val="22"/>
          <w:szCs w:val="22"/>
        </w:rPr>
      </w:r>
    </w:p>
    <w:p>
      <w:pPr>
        <w:pStyle w:val="Normal"/>
        <w:tabs>
          <w:tab w:val="left" w:pos="9000" w:leader="none"/>
        </w:tabs>
        <w:ind w:right="-110" w:hanging="0"/>
        <w:jc w:val="both"/>
        <w:rPr/>
      </w:pPr>
      <w:r>
        <w:rPr>
          <w:rFonts w:cs="Calibri" w:ascii="Arial Narrow" w:hAnsi="Arial Narrow"/>
          <w:sz w:val="22"/>
          <w:szCs w:val="22"/>
        </w:rPr>
        <w:t>L’étude de ces points fait chaque année l’objet d’un travail en DUP comité d’entreprise avec les organisations syndicales. Tous les éléments écrits leur sont remis à cet effet et le rapport annuel est mis à disposition de chaque salarié sur chacun des sites. Ce travail a été fait en 2016.</w:t>
      </w:r>
    </w:p>
    <w:p>
      <w:pPr>
        <w:pStyle w:val="Normal"/>
        <w:tabs>
          <w:tab w:val="left" w:pos="9000" w:leader="none"/>
        </w:tabs>
        <w:ind w:right="-110" w:hanging="0"/>
        <w:jc w:val="both"/>
        <w:rPr>
          <w:rFonts w:ascii="Arial Narrow" w:hAnsi="Arial Narrow" w:cs="Calibri"/>
          <w:sz w:val="22"/>
          <w:szCs w:val="22"/>
        </w:rPr>
      </w:pPr>
      <w:r>
        <w:rPr>
          <w:rFonts w:cs="Calibri" w:ascii="Arial Narrow" w:hAnsi="Arial Narrow"/>
          <w:sz w:val="22"/>
          <w:szCs w:val="22"/>
        </w:rPr>
      </w:r>
    </w:p>
    <w:p>
      <w:pPr>
        <w:pStyle w:val="Normal"/>
        <w:tabs>
          <w:tab w:val="left" w:pos="9000" w:leader="none"/>
        </w:tabs>
        <w:ind w:right="-110" w:hanging="0"/>
        <w:jc w:val="both"/>
        <w:rPr/>
      </w:pPr>
      <w:r>
        <w:rPr>
          <w:rFonts w:cs="Calibri" w:ascii="Arial Narrow" w:hAnsi="Arial Narrow"/>
          <w:sz w:val="22"/>
          <w:szCs w:val="22"/>
        </w:rPr>
        <w:t>Par ailleurs, l’association a mis en place conformément à la loi, la Base de données socioéconomiques. Elle a également revu et signé des accords liés aux congés / au droit à la déconnexion / à l’égalité entre femmes et hommes.</w:t>
      </w:r>
    </w:p>
    <w:p>
      <w:pPr>
        <w:pStyle w:val="Normal"/>
        <w:tabs>
          <w:tab w:val="left" w:pos="9000" w:leader="none"/>
        </w:tabs>
        <w:ind w:right="-110" w:hanging="0"/>
        <w:jc w:val="both"/>
        <w:rPr>
          <w:rFonts w:ascii="Arial Narrow" w:hAnsi="Arial Narrow" w:cs="Calibri"/>
          <w:sz w:val="22"/>
          <w:szCs w:val="22"/>
        </w:rPr>
      </w:pPr>
      <w:r>
        <w:rPr>
          <w:rFonts w:cs="Calibri" w:ascii="Arial Narrow" w:hAnsi="Arial Narrow"/>
          <w:sz w:val="22"/>
          <w:szCs w:val="22"/>
        </w:rPr>
      </w:r>
    </w:p>
    <w:p>
      <w:pPr>
        <w:pStyle w:val="Normal"/>
        <w:tabs>
          <w:tab w:val="left" w:pos="9000" w:leader="none"/>
        </w:tabs>
        <w:ind w:right="-110" w:hanging="0"/>
        <w:jc w:val="both"/>
        <w:rPr>
          <w:rFonts w:ascii="Arial Narrow" w:hAnsi="Arial Narrow" w:cs="Calibri"/>
          <w:sz w:val="22"/>
          <w:szCs w:val="22"/>
        </w:rPr>
      </w:pPr>
      <w:r>
        <w:rPr>
          <w:rFonts w:cs="Calibri" w:ascii="Arial Narrow" w:hAnsi="Arial Narrow"/>
          <w:sz w:val="22"/>
          <w:szCs w:val="22"/>
        </w:rPr>
        <w:t xml:space="preserve">Le rapport social a été refondu en 2010 avec les rubriques suivantes qui se veulent les plus exhaustives possibles et au-delà des rubriques imposées par le législateur. </w:t>
      </w:r>
    </w:p>
    <w:p>
      <w:pPr>
        <w:pStyle w:val="Normal"/>
        <w:tabs>
          <w:tab w:val="left" w:pos="9000" w:leader="none"/>
        </w:tabs>
        <w:ind w:right="-110" w:hanging="0"/>
        <w:jc w:val="both"/>
        <w:rPr>
          <w:rFonts w:cs="Calibri"/>
        </w:rPr>
      </w:pPr>
      <w:r>
        <w:rPr>
          <w:rFonts w:eastAsia="Arial Narrow" w:cs="Arial Narrow" w:ascii="Arial Narrow" w:hAnsi="Arial Narrow"/>
          <w:sz w:val="22"/>
          <w:szCs w:val="22"/>
        </w:rPr>
        <w:t xml:space="preserve">  </w:t>
      </w:r>
    </w:p>
    <w:p>
      <w:pPr>
        <w:pStyle w:val="Normal"/>
        <w:tabs>
          <w:tab w:val="left" w:pos="900" w:leader="none"/>
        </w:tabs>
        <w:spacing w:lineRule="auto" w:line="360"/>
        <w:ind w:right="23" w:hanging="0"/>
        <w:rPr/>
      </w:pPr>
      <w:r>
        <w:rPr>
          <w:rFonts w:cs="Calibri" w:ascii="Arial Narrow" w:hAnsi="Arial Narrow"/>
          <w:sz w:val="22"/>
          <w:szCs w:val="22"/>
        </w:rPr>
        <w:t>1.</w:t>
      </w:r>
      <w:r>
        <w:rPr>
          <w:rFonts w:cs="Calibri" w:ascii="Arial Narrow" w:hAnsi="Arial Narrow"/>
          <w:b/>
          <w:sz w:val="22"/>
          <w:szCs w:val="22"/>
        </w:rPr>
        <w:t>L’EMPLOI</w:t>
      </w:r>
    </w:p>
    <w:p>
      <w:pPr>
        <w:pStyle w:val="Normal"/>
        <w:tabs>
          <w:tab w:val="left" w:pos="900" w:leader="none"/>
        </w:tabs>
        <w:spacing w:lineRule="auto" w:line="360"/>
        <w:ind w:left="360" w:right="23" w:hanging="0"/>
        <w:rPr>
          <w:rFonts w:ascii="Arial Narrow" w:hAnsi="Arial Narrow" w:cs="Calibri"/>
          <w:sz w:val="22"/>
          <w:szCs w:val="22"/>
        </w:rPr>
      </w:pPr>
      <w:r>
        <w:rPr>
          <w:rFonts w:cs="Calibri" w:ascii="Arial Narrow" w:hAnsi="Arial Narrow"/>
          <w:sz w:val="22"/>
          <w:szCs w:val="22"/>
        </w:rPr>
        <w:t>1.1. Les effectifs, leur répartition</w:t>
      </w:r>
    </w:p>
    <w:p>
      <w:pPr>
        <w:pStyle w:val="Normal"/>
        <w:tabs>
          <w:tab w:val="left" w:pos="900" w:leader="none"/>
        </w:tabs>
        <w:spacing w:lineRule="auto" w:line="360"/>
        <w:ind w:left="360" w:right="23" w:hanging="0"/>
        <w:rPr>
          <w:rFonts w:ascii="Arial Narrow" w:hAnsi="Arial Narrow" w:cs="Calibri"/>
          <w:sz w:val="22"/>
          <w:szCs w:val="22"/>
        </w:rPr>
      </w:pPr>
      <w:r>
        <w:rPr>
          <w:rFonts w:cs="Calibri" w:ascii="Arial Narrow" w:hAnsi="Arial Narrow"/>
          <w:sz w:val="22"/>
          <w:szCs w:val="22"/>
        </w:rPr>
        <w:t>1.2. Les recrutements : CDD, CDI, heures complémentaires</w:t>
      </w:r>
    </w:p>
    <w:p>
      <w:pPr>
        <w:pStyle w:val="Normal"/>
        <w:tabs>
          <w:tab w:val="left" w:pos="900" w:leader="none"/>
        </w:tabs>
        <w:spacing w:lineRule="auto" w:line="360"/>
        <w:ind w:left="360" w:right="23" w:hanging="0"/>
        <w:rPr>
          <w:rFonts w:ascii="Arial Narrow" w:hAnsi="Arial Narrow" w:cs="Calibri"/>
          <w:sz w:val="22"/>
          <w:szCs w:val="22"/>
        </w:rPr>
      </w:pPr>
      <w:r>
        <w:rPr>
          <w:rFonts w:cs="Calibri" w:ascii="Arial Narrow" w:hAnsi="Arial Narrow"/>
          <w:sz w:val="22"/>
          <w:szCs w:val="22"/>
        </w:rPr>
        <w:t>1.3. Les mutations, les promotions, les départs</w:t>
      </w:r>
    </w:p>
    <w:p>
      <w:pPr>
        <w:pStyle w:val="Normal"/>
        <w:tabs>
          <w:tab w:val="left" w:pos="900" w:leader="none"/>
        </w:tabs>
        <w:spacing w:lineRule="auto" w:line="360"/>
        <w:ind w:left="360" w:right="23" w:hanging="0"/>
        <w:rPr>
          <w:rFonts w:ascii="Arial Narrow" w:hAnsi="Arial Narrow" w:cs="Calibri"/>
          <w:sz w:val="22"/>
          <w:szCs w:val="22"/>
        </w:rPr>
      </w:pPr>
      <w:r>
        <w:rPr>
          <w:rFonts w:cs="Calibri" w:ascii="Arial Narrow" w:hAnsi="Arial Narrow"/>
          <w:sz w:val="22"/>
          <w:szCs w:val="22"/>
        </w:rPr>
        <w:t>1.4. Explications sur le recours aux CDD, heures complémentaires.</w:t>
        <w:tab/>
        <w:tab/>
        <w:tab/>
      </w:r>
    </w:p>
    <w:p>
      <w:pPr>
        <w:pStyle w:val="Normal"/>
        <w:tabs>
          <w:tab w:val="left" w:pos="900" w:leader="none"/>
        </w:tabs>
        <w:spacing w:lineRule="auto" w:line="360"/>
        <w:ind w:right="23" w:hanging="0"/>
        <w:rPr/>
      </w:pPr>
      <w:r>
        <w:rPr>
          <w:rFonts w:cs="Calibri" w:ascii="Arial Narrow" w:hAnsi="Arial Narrow"/>
          <w:sz w:val="22"/>
          <w:szCs w:val="22"/>
        </w:rPr>
        <w:t xml:space="preserve">2 </w:t>
      </w:r>
      <w:r>
        <w:rPr>
          <w:rFonts w:cs="Calibri" w:ascii="Arial Narrow" w:hAnsi="Arial Narrow"/>
          <w:b/>
          <w:sz w:val="22"/>
          <w:szCs w:val="22"/>
        </w:rPr>
        <w:t>LA REMUNERATION</w:t>
      </w:r>
    </w:p>
    <w:p>
      <w:pPr>
        <w:pStyle w:val="Normal"/>
        <w:spacing w:lineRule="auto" w:line="360"/>
        <w:ind w:left="360" w:right="23" w:hanging="0"/>
        <w:rPr>
          <w:rFonts w:ascii="Arial Narrow" w:hAnsi="Arial Narrow" w:cs="Calibri"/>
          <w:sz w:val="22"/>
          <w:szCs w:val="22"/>
        </w:rPr>
      </w:pPr>
      <w:r>
        <w:rPr>
          <w:rFonts w:cs="Calibri" w:ascii="Arial Narrow" w:hAnsi="Arial Narrow"/>
          <w:sz w:val="22"/>
          <w:szCs w:val="22"/>
        </w:rPr>
        <w:t>2.1. Le montant des rémunérations</w:t>
      </w:r>
    </w:p>
    <w:p>
      <w:pPr>
        <w:pStyle w:val="Normal"/>
        <w:tabs>
          <w:tab w:val="left" w:pos="0" w:leader="none"/>
        </w:tabs>
        <w:spacing w:lineRule="auto" w:line="360"/>
        <w:ind w:left="360" w:right="23" w:hanging="0"/>
        <w:rPr>
          <w:rFonts w:ascii="Arial Narrow" w:hAnsi="Arial Narrow" w:cs="Calibri"/>
          <w:sz w:val="22"/>
          <w:szCs w:val="22"/>
        </w:rPr>
      </w:pPr>
      <w:r>
        <w:rPr>
          <w:rFonts w:cs="Calibri" w:ascii="Arial Narrow" w:hAnsi="Arial Narrow"/>
          <w:sz w:val="22"/>
          <w:szCs w:val="22"/>
        </w:rPr>
        <w:t>2.2.  La hiérarchie des rémunérations</w:t>
      </w:r>
    </w:p>
    <w:p>
      <w:pPr>
        <w:pStyle w:val="Normal"/>
        <w:tabs>
          <w:tab w:val="left" w:pos="900" w:leader="none"/>
        </w:tabs>
        <w:spacing w:lineRule="auto" w:line="360"/>
        <w:ind w:right="23" w:hanging="0"/>
        <w:rPr>
          <w:rFonts w:ascii="Arial Narrow" w:hAnsi="Arial Narrow" w:cs="Calibri"/>
          <w:sz w:val="22"/>
          <w:szCs w:val="22"/>
        </w:rPr>
      </w:pPr>
      <w:r>
        <w:rPr>
          <w:rFonts w:cs="Calibri" w:ascii="Arial Narrow" w:hAnsi="Arial Narrow"/>
          <w:sz w:val="22"/>
          <w:szCs w:val="22"/>
        </w:rPr>
        <w:t xml:space="preserve">3. </w:t>
      </w:r>
      <w:r>
        <w:rPr>
          <w:rFonts w:cs="Calibri" w:ascii="Arial Narrow" w:hAnsi="Arial Narrow"/>
          <w:b/>
          <w:sz w:val="22"/>
          <w:szCs w:val="22"/>
        </w:rPr>
        <w:t>LES AUTRES CONDITIONS DE TRAVAIL</w:t>
      </w:r>
    </w:p>
    <w:p>
      <w:pPr>
        <w:pStyle w:val="Normal"/>
        <w:spacing w:lineRule="auto" w:line="360"/>
        <w:ind w:left="360" w:right="23" w:hanging="0"/>
        <w:rPr>
          <w:rFonts w:ascii="Arial Narrow" w:hAnsi="Arial Narrow" w:cs="Calibri"/>
          <w:sz w:val="22"/>
          <w:szCs w:val="22"/>
        </w:rPr>
      </w:pPr>
      <w:r>
        <w:rPr>
          <w:rFonts w:cs="Calibri" w:ascii="Arial Narrow" w:hAnsi="Arial Narrow"/>
          <w:sz w:val="22"/>
          <w:szCs w:val="22"/>
        </w:rPr>
        <w:t>3.1. Les temps partiels</w:t>
      </w:r>
    </w:p>
    <w:p>
      <w:pPr>
        <w:pStyle w:val="Normal"/>
        <w:spacing w:lineRule="auto" w:line="360"/>
        <w:ind w:left="360" w:right="23" w:hanging="0"/>
        <w:rPr>
          <w:rFonts w:ascii="Arial Narrow" w:hAnsi="Arial Narrow" w:cs="Calibri"/>
          <w:sz w:val="22"/>
          <w:szCs w:val="22"/>
        </w:rPr>
      </w:pPr>
      <w:r>
        <w:rPr>
          <w:rFonts w:cs="Calibri" w:ascii="Arial Narrow" w:hAnsi="Arial Narrow"/>
          <w:sz w:val="22"/>
          <w:szCs w:val="22"/>
        </w:rPr>
        <w:t>3.2. Les horaires décalés</w:t>
      </w:r>
    </w:p>
    <w:p>
      <w:pPr>
        <w:pStyle w:val="Normal"/>
        <w:spacing w:lineRule="auto" w:line="360"/>
        <w:ind w:left="360" w:right="23" w:hanging="0"/>
        <w:rPr>
          <w:rFonts w:ascii="Arial Narrow" w:hAnsi="Arial Narrow" w:cs="Calibri"/>
          <w:sz w:val="22"/>
          <w:szCs w:val="22"/>
        </w:rPr>
      </w:pPr>
      <w:r>
        <w:rPr>
          <w:rFonts w:cs="Calibri" w:ascii="Arial Narrow" w:hAnsi="Arial Narrow"/>
          <w:sz w:val="22"/>
          <w:szCs w:val="22"/>
        </w:rPr>
        <w:t>3.2. RTT/astreintes /frais de transport</w:t>
      </w:r>
    </w:p>
    <w:p>
      <w:pPr>
        <w:pStyle w:val="Normal"/>
        <w:tabs>
          <w:tab w:val="left" w:pos="900" w:leader="none"/>
        </w:tabs>
        <w:spacing w:lineRule="auto" w:line="360"/>
        <w:ind w:right="23" w:hanging="0"/>
        <w:rPr/>
      </w:pPr>
      <w:r>
        <w:rPr>
          <w:rFonts w:cs="Calibri" w:ascii="Arial Narrow" w:hAnsi="Arial Narrow"/>
          <w:sz w:val="22"/>
          <w:szCs w:val="22"/>
        </w:rPr>
        <w:t xml:space="preserve">4 </w:t>
      </w:r>
      <w:r>
        <w:rPr>
          <w:rFonts w:cs="Calibri" w:ascii="Arial Narrow" w:hAnsi="Arial Narrow"/>
          <w:b/>
          <w:sz w:val="22"/>
          <w:szCs w:val="22"/>
        </w:rPr>
        <w:t>LES ABSENCES</w:t>
      </w:r>
    </w:p>
    <w:p>
      <w:pPr>
        <w:pStyle w:val="Normal"/>
        <w:spacing w:lineRule="auto" w:line="360"/>
        <w:ind w:left="360" w:hanging="0"/>
        <w:rPr/>
      </w:pPr>
      <w:r>
        <w:rPr>
          <w:rFonts w:cs="Calibri" w:ascii="Arial Narrow" w:hAnsi="Arial Narrow"/>
          <w:sz w:val="22"/>
          <w:szCs w:val="22"/>
        </w:rPr>
        <w:t>4.1. Ensemble des absences</w:t>
        <w:tab/>
        <w:tab/>
        <w:tab/>
      </w:r>
    </w:p>
    <w:p>
      <w:pPr>
        <w:pStyle w:val="Normal"/>
        <w:spacing w:lineRule="auto" w:line="360"/>
        <w:ind w:left="360" w:hanging="0"/>
        <w:rPr>
          <w:rFonts w:ascii="Arial Narrow" w:hAnsi="Arial Narrow" w:cs="Calibri"/>
          <w:sz w:val="22"/>
          <w:szCs w:val="22"/>
        </w:rPr>
      </w:pPr>
      <w:r>
        <w:rPr>
          <w:rFonts w:cs="Calibri" w:ascii="Arial Narrow" w:hAnsi="Arial Narrow"/>
          <w:sz w:val="22"/>
          <w:szCs w:val="22"/>
        </w:rPr>
        <w:t>4.2. Les arrêts maladie</w:t>
        <w:tab/>
        <w:tab/>
        <w:tab/>
        <w:tab/>
        <w:tab/>
      </w:r>
    </w:p>
    <w:p>
      <w:pPr>
        <w:pStyle w:val="Normal"/>
        <w:spacing w:lineRule="auto" w:line="360"/>
        <w:ind w:left="360" w:hanging="0"/>
        <w:rPr>
          <w:rFonts w:ascii="Arial Narrow" w:hAnsi="Arial Narrow" w:cs="Calibri"/>
          <w:sz w:val="22"/>
          <w:szCs w:val="22"/>
        </w:rPr>
      </w:pPr>
      <w:r>
        <w:rPr>
          <w:rFonts w:cs="Calibri" w:ascii="Arial Narrow" w:hAnsi="Arial Narrow"/>
          <w:sz w:val="22"/>
          <w:szCs w:val="22"/>
        </w:rPr>
        <w:t>4.3. Le coût des absences</w:t>
        <w:tab/>
        <w:tab/>
        <w:tab/>
        <w:tab/>
        <w:tab/>
      </w:r>
    </w:p>
    <w:p>
      <w:pPr>
        <w:pStyle w:val="Normal"/>
        <w:tabs>
          <w:tab w:val="left" w:pos="900" w:leader="none"/>
        </w:tabs>
        <w:spacing w:lineRule="auto" w:line="360"/>
        <w:ind w:right="23" w:hanging="0"/>
        <w:rPr/>
      </w:pPr>
      <w:r>
        <w:rPr>
          <w:rFonts w:cs="Calibri" w:ascii="Arial Narrow" w:hAnsi="Arial Narrow"/>
          <w:sz w:val="22"/>
          <w:szCs w:val="22"/>
        </w:rPr>
        <w:t xml:space="preserve">5 </w:t>
      </w:r>
      <w:r>
        <w:rPr>
          <w:rFonts w:cs="Calibri" w:ascii="Arial Narrow" w:hAnsi="Arial Narrow"/>
          <w:b/>
          <w:sz w:val="22"/>
          <w:szCs w:val="22"/>
        </w:rPr>
        <w:t>HYGIENE ET DE SECURITE</w:t>
      </w:r>
    </w:p>
    <w:p>
      <w:pPr>
        <w:pStyle w:val="Normal"/>
        <w:spacing w:lineRule="auto" w:line="360"/>
        <w:ind w:right="23" w:firstLine="360"/>
        <w:rPr>
          <w:rFonts w:ascii="Arial Narrow" w:hAnsi="Arial Narrow" w:cs="Calibri"/>
          <w:sz w:val="22"/>
          <w:szCs w:val="22"/>
        </w:rPr>
      </w:pPr>
      <w:r>
        <w:rPr>
          <w:rFonts w:cs="Calibri" w:ascii="Arial Narrow" w:hAnsi="Arial Narrow"/>
          <w:sz w:val="22"/>
          <w:szCs w:val="22"/>
        </w:rPr>
        <w:t>5.1. Les accidents de travail et maladie professionnelle</w:t>
      </w:r>
    </w:p>
    <w:p>
      <w:pPr>
        <w:pStyle w:val="Normal"/>
        <w:spacing w:lineRule="auto" w:line="360"/>
        <w:ind w:right="23" w:firstLine="360"/>
        <w:rPr>
          <w:rFonts w:ascii="Arial Narrow" w:hAnsi="Arial Narrow" w:cs="Calibri"/>
          <w:sz w:val="22"/>
          <w:szCs w:val="22"/>
        </w:rPr>
      </w:pPr>
      <w:r>
        <w:rPr>
          <w:rFonts w:cs="Calibri" w:ascii="Arial Narrow" w:hAnsi="Arial Narrow"/>
          <w:sz w:val="22"/>
          <w:szCs w:val="22"/>
        </w:rPr>
        <w:t>5.2. Les examens et coûts médicaux</w:t>
      </w:r>
    </w:p>
    <w:p>
      <w:pPr>
        <w:pStyle w:val="Normal"/>
        <w:spacing w:lineRule="auto" w:line="360"/>
        <w:ind w:left="360" w:right="23" w:hanging="0"/>
        <w:rPr>
          <w:rFonts w:ascii="Arial Narrow" w:hAnsi="Arial Narrow" w:cs="Calibri"/>
          <w:sz w:val="22"/>
          <w:szCs w:val="22"/>
        </w:rPr>
      </w:pPr>
      <w:r>
        <w:rPr>
          <w:rFonts w:cs="Calibri" w:ascii="Arial Narrow" w:hAnsi="Arial Narrow"/>
          <w:sz w:val="22"/>
          <w:szCs w:val="22"/>
        </w:rPr>
        <w:t>5.3. L’insertion des travailleurs handicapés</w:t>
      </w:r>
    </w:p>
    <w:p>
      <w:pPr>
        <w:pStyle w:val="Normal"/>
        <w:spacing w:lineRule="auto" w:line="360"/>
        <w:ind w:left="360" w:right="23" w:hanging="0"/>
        <w:rPr>
          <w:rFonts w:ascii="Arial Narrow" w:hAnsi="Arial Narrow" w:cs="Calibri"/>
          <w:sz w:val="22"/>
          <w:szCs w:val="22"/>
        </w:rPr>
      </w:pPr>
      <w:r>
        <w:rPr>
          <w:rFonts w:cs="Calibri" w:ascii="Arial Narrow" w:hAnsi="Arial Narrow"/>
          <w:sz w:val="22"/>
          <w:szCs w:val="22"/>
        </w:rPr>
      </w:r>
    </w:p>
    <w:p>
      <w:pPr>
        <w:pStyle w:val="Normal"/>
        <w:tabs>
          <w:tab w:val="left" w:pos="900" w:leader="none"/>
        </w:tabs>
        <w:spacing w:lineRule="auto" w:line="360"/>
        <w:ind w:right="23" w:hanging="0"/>
        <w:rPr>
          <w:rFonts w:ascii="Arial Narrow" w:hAnsi="Arial Narrow" w:cs="Calibri"/>
          <w:sz w:val="22"/>
          <w:szCs w:val="22"/>
        </w:rPr>
      </w:pPr>
      <w:r>
        <w:rPr>
          <w:rFonts w:cs="Calibri" w:ascii="Arial Narrow" w:hAnsi="Arial Narrow"/>
          <w:sz w:val="22"/>
          <w:szCs w:val="22"/>
        </w:rPr>
        <w:t>6.</w:t>
      </w:r>
      <w:r>
        <w:rPr>
          <w:rFonts w:cs="Calibri" w:ascii="Arial Narrow" w:hAnsi="Arial Narrow"/>
          <w:b/>
          <w:sz w:val="22"/>
          <w:szCs w:val="22"/>
        </w:rPr>
        <w:t>LE DEVELOPPEMENT DES COMPETENCES</w:t>
      </w:r>
    </w:p>
    <w:p>
      <w:pPr>
        <w:pStyle w:val="Normal"/>
        <w:tabs>
          <w:tab w:val="left" w:pos="360" w:leader="none"/>
        </w:tabs>
        <w:spacing w:lineRule="auto" w:line="360"/>
        <w:rPr>
          <w:rFonts w:ascii="Arial Narrow" w:hAnsi="Arial Narrow" w:cs="Calibri"/>
          <w:sz w:val="22"/>
          <w:szCs w:val="22"/>
        </w:rPr>
      </w:pPr>
      <w:r>
        <w:rPr>
          <w:rFonts w:cs="Calibri" w:ascii="Arial Narrow" w:hAnsi="Arial Narrow"/>
          <w:sz w:val="22"/>
          <w:szCs w:val="22"/>
        </w:rPr>
        <w:tab/>
        <w:t>6.1. La formation professionnelle</w:t>
      </w:r>
    </w:p>
    <w:p>
      <w:pPr>
        <w:pStyle w:val="Normal"/>
        <w:tabs>
          <w:tab w:val="left" w:pos="900" w:leader="none"/>
        </w:tabs>
        <w:spacing w:lineRule="auto" w:line="360"/>
        <w:ind w:right="23" w:hanging="0"/>
        <w:rPr>
          <w:rFonts w:ascii="Arial Narrow" w:hAnsi="Arial Narrow" w:cs="Calibri"/>
          <w:sz w:val="22"/>
          <w:szCs w:val="22"/>
        </w:rPr>
      </w:pPr>
      <w:r>
        <w:rPr>
          <w:rFonts w:cs="Calibri" w:ascii="Arial Narrow" w:hAnsi="Arial Narrow"/>
          <w:sz w:val="22"/>
          <w:szCs w:val="22"/>
        </w:rPr>
        <w:t>7.</w:t>
      </w:r>
      <w:r>
        <w:rPr>
          <w:rFonts w:cs="Calibri" w:ascii="Arial Narrow" w:hAnsi="Arial Narrow"/>
          <w:b/>
          <w:sz w:val="22"/>
          <w:szCs w:val="22"/>
        </w:rPr>
        <w:t>LES RELATIONS PROFESSIONNELLES</w:t>
      </w:r>
    </w:p>
    <w:p>
      <w:pPr>
        <w:pStyle w:val="Normal"/>
        <w:ind w:right="848" w:hanging="0"/>
        <w:jc w:val="both"/>
        <w:rPr/>
      </w:pPr>
      <w:r>
        <w:rPr>
          <w:rFonts w:eastAsia="Arial Narrow" w:cs="Arial Narrow" w:ascii="Arial Narrow" w:hAnsi="Arial Narrow"/>
          <w:sz w:val="22"/>
          <w:szCs w:val="22"/>
        </w:rPr>
        <w:t xml:space="preserve">       </w:t>
      </w:r>
      <w:r>
        <w:rPr>
          <w:rFonts w:cs="Calibri" w:ascii="Arial Narrow" w:hAnsi="Arial Narrow"/>
          <w:sz w:val="22"/>
          <w:szCs w:val="22"/>
        </w:rPr>
        <w:t>7.1. Les représentants du personnel</w:t>
      </w:r>
    </w:p>
    <w:p>
      <w:pPr>
        <w:pStyle w:val="Normal"/>
        <w:ind w:right="848" w:hanging="0"/>
        <w:jc w:val="both"/>
        <w:rPr>
          <w:rFonts w:ascii="Arial Narrow" w:hAnsi="Arial Narrow" w:cs="Calibri"/>
          <w:sz w:val="22"/>
          <w:szCs w:val="22"/>
        </w:rPr>
      </w:pPr>
      <w:r>
        <w:rPr>
          <w:rFonts w:cs="Calibri" w:ascii="Arial Narrow" w:hAnsi="Arial Narrow"/>
          <w:sz w:val="22"/>
          <w:szCs w:val="22"/>
        </w:rPr>
      </w:r>
    </w:p>
    <w:p>
      <w:pPr>
        <w:pStyle w:val="TextBodyIndent"/>
        <w:tabs>
          <w:tab w:val="left" w:pos="0" w:leader="none"/>
        </w:tabs>
        <w:ind w:left="0" w:hanging="0"/>
        <w:rPr/>
      </w:pPr>
      <w:r>
        <w:rPr>
          <w:rFonts w:cs="Calibri"/>
          <w:sz w:val="22"/>
          <w:szCs w:val="22"/>
        </w:rPr>
        <w:t>L’Association ADALEA appliquera les Accords Collectifs à l’ensemble des salariés signataires d’un contrat de travail avec l’Association. Les Accords Collectifs, les conditions de rémunération, de reprise d’ancienneté seront présentées à tout nouveau salarié.</w:t>
      </w:r>
    </w:p>
    <w:p>
      <w:pPr>
        <w:pStyle w:val="Normal"/>
        <w:tabs>
          <w:tab w:val="left" w:pos="-180" w:leader="none"/>
        </w:tabs>
        <w:ind w:left="540" w:hanging="0"/>
        <w:jc w:val="both"/>
        <w:rPr>
          <w:rFonts w:ascii="Arial Narrow" w:hAnsi="Arial Narrow" w:cs="Calibri"/>
          <w:sz w:val="22"/>
          <w:szCs w:val="22"/>
        </w:rPr>
      </w:pPr>
      <w:r>
        <w:rPr>
          <w:rFonts w:cs="Calibri" w:ascii="Arial Narrow" w:hAnsi="Arial Narrow"/>
          <w:sz w:val="22"/>
          <w:szCs w:val="22"/>
        </w:rPr>
      </w:r>
    </w:p>
    <w:p>
      <w:pPr>
        <w:pStyle w:val="Normal"/>
        <w:tabs>
          <w:tab w:val="left" w:pos="0" w:leader="none"/>
        </w:tabs>
        <w:jc w:val="both"/>
        <w:rPr>
          <w:rFonts w:ascii="Arial Narrow" w:hAnsi="Arial Narrow" w:cs="Calibri"/>
          <w:bCs/>
          <w:sz w:val="22"/>
          <w:szCs w:val="22"/>
        </w:rPr>
      </w:pPr>
      <w:r>
        <w:rPr>
          <w:rFonts w:cs="Calibri" w:ascii="Arial Narrow" w:hAnsi="Arial Narrow"/>
          <w:bCs/>
          <w:sz w:val="22"/>
          <w:szCs w:val="22"/>
        </w:rPr>
        <w:t>Le recours aux contrats aidés </w:t>
      </w:r>
      <w:r>
        <w:rPr>
          <w:rFonts w:cs="Calibri" w:ascii="Arial Narrow" w:hAnsi="Arial Narrow"/>
          <w:sz w:val="22"/>
          <w:szCs w:val="22"/>
        </w:rPr>
        <w:t>(hors contrats d’insertion)</w:t>
      </w:r>
      <w:r>
        <w:rPr>
          <w:rFonts w:cs="Calibri" w:ascii="Arial Narrow" w:hAnsi="Arial Narrow"/>
          <w:b/>
          <w:bCs/>
          <w:sz w:val="22"/>
          <w:szCs w:val="22"/>
        </w:rPr>
        <w:t xml:space="preserve"> :</w:t>
      </w:r>
      <w:r>
        <w:rPr>
          <w:rFonts w:cs="Calibri" w:ascii="Arial Narrow" w:hAnsi="Arial Narrow"/>
          <w:bCs/>
          <w:sz w:val="22"/>
          <w:szCs w:val="22"/>
        </w:rPr>
        <w:t xml:space="preserve"> elle limitera le recours à ces contrats à 3 en 2019.</w:t>
      </w:r>
    </w:p>
    <w:p>
      <w:pPr>
        <w:pStyle w:val="Normal"/>
        <w:tabs>
          <w:tab w:val="left" w:pos="0" w:leader="none"/>
        </w:tabs>
        <w:jc w:val="both"/>
        <w:rPr>
          <w:rFonts w:ascii="Arial Narrow" w:hAnsi="Arial Narrow" w:cs="Calibri"/>
          <w:bCs/>
          <w:sz w:val="22"/>
          <w:szCs w:val="22"/>
        </w:rPr>
      </w:pPr>
      <w:r>
        <w:rPr>
          <w:rFonts w:cs="Calibri" w:ascii="Arial Narrow" w:hAnsi="Arial Narrow"/>
          <w:bCs/>
          <w:sz w:val="22"/>
          <w:szCs w:val="22"/>
        </w:rPr>
      </w:r>
    </w:p>
    <w:p>
      <w:pPr>
        <w:pStyle w:val="Normal"/>
        <w:tabs>
          <w:tab w:val="left" w:pos="0" w:leader="none"/>
        </w:tabs>
        <w:jc w:val="both"/>
        <w:rPr>
          <w:rFonts w:ascii="Arial Narrow" w:hAnsi="Arial Narrow" w:cs="Calibri"/>
          <w:bCs/>
          <w:sz w:val="22"/>
          <w:szCs w:val="22"/>
        </w:rPr>
      </w:pPr>
      <w:r>
        <w:rPr>
          <w:rFonts w:cs="Calibri" w:ascii="Arial Narrow" w:hAnsi="Arial Narrow"/>
          <w:bCs/>
          <w:sz w:val="22"/>
          <w:szCs w:val="22"/>
        </w:rPr>
      </w:r>
    </w:p>
    <w:p>
      <w:pPr>
        <w:pStyle w:val="Normal"/>
        <w:pBdr>
          <w:top w:val="single" w:sz="4" w:space="1" w:color="000000"/>
          <w:left w:val="single" w:sz="4" w:space="4" w:color="000000"/>
          <w:bottom w:val="single" w:sz="4" w:space="1" w:color="000000"/>
          <w:right w:val="single" w:sz="4" w:space="4" w:color="000000"/>
        </w:pBdr>
        <w:tabs>
          <w:tab w:val="left" w:pos="0" w:leader="none"/>
        </w:tabs>
        <w:jc w:val="both"/>
        <w:rPr>
          <w:rFonts w:ascii="Arial Narrow" w:hAnsi="Arial Narrow" w:cs="Calibri"/>
          <w:bCs/>
          <w:color w:val="FF0000"/>
          <w:sz w:val="22"/>
          <w:szCs w:val="22"/>
        </w:rPr>
      </w:pPr>
      <w:r>
        <w:rPr>
          <w:rFonts w:cs="Calibri" w:ascii="Arial Narrow" w:hAnsi="Arial Narrow"/>
          <w:bCs/>
          <w:color w:val="FF0000"/>
          <w:sz w:val="22"/>
          <w:szCs w:val="22"/>
        </w:rPr>
        <w:t>Concernant le dialogue social :</w:t>
      </w:r>
    </w:p>
    <w:p>
      <w:pPr>
        <w:pStyle w:val="Normal"/>
        <w:pBdr>
          <w:top w:val="single" w:sz="4" w:space="1" w:color="000000"/>
          <w:left w:val="single" w:sz="4" w:space="4" w:color="000000"/>
          <w:bottom w:val="single" w:sz="4" w:space="1" w:color="000000"/>
          <w:right w:val="single" w:sz="4" w:space="4" w:color="000000"/>
        </w:pBdr>
        <w:tabs>
          <w:tab w:val="left" w:pos="0" w:leader="none"/>
        </w:tabs>
        <w:jc w:val="both"/>
        <w:rPr>
          <w:rFonts w:ascii="Arial Narrow" w:hAnsi="Arial Narrow" w:cs="Calibri"/>
          <w:bCs/>
          <w:sz w:val="22"/>
          <w:szCs w:val="22"/>
        </w:rPr>
      </w:pPr>
      <w:r>
        <w:rPr>
          <w:rFonts w:cs="Arial" w:ascii="Arial Narrow" w:hAnsi="Arial Narrow"/>
          <w:b/>
          <w:sz w:val="22"/>
          <w:szCs w:val="22"/>
        </w:rPr>
        <w:t>Force Ouvrière</w:t>
      </w:r>
      <w:r>
        <w:rPr>
          <w:rFonts w:cs="Arial" w:ascii="Arial Narrow" w:hAnsi="Arial Narrow"/>
          <w:sz w:val="22"/>
          <w:szCs w:val="22"/>
        </w:rPr>
        <w:t> </w:t>
      </w:r>
      <w:r>
        <w:rPr>
          <w:rFonts w:cs="Calibri" w:ascii="Arial Narrow" w:hAnsi="Arial Narrow"/>
          <w:bCs/>
          <w:sz w:val="22"/>
          <w:szCs w:val="22"/>
        </w:rPr>
        <w:t>: Signature d’un accord pour la mise en place du CSE.</w:t>
      </w:r>
    </w:p>
    <w:p>
      <w:pPr>
        <w:pStyle w:val="Normal"/>
        <w:tabs>
          <w:tab w:val="left" w:pos="0" w:leader="none"/>
        </w:tabs>
        <w:jc w:val="both"/>
        <w:rPr>
          <w:rFonts w:ascii="Arial Narrow" w:hAnsi="Arial Narrow" w:cs="Calibri"/>
          <w:bCs/>
          <w:sz w:val="22"/>
          <w:szCs w:val="22"/>
        </w:rPr>
      </w:pPr>
      <w:r>
        <w:rPr>
          <w:rFonts w:cs="Calibri" w:ascii="Arial Narrow" w:hAnsi="Arial Narrow"/>
          <w:bCs/>
          <w:sz w:val="22"/>
          <w:szCs w:val="22"/>
        </w:rPr>
      </w:r>
    </w:p>
    <w:p>
      <w:pPr>
        <w:pStyle w:val="Normal"/>
        <w:jc w:val="both"/>
        <w:rPr>
          <w:rFonts w:ascii="Arial Narrow" w:hAnsi="Arial Narrow" w:cs="Calibri"/>
          <w:b/>
          <w:b/>
          <w:sz w:val="22"/>
          <w:szCs w:val="22"/>
          <w:u w:val="single"/>
        </w:rPr>
      </w:pPr>
      <w:r>
        <w:rPr>
          <w:rFonts w:cs="Calibri" w:ascii="Arial Narrow" w:hAnsi="Arial Narrow"/>
          <w:b/>
          <w:sz w:val="22"/>
          <w:szCs w:val="22"/>
          <w:u w:val="single"/>
        </w:rPr>
        <w:t>Réponse de l’employeur</w:t>
      </w:r>
    </w:p>
    <w:p>
      <w:pPr>
        <w:pStyle w:val="Normal"/>
        <w:tabs>
          <w:tab w:val="left" w:pos="0" w:leader="none"/>
        </w:tabs>
        <w:jc w:val="both"/>
        <w:rPr>
          <w:rFonts w:ascii="Arial Narrow" w:hAnsi="Arial Narrow" w:cs="Calibri"/>
          <w:b/>
          <w:b/>
          <w:bCs/>
          <w:sz w:val="22"/>
          <w:szCs w:val="22"/>
          <w:u w:val="single"/>
        </w:rPr>
      </w:pPr>
      <w:r>
        <w:rPr>
          <w:rFonts w:cs="Calibri" w:ascii="Arial Narrow" w:hAnsi="Arial Narrow"/>
          <w:b/>
          <w:bCs/>
          <w:sz w:val="22"/>
          <w:szCs w:val="22"/>
          <w:u w:val="single"/>
        </w:rPr>
      </w:r>
    </w:p>
    <w:p>
      <w:pPr>
        <w:pStyle w:val="Normal"/>
        <w:tabs>
          <w:tab w:val="left" w:pos="0" w:leader="none"/>
        </w:tabs>
        <w:jc w:val="both"/>
        <w:rPr>
          <w:rFonts w:ascii="Arial Narrow" w:hAnsi="Arial Narrow" w:cs="Calibri"/>
          <w:bCs/>
          <w:sz w:val="22"/>
          <w:szCs w:val="22"/>
        </w:rPr>
      </w:pPr>
      <w:r>
        <w:rPr>
          <w:rFonts w:cs="Calibri" w:ascii="Arial Narrow" w:hAnsi="Arial Narrow"/>
          <w:bCs/>
          <w:sz w:val="22"/>
          <w:szCs w:val="22"/>
        </w:rPr>
        <w:t>Un accord pour la mise en place du CSE sera travaillé et signé avec les organisations syndicales le 07 janvier 2019.</w:t>
      </w:r>
    </w:p>
    <w:p>
      <w:pPr>
        <w:pStyle w:val="Normal"/>
        <w:jc w:val="both"/>
        <w:rPr>
          <w:rFonts w:ascii="Arial Narrow" w:hAnsi="Arial Narrow" w:cs="Calibri"/>
          <w:b/>
          <w:b/>
          <w:bCs/>
          <w:sz w:val="22"/>
          <w:szCs w:val="22"/>
          <w:u w:val="single"/>
        </w:rPr>
      </w:pPr>
      <w:r>
        <w:rPr>
          <w:rFonts w:cs="Calibri" w:ascii="Arial Narrow" w:hAnsi="Arial Narrow"/>
          <w:b/>
          <w:bCs/>
          <w:sz w:val="22"/>
          <w:szCs w:val="22"/>
          <w:u w:val="single"/>
        </w:rPr>
      </w:r>
    </w:p>
    <w:p>
      <w:pPr>
        <w:pStyle w:val="Normal"/>
        <w:pBdr>
          <w:top w:val="single" w:sz="4" w:space="1" w:color="000000"/>
          <w:left w:val="single" w:sz="4" w:space="4" w:color="000000"/>
          <w:bottom w:val="single" w:sz="4" w:space="1" w:color="000000"/>
          <w:right w:val="single" w:sz="4" w:space="4" w:color="000000"/>
        </w:pBdr>
        <w:spacing w:lineRule="auto" w:line="256" w:before="0" w:after="160"/>
        <w:contextualSpacing/>
        <w:jc w:val="both"/>
        <w:rPr/>
      </w:pPr>
      <w:r>
        <w:rPr>
          <w:rFonts w:eastAsia="Calibri" w:cs="Arial Narrow" w:ascii="Arial Narrow" w:hAnsi="Arial Narrow"/>
          <w:color w:val="FF0000"/>
          <w:sz w:val="22"/>
          <w:szCs w:val="22"/>
          <w:lang w:eastAsia="en-US"/>
        </w:rPr>
        <w:t xml:space="preserve">En matière de prévention de l’allongement de la durée du travail, de la qualité de vie au travail, de la prévention des risques psychosociaux : </w:t>
      </w:r>
    </w:p>
    <w:p>
      <w:pPr>
        <w:pStyle w:val="Normal"/>
        <w:pBdr>
          <w:top w:val="single" w:sz="4" w:space="1" w:color="000000"/>
          <w:left w:val="single" w:sz="4" w:space="4" w:color="000000"/>
          <w:bottom w:val="single" w:sz="4" w:space="1" w:color="000000"/>
          <w:right w:val="single" w:sz="4" w:space="4" w:color="000000"/>
        </w:pBdr>
        <w:spacing w:lineRule="auto" w:line="256" w:before="0" w:after="160"/>
        <w:contextualSpacing/>
        <w:jc w:val="both"/>
        <w:rPr>
          <w:rFonts w:ascii="Arial Narrow" w:hAnsi="Arial Narrow" w:eastAsia="Calibri" w:cs="Arial Narrow"/>
          <w:color w:val="FF0000"/>
          <w:sz w:val="22"/>
          <w:szCs w:val="22"/>
          <w:lang w:eastAsia="en-US"/>
        </w:rPr>
      </w:pPr>
      <w:r>
        <w:rPr>
          <w:rFonts w:cs="Arial Narrow" w:ascii="Arial Narrow" w:hAnsi="Arial Narrow"/>
          <w:b/>
          <w:sz w:val="22"/>
          <w:szCs w:val="22"/>
        </w:rPr>
        <w:t>CFDT</w:t>
      </w:r>
      <w:r>
        <w:rPr>
          <w:rFonts w:cs="Arial Narrow" w:ascii="Arial Narrow" w:hAnsi="Arial Narrow"/>
          <w:sz w:val="22"/>
          <w:szCs w:val="22"/>
        </w:rPr>
        <w:t> : Il serait souhaitable que la mobilité interne et la montée en compétence du personnel soient des priorités. Il s'agirait de prendre en compte le souhait des salariés qui émettent dans le cadre de l'entretien biannuel, un désir de formation individuelle et qualifiante. Si des formations sont proposées et parfois même non demandées par les salariés, beaucoup de salariés voient par contre leur demande personnelle de qualification refusée et sont non soutenus dans leur désir de plus de professionnalisme (formation), de développement de carrière, de changement de statut au sein de l'association.</w:t>
      </w:r>
    </w:p>
    <w:p>
      <w:pPr>
        <w:pStyle w:val="Normal"/>
        <w:jc w:val="both"/>
        <w:rPr>
          <w:rFonts w:ascii="Arial Narrow" w:hAnsi="Arial Narrow" w:eastAsia="Calibri" w:cs="Calibri"/>
          <w:b/>
          <w:b/>
          <w:color w:val="FF0000"/>
          <w:sz w:val="22"/>
          <w:szCs w:val="22"/>
          <w:u w:val="single"/>
          <w:lang w:eastAsia="en-US"/>
        </w:rPr>
      </w:pPr>
      <w:r>
        <w:rPr>
          <w:rFonts w:eastAsia="Calibri" w:cs="Calibri" w:ascii="Arial Narrow" w:hAnsi="Arial Narrow"/>
          <w:b/>
          <w:color w:val="FF0000"/>
          <w:sz w:val="22"/>
          <w:szCs w:val="22"/>
          <w:u w:val="single"/>
          <w:lang w:eastAsia="en-US"/>
        </w:rPr>
      </w:r>
    </w:p>
    <w:p>
      <w:pPr>
        <w:pStyle w:val="Normal"/>
        <w:jc w:val="both"/>
        <w:rPr>
          <w:rFonts w:ascii="Arial Narrow" w:hAnsi="Arial Narrow" w:cs="Calibri"/>
          <w:b/>
          <w:b/>
          <w:sz w:val="22"/>
          <w:szCs w:val="22"/>
          <w:u w:val="single"/>
        </w:rPr>
      </w:pPr>
      <w:r>
        <w:rPr>
          <w:rFonts w:cs="Calibri" w:ascii="Arial Narrow" w:hAnsi="Arial Narrow"/>
          <w:b/>
          <w:sz w:val="22"/>
          <w:szCs w:val="22"/>
          <w:u w:val="single"/>
        </w:rPr>
        <w:t>Réponse de l’employeur</w:t>
      </w:r>
    </w:p>
    <w:p>
      <w:pPr>
        <w:pStyle w:val="Normal"/>
        <w:jc w:val="both"/>
        <w:rPr>
          <w:rFonts w:ascii="Arial Narrow" w:hAnsi="Arial Narrow" w:cs="Calibri"/>
          <w:sz w:val="22"/>
          <w:szCs w:val="22"/>
        </w:rPr>
      </w:pPr>
      <w:r>
        <w:rPr>
          <w:rFonts w:cs="Calibri" w:ascii="Arial Narrow" w:hAnsi="Arial Narrow"/>
          <w:sz w:val="22"/>
          <w:szCs w:val="22"/>
        </w:rPr>
        <w:t>L’association prend en compte les souhaits de mobilité interne puisque toutes les offres sont diffusées à l’interne et que les candidats internes qui postulent sur ces offres sont systématiquement retenus pour un entretien. Ainsi en 2017 et 2018, plusieurs professionnels des différents pôles ont bénéficié de cette mobilité interne et/ou obtenu une montée en compétence en fonction des postes proposés. Cette mobilité peut également s’inscrire à l’externe c’est aussi le choix de certains professionnels.</w:t>
      </w:r>
    </w:p>
    <w:p>
      <w:pPr>
        <w:pStyle w:val="Normal"/>
        <w:jc w:val="both"/>
        <w:rPr/>
      </w:pPr>
      <w:r>
        <w:rPr>
          <w:rFonts w:cs="Calibri" w:ascii="Arial Narrow" w:hAnsi="Arial Narrow"/>
          <w:sz w:val="22"/>
          <w:szCs w:val="22"/>
        </w:rPr>
        <w:t xml:space="preserve">Concernant le désir de formation individuelle et qualifiante, certains professionnels font part de ce souhait dans le cadre des entretiens professionnels mais ne le formalise pas systématiquement par une demande de formation dans le cadre du plan de formation. Ils engagent parfois cette formation hors temps de travail. L’association tient compte de la liberté qu’a chaque salarié de choisir son avenir professionnel. L’entretien professionnel se déroule tous les deux ans et fait l’objet d’un bilan complet à six ans avec les différentes actions proposées et mises en œuvre. Par ailleurs, il est rappelé que les demandes de formation individuelles et collectives sont traitées dans le cadre du plan de formation sur lequel les instances du personnel émettent un avis tous les ans. </w:t>
      </w:r>
    </w:p>
    <w:p>
      <w:pPr>
        <w:pStyle w:val="Normal"/>
        <w:jc w:val="both"/>
        <w:rPr>
          <w:rFonts w:ascii="Calibri" w:hAnsi="Calibri" w:cs="Calibri"/>
          <w:b/>
          <w:b/>
          <w:sz w:val="22"/>
          <w:szCs w:val="22"/>
          <w:u w:val="single"/>
        </w:rPr>
      </w:pPr>
      <w:r>
        <w:rPr>
          <w:rFonts w:cs="Calibri" w:ascii="Calibri" w:hAnsi="Calibri"/>
          <w:b/>
          <w:sz w:val="22"/>
          <w:szCs w:val="22"/>
          <w:u w:val="single"/>
        </w:rPr>
      </w:r>
    </w:p>
    <w:p>
      <w:pPr>
        <w:pStyle w:val="Normal"/>
        <w:pBdr>
          <w:top w:val="single" w:sz="4" w:space="1" w:color="000000"/>
          <w:left w:val="single" w:sz="4" w:space="4" w:color="000000"/>
          <w:bottom w:val="single" w:sz="4" w:space="1" w:color="000000"/>
          <w:right w:val="single" w:sz="4" w:space="4" w:color="000000"/>
        </w:pBdr>
        <w:autoSpaceDE w:val="false"/>
        <w:rPr>
          <w:rFonts w:ascii="Arial Narrow" w:hAnsi="Arial Narrow" w:cs="Arial"/>
          <w:color w:val="FF0000"/>
          <w:sz w:val="22"/>
          <w:szCs w:val="22"/>
        </w:rPr>
      </w:pPr>
      <w:r>
        <w:rPr>
          <w:rFonts w:cs="Arial" w:ascii="Arial Narrow" w:hAnsi="Arial Narrow"/>
          <w:color w:val="FF0000"/>
          <w:sz w:val="22"/>
          <w:szCs w:val="22"/>
        </w:rPr>
        <w:t xml:space="preserve">En matière de complémentaire santé et prévoyance : </w:t>
      </w:r>
    </w:p>
    <w:p>
      <w:pPr>
        <w:pStyle w:val="Normal"/>
        <w:pBdr>
          <w:top w:val="single" w:sz="4" w:space="1" w:color="000000"/>
          <w:left w:val="single" w:sz="4" w:space="4" w:color="000000"/>
          <w:bottom w:val="single" w:sz="4" w:space="1" w:color="000000"/>
          <w:right w:val="single" w:sz="4" w:space="4" w:color="000000"/>
        </w:pBdr>
        <w:autoSpaceDE w:val="false"/>
        <w:jc w:val="both"/>
        <w:rPr>
          <w:rFonts w:ascii="Arial Narrow" w:hAnsi="Arial Narrow" w:cs="Arial"/>
          <w:color w:val="000000"/>
          <w:sz w:val="22"/>
          <w:szCs w:val="22"/>
        </w:rPr>
      </w:pPr>
      <w:r>
        <w:rPr>
          <w:rFonts w:cs="Arial" w:ascii="Arial Narrow" w:hAnsi="Arial Narrow"/>
          <w:b/>
          <w:sz w:val="22"/>
          <w:szCs w:val="22"/>
        </w:rPr>
        <w:t>Force Ouvrière</w:t>
      </w:r>
      <w:r>
        <w:rPr>
          <w:rFonts w:cs="Arial" w:ascii="Arial Narrow" w:hAnsi="Arial Narrow"/>
          <w:sz w:val="22"/>
          <w:szCs w:val="22"/>
        </w:rPr>
        <w:t> : Point sur le contrat signé avec HUMANIS au 1er janvier 2017 pour la complémentaire santé (mutuelle obligatoire) : lors de la rencontre avec l’assureur en mars 2017, celui-ci nous a annoncé un excédent depuis la mise en place du contrat (Prestations / Cotisation positif). Nous souhaiterions échanger sur l'utilisation qui sera faite de cet excédent : diminution des cotisations ou augmentation des prestations ?</w:t>
      </w:r>
    </w:p>
    <w:p>
      <w:pPr>
        <w:pStyle w:val="Normal"/>
        <w:autoSpaceDE w:val="false"/>
        <w:rPr>
          <w:rFonts w:ascii="Arial Narrow" w:hAnsi="Arial Narrow" w:cs="Arial"/>
          <w:color w:val="000000"/>
          <w:sz w:val="22"/>
          <w:szCs w:val="22"/>
        </w:rPr>
      </w:pPr>
      <w:r>
        <w:rPr>
          <w:rFonts w:cs="Arial" w:ascii="Arial Narrow" w:hAnsi="Arial Narrow"/>
          <w:color w:val="000000"/>
          <w:sz w:val="22"/>
          <w:szCs w:val="22"/>
        </w:rPr>
      </w:r>
    </w:p>
    <w:p>
      <w:pPr>
        <w:pStyle w:val="Normal"/>
        <w:jc w:val="both"/>
        <w:rPr>
          <w:rFonts w:ascii="Arial Narrow" w:hAnsi="Arial Narrow" w:cs="Calibri"/>
          <w:b/>
          <w:b/>
          <w:sz w:val="22"/>
          <w:szCs w:val="22"/>
          <w:u w:val="single"/>
        </w:rPr>
      </w:pPr>
      <w:r>
        <w:rPr>
          <w:rFonts w:cs="Calibri" w:ascii="Arial Narrow" w:hAnsi="Arial Narrow"/>
          <w:b/>
          <w:sz w:val="22"/>
          <w:szCs w:val="22"/>
          <w:u w:val="single"/>
        </w:rPr>
        <w:t>Réponse de l’employeur</w:t>
      </w:r>
    </w:p>
    <w:p>
      <w:pPr>
        <w:pStyle w:val="Normal"/>
        <w:jc w:val="both"/>
        <w:rPr>
          <w:rFonts w:ascii="Arial Narrow" w:hAnsi="Arial Narrow" w:cs="Calibri"/>
          <w:b/>
          <w:b/>
          <w:sz w:val="22"/>
          <w:szCs w:val="22"/>
          <w:u w:val="single"/>
        </w:rPr>
      </w:pPr>
      <w:r>
        <w:rPr>
          <w:rFonts w:cs="Calibri" w:ascii="Arial Narrow" w:hAnsi="Arial Narrow"/>
          <w:b/>
          <w:sz w:val="22"/>
          <w:szCs w:val="22"/>
          <w:u w:val="single"/>
        </w:rPr>
      </w:r>
    </w:p>
    <w:p>
      <w:pPr>
        <w:pStyle w:val="Normal"/>
        <w:jc w:val="both"/>
        <w:rPr>
          <w:rFonts w:ascii="Arial Narrow" w:hAnsi="Arial Narrow" w:cs="Arial"/>
          <w:color w:val="000000"/>
          <w:sz w:val="22"/>
          <w:szCs w:val="22"/>
        </w:rPr>
      </w:pPr>
      <w:r>
        <w:rPr>
          <w:rFonts w:cs="Calibri" w:ascii="Arial Narrow" w:hAnsi="Arial Narrow"/>
          <w:sz w:val="22"/>
          <w:szCs w:val="22"/>
        </w:rPr>
        <w:t xml:space="preserve">Le contrat Vauban Humanis a été signé pour 2 ans soit jusqu’au 31 décembre 2018. Un échange a eu lieu avec notre assureur le 06 novembre 2018 en présence d’un membre de la Délégation Unique du Personnel. L’assureur nous a présenté l’état de notre situation qui est excédentaire et nous a indiqué que du fait de cet excédent nous ne subirions pas l’augmentation annuelle de la cotisation qui s’élevait à 5% pour 2019.  </w:t>
      </w:r>
    </w:p>
    <w:p>
      <w:pPr>
        <w:pStyle w:val="Normal"/>
        <w:autoSpaceDE w:val="false"/>
        <w:jc w:val="both"/>
        <w:rPr>
          <w:rFonts w:ascii="Arial Narrow" w:hAnsi="Arial Narrow" w:cs="Arial"/>
          <w:color w:val="000000"/>
          <w:sz w:val="22"/>
          <w:szCs w:val="22"/>
        </w:rPr>
      </w:pPr>
      <w:r>
        <w:rPr>
          <w:rFonts w:cs="Arial" w:ascii="Arial Narrow" w:hAnsi="Arial Narrow"/>
          <w:color w:val="000000"/>
          <w:sz w:val="22"/>
          <w:szCs w:val="22"/>
        </w:rPr>
      </w:r>
    </w:p>
    <w:p>
      <w:pPr>
        <w:pStyle w:val="Normal"/>
        <w:pBdr>
          <w:top w:val="single" w:sz="4" w:space="1" w:color="000000"/>
          <w:left w:val="single" w:sz="4" w:space="4" w:color="000000"/>
          <w:bottom w:val="single" w:sz="4" w:space="1" w:color="000000"/>
          <w:right w:val="single" w:sz="4" w:space="4" w:color="000000"/>
        </w:pBdr>
        <w:tabs>
          <w:tab w:val="left" w:pos="0" w:leader="none"/>
        </w:tabs>
        <w:jc w:val="both"/>
        <w:rPr>
          <w:rFonts w:ascii="Arial Narrow" w:hAnsi="Arial Narrow" w:cs="Calibri"/>
          <w:bCs/>
          <w:color w:val="FF0000"/>
          <w:sz w:val="22"/>
          <w:szCs w:val="22"/>
        </w:rPr>
      </w:pPr>
      <w:r>
        <w:rPr>
          <w:rFonts w:cs="Calibri" w:ascii="Arial Narrow" w:hAnsi="Arial Narrow"/>
          <w:bCs/>
          <w:color w:val="FF0000"/>
          <w:sz w:val="22"/>
          <w:szCs w:val="22"/>
        </w:rPr>
        <w:t>Concernant la formation professionnelle :</w:t>
      </w:r>
    </w:p>
    <w:p>
      <w:pPr>
        <w:pStyle w:val="Normal"/>
        <w:pBdr>
          <w:top w:val="single" w:sz="4" w:space="1" w:color="000000"/>
          <w:left w:val="single" w:sz="4" w:space="4" w:color="000000"/>
          <w:bottom w:val="single" w:sz="4" w:space="1" w:color="000000"/>
          <w:right w:val="single" w:sz="4" w:space="4" w:color="000000"/>
        </w:pBdr>
        <w:tabs>
          <w:tab w:val="left" w:pos="0" w:leader="none"/>
        </w:tabs>
        <w:jc w:val="both"/>
        <w:rPr/>
      </w:pPr>
      <w:r>
        <w:rPr>
          <w:rFonts w:cs="Arial" w:ascii="Arial Narrow" w:hAnsi="Arial Narrow"/>
          <w:b/>
          <w:sz w:val="22"/>
          <w:szCs w:val="22"/>
        </w:rPr>
        <w:t>Force Ouvrière</w:t>
      </w:r>
      <w:r>
        <w:rPr>
          <w:rFonts w:cs="Arial" w:ascii="Arial Narrow" w:hAnsi="Arial Narrow"/>
          <w:sz w:val="22"/>
          <w:szCs w:val="22"/>
        </w:rPr>
        <w:t> </w:t>
      </w:r>
      <w:r>
        <w:rPr>
          <w:rFonts w:cs="Calibri" w:ascii="Arial Narrow" w:hAnsi="Arial Narrow"/>
          <w:bCs/>
          <w:sz w:val="22"/>
          <w:szCs w:val="22"/>
        </w:rPr>
        <w:t>: possibilité pour les représentants du personnel de consulter l’outil de suivi des formations collectives interservices et des formations individuelles.</w:t>
      </w:r>
    </w:p>
    <w:p>
      <w:pPr>
        <w:pStyle w:val="Normal"/>
        <w:autoSpaceDE w:val="false"/>
        <w:jc w:val="both"/>
        <w:rPr>
          <w:rFonts w:ascii="Arial Narrow" w:hAnsi="Arial Narrow" w:cs="Arial"/>
          <w:bCs/>
          <w:sz w:val="22"/>
          <w:szCs w:val="22"/>
        </w:rPr>
      </w:pPr>
      <w:r>
        <w:rPr>
          <w:rFonts w:cs="Arial" w:ascii="Arial Narrow" w:hAnsi="Arial Narrow"/>
          <w:bCs/>
          <w:sz w:val="22"/>
          <w:szCs w:val="22"/>
        </w:rPr>
      </w:r>
    </w:p>
    <w:p>
      <w:pPr>
        <w:pStyle w:val="Normal"/>
        <w:jc w:val="both"/>
        <w:rPr>
          <w:rFonts w:ascii="Arial Narrow" w:hAnsi="Arial Narrow" w:cs="Calibri"/>
          <w:b/>
          <w:b/>
          <w:sz w:val="22"/>
          <w:szCs w:val="22"/>
          <w:u w:val="single"/>
        </w:rPr>
      </w:pPr>
      <w:r>
        <w:rPr>
          <w:rFonts w:cs="Calibri" w:ascii="Arial Narrow" w:hAnsi="Arial Narrow"/>
          <w:b/>
          <w:sz w:val="22"/>
          <w:szCs w:val="22"/>
          <w:u w:val="single"/>
        </w:rPr>
        <w:t>Réponse de l’employeur</w:t>
      </w:r>
    </w:p>
    <w:p>
      <w:pPr>
        <w:pStyle w:val="Normal"/>
        <w:autoSpaceDE w:val="false"/>
        <w:jc w:val="both"/>
        <w:rPr>
          <w:rFonts w:ascii="Arial Narrow" w:hAnsi="Arial Narrow" w:cs="Arial"/>
          <w:b/>
          <w:b/>
          <w:sz w:val="22"/>
          <w:szCs w:val="22"/>
          <w:u w:val="single"/>
        </w:rPr>
      </w:pPr>
      <w:r>
        <w:rPr>
          <w:rFonts w:cs="Arial" w:ascii="Arial Narrow" w:hAnsi="Arial Narrow"/>
          <w:b/>
          <w:sz w:val="22"/>
          <w:szCs w:val="22"/>
          <w:u w:val="single"/>
        </w:rPr>
      </w:r>
    </w:p>
    <w:p>
      <w:pPr>
        <w:pStyle w:val="Normal"/>
        <w:autoSpaceDE w:val="false"/>
        <w:jc w:val="both"/>
        <w:rPr>
          <w:rFonts w:ascii="Arial Narrow" w:hAnsi="Arial Narrow" w:cs="Arial"/>
          <w:sz w:val="22"/>
          <w:szCs w:val="22"/>
        </w:rPr>
      </w:pPr>
      <w:r>
        <w:rPr>
          <w:rFonts w:cs="Arial" w:ascii="Arial Narrow" w:hAnsi="Arial Narrow"/>
          <w:sz w:val="22"/>
          <w:szCs w:val="22"/>
        </w:rPr>
        <w:t>Les représentants du personnel auront la possibilité de consulter l’outil de suivi des formations collectives et des formations individuelles dans leur espace élus.</w:t>
      </w:r>
    </w:p>
    <w:p>
      <w:pPr>
        <w:pStyle w:val="Normal"/>
        <w:autoSpaceDE w:val="false"/>
        <w:jc w:val="both"/>
        <w:rPr>
          <w:rFonts w:ascii="Arial Narrow" w:hAnsi="Arial Narrow" w:cs="Arial"/>
          <w:sz w:val="22"/>
          <w:szCs w:val="22"/>
        </w:rPr>
      </w:pPr>
      <w:r>
        <w:rPr>
          <w:rFonts w:cs="Arial" w:ascii="Arial Narrow" w:hAnsi="Arial Narrow"/>
          <w:sz w:val="22"/>
          <w:szCs w:val="22"/>
        </w:rPr>
      </w:r>
    </w:p>
    <w:p>
      <w:pPr>
        <w:pStyle w:val="Normal"/>
        <w:autoSpaceDE w:val="false"/>
        <w:jc w:val="both"/>
        <w:rPr/>
      </w:pPr>
      <w:r>
        <w:rPr>
          <w:rFonts w:cs="Arial" w:ascii="Arial Narrow" w:hAnsi="Arial Narrow"/>
          <w:iCs/>
          <w:color w:val="FF0000"/>
          <w:sz w:val="22"/>
          <w:szCs w:val="22"/>
        </w:rPr>
        <w:t xml:space="preserve">En matière de salaires : </w:t>
      </w:r>
    </w:p>
    <w:p>
      <w:pPr>
        <w:pStyle w:val="Normal"/>
        <w:autoSpaceDE w:val="false"/>
        <w:jc w:val="both"/>
        <w:rPr>
          <w:rFonts w:ascii="Arial Narrow" w:hAnsi="Arial Narrow" w:cs="Arial"/>
          <w:i/>
          <w:i/>
          <w:sz w:val="22"/>
          <w:szCs w:val="22"/>
        </w:rPr>
      </w:pPr>
      <w:r>
        <w:rPr>
          <w:rFonts w:cs="Arial" w:ascii="Arial Narrow" w:hAnsi="Arial Narrow"/>
          <w:b/>
          <w:sz w:val="22"/>
          <w:szCs w:val="22"/>
          <w:u w:val="single"/>
        </w:rPr>
        <w:t>Proposition de l’employeur</w:t>
      </w:r>
      <w:r>
        <w:rPr>
          <w:rFonts w:cs="Arial" w:ascii="Arial Narrow" w:hAnsi="Arial Narrow"/>
          <w:b/>
          <w:sz w:val="22"/>
          <w:szCs w:val="22"/>
        </w:rPr>
        <w:t xml:space="preserve"> : </w:t>
      </w:r>
      <w:r>
        <w:rPr>
          <w:rFonts w:cs="Arial" w:ascii="Arial Narrow" w:hAnsi="Arial Narrow"/>
          <w:sz w:val="22"/>
          <w:szCs w:val="22"/>
        </w:rPr>
        <w:t xml:space="preserve">L'association applique la jurisprudence du 15 décembre 2004, notamment pour les congés maternité, à savoir que la CSG/CRDS sur IJSS reste à la charge du salarié. </w:t>
      </w:r>
    </w:p>
    <w:p>
      <w:pPr>
        <w:pStyle w:val="Normal"/>
        <w:autoSpaceDE w:val="false"/>
        <w:jc w:val="both"/>
        <w:rPr>
          <w:rFonts w:ascii="Arial Narrow" w:hAnsi="Arial Narrow" w:cs="Arial"/>
          <w:sz w:val="22"/>
          <w:szCs w:val="22"/>
        </w:rPr>
      </w:pPr>
      <w:r>
        <w:rPr>
          <w:rFonts w:cs="Arial" w:ascii="Arial Narrow" w:hAnsi="Arial Narrow"/>
          <w:sz w:val="22"/>
          <w:szCs w:val="22"/>
        </w:rPr>
        <w:t>Le salaire net maintenu est alors minoré par rapport au salaire net "habituel". La raison : La CSG/CRDS doit rester à la charge du salarié, l'entreprise ne supporte pas le poids des cotisations CSG/CRDS qui sont des cotisations à la charge exclusive du salarié. Il y a double déduction des contributions à la charge du salarié. Le net payé minoré dans ce cas est égal au net à payer habituel moins la CSG et CRDS des IJSS perçues.</w:t>
      </w:r>
    </w:p>
    <w:p>
      <w:pPr>
        <w:pStyle w:val="Normal"/>
        <w:autoSpaceDE w:val="false"/>
        <w:jc w:val="both"/>
        <w:rPr>
          <w:rFonts w:ascii="Arial Narrow" w:hAnsi="Arial Narrow" w:cs="Arial"/>
          <w:sz w:val="22"/>
          <w:szCs w:val="22"/>
        </w:rPr>
      </w:pPr>
      <w:r>
        <w:rPr>
          <w:rFonts w:cs="Arial" w:ascii="Arial Narrow" w:hAnsi="Arial Narrow"/>
          <w:sz w:val="22"/>
          <w:szCs w:val="22"/>
        </w:rPr>
        <w:t>L'association propose ne plus appliquer cette jurisprudence pour les salariés en congé maternité et de supporter la CSG/CRDS sur ces IJ maternité de la sécurité sociale en appliquant le maintien de salaire net habituel, neutralisant ainsi la perte de salaire pour les femmes durant leur congé maternité. Cette proposition est applicable au 1</w:t>
      </w:r>
      <w:r>
        <w:rPr>
          <w:rFonts w:cs="Arial" w:ascii="Arial Narrow" w:hAnsi="Arial Narrow"/>
          <w:sz w:val="22"/>
          <w:szCs w:val="22"/>
          <w:vertAlign w:val="superscript"/>
        </w:rPr>
        <w:t>er</w:t>
      </w:r>
      <w:r>
        <w:rPr>
          <w:rFonts w:cs="Arial" w:ascii="Arial Narrow" w:hAnsi="Arial Narrow"/>
          <w:sz w:val="22"/>
          <w:szCs w:val="22"/>
        </w:rPr>
        <w:t xml:space="preserve"> novembre 2018. </w:t>
      </w:r>
    </w:p>
    <w:p>
      <w:pPr>
        <w:pStyle w:val="Normal"/>
        <w:autoSpaceDE w:val="false"/>
        <w:jc w:val="both"/>
        <w:rPr>
          <w:rFonts w:ascii="Arial Narrow" w:hAnsi="Arial Narrow" w:cs="Arial"/>
          <w:sz w:val="22"/>
          <w:szCs w:val="22"/>
        </w:rPr>
      </w:pPr>
      <w:r>
        <w:rPr>
          <w:rFonts w:cs="Arial"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autoSpaceDE w:val="false"/>
        <w:jc w:val="both"/>
        <w:rPr>
          <w:rFonts w:ascii="Arial Narrow" w:hAnsi="Arial Narrow" w:cs="Arial"/>
          <w:color w:val="FF0000"/>
          <w:sz w:val="22"/>
          <w:szCs w:val="22"/>
        </w:rPr>
      </w:pPr>
      <w:r>
        <w:rPr>
          <w:rFonts w:cs="Arial" w:ascii="Arial Narrow" w:hAnsi="Arial Narrow"/>
          <w:color w:val="FF0000"/>
          <w:sz w:val="22"/>
          <w:szCs w:val="22"/>
        </w:rPr>
        <w:t xml:space="preserve">En matière d’amélioration des conditions de travail : </w:t>
      </w:r>
    </w:p>
    <w:p>
      <w:pPr>
        <w:pStyle w:val="Normal"/>
        <w:pBdr>
          <w:top w:val="single" w:sz="4" w:space="1" w:color="000000"/>
          <w:left w:val="single" w:sz="4" w:space="4" w:color="000000"/>
          <w:bottom w:val="single" w:sz="4" w:space="1" w:color="000000"/>
          <w:right w:val="single" w:sz="4" w:space="4" w:color="000000"/>
        </w:pBdr>
        <w:autoSpaceDE w:val="false"/>
        <w:jc w:val="both"/>
        <w:rPr>
          <w:rFonts w:ascii="Arial Narrow" w:hAnsi="Arial Narrow" w:cs="Arial"/>
          <w:color w:val="000000"/>
          <w:sz w:val="22"/>
          <w:szCs w:val="22"/>
        </w:rPr>
      </w:pPr>
      <w:r>
        <w:rPr>
          <w:rFonts w:cs="Arial" w:ascii="Arial Narrow" w:hAnsi="Arial Narrow"/>
          <w:b/>
          <w:sz w:val="22"/>
          <w:szCs w:val="22"/>
        </w:rPr>
        <w:t>Force Ouvrière</w:t>
      </w:r>
      <w:r>
        <w:rPr>
          <w:rFonts w:cs="Arial" w:ascii="Arial Narrow" w:hAnsi="Arial Narrow"/>
          <w:sz w:val="22"/>
          <w:szCs w:val="22"/>
        </w:rPr>
        <w:t> </w:t>
      </w:r>
      <w:r>
        <w:rPr>
          <w:rFonts w:cs="Calibri" w:ascii="Arial Narrow" w:hAnsi="Arial Narrow"/>
          <w:bCs/>
          <w:sz w:val="22"/>
          <w:szCs w:val="22"/>
        </w:rPr>
        <w:t>:</w:t>
      </w:r>
    </w:p>
    <w:p>
      <w:pPr>
        <w:pStyle w:val="Normal"/>
        <w:pBdr>
          <w:top w:val="single" w:sz="4" w:space="1" w:color="000000"/>
          <w:left w:val="single" w:sz="4" w:space="4" w:color="000000"/>
          <w:bottom w:val="single" w:sz="4" w:space="1" w:color="000000"/>
          <w:right w:val="single" w:sz="4" w:space="4" w:color="000000"/>
        </w:pBdr>
        <w:autoSpaceDE w:val="false"/>
        <w:jc w:val="both"/>
        <w:rPr/>
      </w:pPr>
      <w:r>
        <w:rPr>
          <w:rFonts w:cs="Arial" w:ascii="Arial Narrow" w:hAnsi="Arial Narrow"/>
          <w:color w:val="000000"/>
          <w:sz w:val="22"/>
          <w:szCs w:val="22"/>
        </w:rPr>
        <w:t>a. Afin de favoriser la conciliation entre la vie privée et familiale nous demandons à échanger sur l’organisation de la prise de congé parental, notamment pour les salariés soumis à modulation.</w:t>
      </w:r>
    </w:p>
    <w:p>
      <w:pPr>
        <w:pStyle w:val="Normal"/>
        <w:pBdr>
          <w:top w:val="single" w:sz="4" w:space="1" w:color="000000"/>
          <w:left w:val="single" w:sz="4" w:space="4" w:color="000000"/>
          <w:bottom w:val="single" w:sz="4" w:space="1" w:color="000000"/>
          <w:right w:val="single" w:sz="4" w:space="4" w:color="000000"/>
        </w:pBdr>
        <w:autoSpaceDE w:val="false"/>
        <w:jc w:val="both"/>
        <w:rPr>
          <w:rFonts w:ascii="Arial Narrow" w:hAnsi="Arial Narrow" w:cs="Arial"/>
          <w:color w:val="000000"/>
          <w:sz w:val="22"/>
          <w:szCs w:val="22"/>
        </w:rPr>
      </w:pPr>
      <w:r>
        <w:rPr>
          <w:rFonts w:cs="Arial" w:ascii="Arial Narrow" w:hAnsi="Arial Narrow"/>
          <w:color w:val="000000"/>
          <w:sz w:val="22"/>
          <w:szCs w:val="22"/>
        </w:rPr>
        <w:t>Comment prendre le congé parental ?</w:t>
      </w:r>
    </w:p>
    <w:p>
      <w:pPr>
        <w:pStyle w:val="Normal"/>
        <w:pBdr>
          <w:top w:val="single" w:sz="4" w:space="1" w:color="000000"/>
          <w:left w:val="single" w:sz="4" w:space="4" w:color="000000"/>
          <w:bottom w:val="single" w:sz="4" w:space="1" w:color="000000"/>
          <w:right w:val="single" w:sz="4" w:space="4" w:color="000000"/>
        </w:pBdr>
        <w:autoSpaceDE w:val="false"/>
        <w:jc w:val="both"/>
        <w:rPr>
          <w:rFonts w:ascii="Arial Narrow" w:hAnsi="Arial Narrow" w:cs="Arial"/>
          <w:color w:val="000000"/>
          <w:sz w:val="22"/>
          <w:szCs w:val="22"/>
        </w:rPr>
      </w:pPr>
      <w:r>
        <w:rPr>
          <w:rFonts w:cs="Arial" w:ascii="Arial Narrow" w:hAnsi="Arial Narrow"/>
          <w:color w:val="000000"/>
          <w:sz w:val="22"/>
          <w:szCs w:val="22"/>
        </w:rPr>
        <w:t xml:space="preserve">Deux modalités de congé parental existent : </w:t>
      </w:r>
    </w:p>
    <w:p>
      <w:pPr>
        <w:pStyle w:val="Normal"/>
        <w:pBdr>
          <w:top w:val="single" w:sz="4" w:space="1" w:color="000000"/>
          <w:left w:val="single" w:sz="4" w:space="4" w:color="000000"/>
          <w:bottom w:val="single" w:sz="4" w:space="1" w:color="000000"/>
          <w:right w:val="single" w:sz="4" w:space="4" w:color="000000"/>
        </w:pBdr>
        <w:autoSpaceDE w:val="false"/>
        <w:jc w:val="both"/>
        <w:rPr>
          <w:rFonts w:ascii="Arial Narrow" w:hAnsi="Arial Narrow" w:cs="Arial"/>
          <w:color w:val="000000"/>
          <w:sz w:val="22"/>
          <w:szCs w:val="22"/>
        </w:rPr>
      </w:pPr>
      <w:r>
        <w:rPr>
          <w:rFonts w:cs="Arial" w:ascii="Arial Narrow" w:hAnsi="Arial Narrow"/>
          <w:color w:val="000000"/>
          <w:sz w:val="22"/>
          <w:szCs w:val="22"/>
        </w:rPr>
        <w:t>1. le congé total, durant lequel le contrat de travail est suspendu ;</w:t>
      </w:r>
    </w:p>
    <w:p>
      <w:pPr>
        <w:pStyle w:val="Normal"/>
        <w:pBdr>
          <w:top w:val="single" w:sz="4" w:space="1" w:color="000000"/>
          <w:left w:val="single" w:sz="4" w:space="4" w:color="000000"/>
          <w:bottom w:val="single" w:sz="4" w:space="1" w:color="000000"/>
          <w:right w:val="single" w:sz="4" w:space="4" w:color="000000"/>
        </w:pBdr>
        <w:autoSpaceDE w:val="false"/>
        <w:jc w:val="both"/>
        <w:rPr/>
      </w:pPr>
      <w:r>
        <w:rPr>
          <w:rFonts w:cs="Arial" w:ascii="Arial Narrow" w:hAnsi="Arial Narrow"/>
          <w:color w:val="000000"/>
          <w:sz w:val="22"/>
          <w:szCs w:val="22"/>
        </w:rPr>
        <w:t>2. le travail à temps partiel : la durée doit être d’au moins 16 heures par semaine. Le (la) salarié(e) peut choisir la durée du travail qui convient, en revanche, la répartition des horaires doit être fixée en accord avec l’employeur.</w:t>
      </w:r>
    </w:p>
    <w:p>
      <w:pPr>
        <w:pStyle w:val="Normal"/>
        <w:pBdr>
          <w:top w:val="single" w:sz="4" w:space="1" w:color="000000"/>
          <w:left w:val="single" w:sz="4" w:space="4" w:color="000000"/>
          <w:bottom w:val="single" w:sz="4" w:space="1" w:color="000000"/>
          <w:right w:val="single" w:sz="4" w:space="4" w:color="000000"/>
        </w:pBdr>
        <w:autoSpaceDE w:val="false"/>
        <w:jc w:val="both"/>
        <w:rPr>
          <w:rFonts w:ascii="Arial Narrow" w:hAnsi="Arial Narrow" w:cs="Arial"/>
          <w:color w:val="000000"/>
          <w:sz w:val="22"/>
          <w:szCs w:val="22"/>
        </w:rPr>
      </w:pPr>
      <w:r>
        <w:rPr>
          <w:rFonts w:cs="Arial" w:ascii="Arial Narrow" w:hAnsi="Arial Narrow"/>
          <w:color w:val="000000"/>
          <w:sz w:val="22"/>
          <w:szCs w:val="22"/>
        </w:rPr>
      </w:r>
    </w:p>
    <w:p>
      <w:pPr>
        <w:pStyle w:val="Normal"/>
        <w:pBdr>
          <w:top w:val="single" w:sz="4" w:space="1" w:color="000000"/>
          <w:left w:val="single" w:sz="4" w:space="4" w:color="000000"/>
          <w:bottom w:val="single" w:sz="4" w:space="1" w:color="000000"/>
          <w:right w:val="single" w:sz="4" w:space="4" w:color="000000"/>
        </w:pBdr>
        <w:autoSpaceDE w:val="false"/>
        <w:jc w:val="both"/>
        <w:rPr>
          <w:rFonts w:ascii="Arial Narrow" w:hAnsi="Arial Narrow" w:cs="Arial"/>
          <w:color w:val="000000"/>
          <w:sz w:val="22"/>
          <w:szCs w:val="22"/>
        </w:rPr>
      </w:pPr>
      <w:r>
        <w:rPr>
          <w:rFonts w:cs="Arial" w:ascii="Arial Narrow" w:hAnsi="Arial Narrow"/>
          <w:color w:val="000000"/>
          <w:sz w:val="22"/>
          <w:szCs w:val="22"/>
        </w:rPr>
        <w:t xml:space="preserve">b. Dans le protocole d’accord de la NAO 2014, il est accordé 3h par salarié/par an pour participer aux examens de prévention. Nous souhaitons que ce temps puisse également être accordé à 3 heures par examen si plusieurs examens sont préconisés sur une année. </w:t>
      </w:r>
    </w:p>
    <w:p>
      <w:pPr>
        <w:pStyle w:val="Normal"/>
        <w:jc w:val="both"/>
        <w:rPr>
          <w:rFonts w:ascii="Arial Narrow" w:hAnsi="Arial Narrow" w:cs="Calibri"/>
          <w:b/>
          <w:b/>
          <w:color w:val="000000"/>
          <w:sz w:val="22"/>
          <w:szCs w:val="22"/>
          <w:u w:val="single"/>
        </w:rPr>
      </w:pPr>
      <w:r>
        <w:rPr>
          <w:rFonts w:cs="Calibri" w:ascii="Arial Narrow" w:hAnsi="Arial Narrow"/>
          <w:b/>
          <w:color w:val="000000"/>
          <w:sz w:val="22"/>
          <w:szCs w:val="22"/>
          <w:u w:val="single"/>
        </w:rPr>
      </w:r>
    </w:p>
    <w:p>
      <w:pPr>
        <w:pStyle w:val="Normal"/>
        <w:jc w:val="both"/>
        <w:rPr>
          <w:rFonts w:ascii="Arial Narrow" w:hAnsi="Arial Narrow" w:cs="Calibri"/>
          <w:b/>
          <w:b/>
          <w:sz w:val="22"/>
          <w:szCs w:val="22"/>
          <w:u w:val="single"/>
        </w:rPr>
      </w:pPr>
      <w:r>
        <w:rPr>
          <w:rFonts w:cs="Calibri" w:ascii="Arial Narrow" w:hAnsi="Arial Narrow"/>
          <w:b/>
          <w:sz w:val="22"/>
          <w:szCs w:val="22"/>
          <w:u w:val="single"/>
        </w:rPr>
        <w:t>Réponse de l’employeur</w:t>
      </w:r>
    </w:p>
    <w:p>
      <w:pPr>
        <w:pStyle w:val="Normal"/>
        <w:numPr>
          <w:ilvl w:val="0"/>
          <w:numId w:val="4"/>
        </w:numPr>
        <w:tabs>
          <w:tab w:val="left" w:pos="284" w:leader="none"/>
        </w:tabs>
        <w:autoSpaceDE w:val="false"/>
        <w:ind w:left="0" w:hanging="0"/>
        <w:jc w:val="both"/>
        <w:rPr>
          <w:rFonts w:ascii="Arial Narrow" w:hAnsi="Arial Narrow" w:cs="Arial"/>
          <w:sz w:val="22"/>
          <w:szCs w:val="22"/>
        </w:rPr>
      </w:pPr>
      <w:r>
        <w:rPr>
          <w:rFonts w:cs="Arial" w:ascii="Arial Narrow" w:hAnsi="Arial Narrow"/>
          <w:sz w:val="22"/>
          <w:szCs w:val="22"/>
        </w:rPr>
        <w:t xml:space="preserve">Concernant le congé parental pour les salariés soumis à modulation, en fonction des deux modalités évoquées, les règles qui s’appliquent sont les mêmes que pour les salariés qui ne sont pas soumis à modulation. </w:t>
      </w:r>
    </w:p>
    <w:p>
      <w:pPr>
        <w:pStyle w:val="Normal"/>
        <w:tabs>
          <w:tab w:val="left" w:pos="284" w:leader="none"/>
        </w:tabs>
        <w:autoSpaceDE w:val="false"/>
        <w:jc w:val="both"/>
        <w:rPr>
          <w:rFonts w:ascii="Arial Narrow" w:hAnsi="Arial Narrow" w:cs="Arial"/>
          <w:sz w:val="22"/>
          <w:szCs w:val="22"/>
        </w:rPr>
      </w:pPr>
      <w:r>
        <w:rPr>
          <w:rFonts w:cs="Arial" w:ascii="Arial Narrow" w:hAnsi="Arial Narrow"/>
          <w:sz w:val="22"/>
          <w:szCs w:val="22"/>
        </w:rPr>
      </w:r>
    </w:p>
    <w:p>
      <w:pPr>
        <w:pStyle w:val="Normal"/>
        <w:numPr>
          <w:ilvl w:val="0"/>
          <w:numId w:val="4"/>
        </w:numPr>
        <w:tabs>
          <w:tab w:val="left" w:pos="284" w:leader="none"/>
        </w:tabs>
        <w:autoSpaceDE w:val="false"/>
        <w:ind w:left="0" w:hanging="0"/>
        <w:jc w:val="both"/>
        <w:rPr>
          <w:rFonts w:ascii="Arial Narrow" w:hAnsi="Arial Narrow" w:cs="Calibri"/>
          <w:b/>
          <w:b/>
          <w:i/>
          <w:i/>
          <w:sz w:val="22"/>
          <w:szCs w:val="22"/>
          <w:u w:val="single"/>
        </w:rPr>
      </w:pPr>
      <w:r>
        <w:rPr>
          <w:rFonts w:cs="Arial" w:ascii="Arial Narrow" w:hAnsi="Arial Narrow"/>
          <w:sz w:val="22"/>
          <w:szCs w:val="22"/>
        </w:rPr>
        <w:t xml:space="preserve">Dans le protocole d’accord de la NAO 2014, il est effectivement accordé 3h par salarié/par an pour participer aux examens de prévention dans les conditions suivantes : </w:t>
      </w:r>
      <w:r>
        <w:rPr>
          <w:rFonts w:cs="Arial" w:ascii="Arial Narrow" w:hAnsi="Arial Narrow"/>
          <w:i/>
          <w:sz w:val="22"/>
          <w:szCs w:val="22"/>
        </w:rPr>
        <w:t>« </w:t>
      </w:r>
      <w:r>
        <w:rPr>
          <w:rFonts w:eastAsia="Calibri" w:cs="Calibri" w:ascii="Arial Narrow" w:hAnsi="Arial Narrow"/>
          <w:i/>
          <w:sz w:val="22"/>
          <w:szCs w:val="22"/>
        </w:rPr>
        <w:t xml:space="preserve">Il est accordé 3h par salarié/par an pour participer aux examens de prévention </w:t>
      </w:r>
    </w:p>
    <w:p>
      <w:pPr>
        <w:pStyle w:val="Normal"/>
        <w:numPr>
          <w:ilvl w:val="0"/>
          <w:numId w:val="3"/>
        </w:numPr>
        <w:jc w:val="both"/>
        <w:rPr>
          <w:rFonts w:ascii="Arial Narrow" w:hAnsi="Arial Narrow" w:cs="Calibri"/>
          <w:i/>
          <w:i/>
          <w:sz w:val="22"/>
          <w:szCs w:val="22"/>
        </w:rPr>
      </w:pPr>
      <w:r>
        <w:rPr>
          <w:rFonts w:cs="Calibri" w:ascii="Arial Narrow" w:hAnsi="Arial Narrow"/>
          <w:i/>
          <w:sz w:val="22"/>
          <w:szCs w:val="22"/>
        </w:rPr>
        <w:t>Bilan de santé (CPAM/MSA)</w:t>
      </w:r>
    </w:p>
    <w:p>
      <w:pPr>
        <w:pStyle w:val="Normal"/>
        <w:numPr>
          <w:ilvl w:val="0"/>
          <w:numId w:val="3"/>
        </w:numPr>
        <w:jc w:val="both"/>
        <w:rPr>
          <w:rFonts w:ascii="Arial Narrow" w:hAnsi="Arial Narrow" w:cs="Calibri"/>
          <w:i/>
          <w:i/>
          <w:sz w:val="22"/>
          <w:szCs w:val="22"/>
        </w:rPr>
      </w:pPr>
      <w:r>
        <w:rPr>
          <w:rFonts w:cs="Calibri" w:ascii="Arial Narrow" w:hAnsi="Arial Narrow"/>
          <w:i/>
          <w:sz w:val="22"/>
          <w:szCs w:val="22"/>
        </w:rPr>
        <w:t>Dépistage du cancer (dans le cadre des campagnes nationales)</w:t>
      </w:r>
    </w:p>
    <w:p>
      <w:pPr>
        <w:pStyle w:val="Normal"/>
        <w:jc w:val="both"/>
        <w:rPr>
          <w:rFonts w:ascii="Arial Narrow" w:hAnsi="Arial Narrow" w:cs="Calibri"/>
          <w:sz w:val="22"/>
          <w:szCs w:val="22"/>
        </w:rPr>
      </w:pPr>
      <w:r>
        <w:rPr>
          <w:rFonts w:cs="Calibri" w:ascii="Arial Narrow" w:hAnsi="Arial Narrow"/>
          <w:i/>
          <w:sz w:val="22"/>
          <w:szCs w:val="22"/>
        </w:rPr>
        <w:t>Un justificatif explicite de l’absence sera transmis à l’employeur. Le document type est refait à cet effet. »</w:t>
      </w:r>
    </w:p>
    <w:p>
      <w:pPr>
        <w:pStyle w:val="Normal"/>
        <w:autoSpaceDE w:val="false"/>
        <w:jc w:val="both"/>
        <w:rPr>
          <w:rFonts w:ascii="Arial Narrow" w:hAnsi="Arial Narrow" w:cs="Arial"/>
          <w:sz w:val="22"/>
          <w:szCs w:val="22"/>
        </w:rPr>
      </w:pPr>
      <w:r>
        <w:rPr>
          <w:rFonts w:cs="Arial" w:ascii="Arial Narrow" w:hAnsi="Arial Narrow"/>
          <w:sz w:val="22"/>
          <w:szCs w:val="22"/>
        </w:rPr>
        <w:t>A partir du 1</w:t>
      </w:r>
      <w:r>
        <w:rPr>
          <w:rFonts w:cs="Arial" w:ascii="Arial Narrow" w:hAnsi="Arial Narrow"/>
          <w:sz w:val="22"/>
          <w:szCs w:val="22"/>
          <w:vertAlign w:val="superscript"/>
        </w:rPr>
        <w:t>er</w:t>
      </w:r>
      <w:r>
        <w:rPr>
          <w:rFonts w:cs="Arial" w:ascii="Arial Narrow" w:hAnsi="Arial Narrow"/>
          <w:sz w:val="22"/>
          <w:szCs w:val="22"/>
        </w:rPr>
        <w:t xml:space="preserve"> janvier 2019, l’employeur propose d’accorder aux salariés pour participer aux examens de prévention :</w:t>
      </w:r>
    </w:p>
    <w:p>
      <w:pPr>
        <w:pStyle w:val="Normal"/>
        <w:numPr>
          <w:ilvl w:val="0"/>
          <w:numId w:val="3"/>
        </w:numPr>
        <w:jc w:val="both"/>
        <w:rPr>
          <w:rFonts w:ascii="Arial Narrow" w:hAnsi="Arial Narrow" w:cs="Calibri"/>
          <w:sz w:val="22"/>
          <w:szCs w:val="22"/>
        </w:rPr>
      </w:pPr>
      <w:r>
        <w:rPr>
          <w:rFonts w:cs="Calibri" w:ascii="Arial Narrow" w:hAnsi="Arial Narrow"/>
          <w:sz w:val="22"/>
          <w:szCs w:val="22"/>
        </w:rPr>
        <w:t>Bilan de santé (CPAM/MSA) : 3h par salarié/par an.</w:t>
      </w:r>
    </w:p>
    <w:p>
      <w:pPr>
        <w:pStyle w:val="Normal"/>
        <w:numPr>
          <w:ilvl w:val="0"/>
          <w:numId w:val="3"/>
        </w:numPr>
        <w:jc w:val="both"/>
        <w:rPr>
          <w:rFonts w:ascii="Arial Narrow" w:hAnsi="Arial Narrow" w:cs="Calibri"/>
          <w:sz w:val="22"/>
          <w:szCs w:val="22"/>
        </w:rPr>
      </w:pPr>
      <w:r>
        <w:rPr>
          <w:rFonts w:cs="Calibri" w:ascii="Arial Narrow" w:hAnsi="Arial Narrow"/>
          <w:sz w:val="22"/>
          <w:szCs w:val="22"/>
        </w:rPr>
        <w:t>Dépistage des cancers (dans le cadre des campagnes nationales) : 3h par salarié/par dépistage.</w:t>
      </w:r>
    </w:p>
    <w:p>
      <w:pPr>
        <w:pStyle w:val="Normal"/>
        <w:jc w:val="both"/>
        <w:rPr>
          <w:rFonts w:ascii="Arial Narrow" w:hAnsi="Arial Narrow" w:cs="Calibri"/>
          <w:sz w:val="22"/>
          <w:szCs w:val="22"/>
        </w:rPr>
      </w:pPr>
      <w:r>
        <w:rPr>
          <w:rFonts w:cs="Calibri" w:ascii="Arial Narrow" w:hAnsi="Arial Narrow"/>
          <w:sz w:val="22"/>
          <w:szCs w:val="22"/>
        </w:rPr>
        <w:t>Un justificatif explicite de l’absence sera transmis à l’employeur. Le document type sera refait à cet effet. </w:t>
      </w:r>
    </w:p>
    <w:p>
      <w:pPr>
        <w:pStyle w:val="Normal"/>
        <w:autoSpaceDE w:val="false"/>
        <w:jc w:val="both"/>
        <w:rPr>
          <w:rFonts w:ascii="Arial Narrow" w:hAnsi="Arial Narrow" w:cs="Arial"/>
          <w:color w:val="000000"/>
          <w:sz w:val="22"/>
          <w:szCs w:val="22"/>
        </w:rPr>
      </w:pPr>
      <w:r>
        <w:rPr>
          <w:rFonts w:cs="Arial" w:ascii="Arial Narrow" w:hAnsi="Arial Narrow"/>
          <w:color w:val="000000"/>
          <w:sz w:val="22"/>
          <w:szCs w:val="22"/>
        </w:rPr>
      </w:r>
    </w:p>
    <w:p>
      <w:pPr>
        <w:pStyle w:val="Normal"/>
        <w:pBdr>
          <w:top w:val="single" w:sz="4" w:space="1" w:color="000000"/>
          <w:left w:val="single" w:sz="4" w:space="4" w:color="000000"/>
          <w:bottom w:val="single" w:sz="4" w:space="1" w:color="000000"/>
          <w:right w:val="single" w:sz="4" w:space="4" w:color="000000"/>
        </w:pBdr>
        <w:autoSpaceDE w:val="false"/>
        <w:jc w:val="both"/>
        <w:rPr>
          <w:rFonts w:ascii="Arial Narrow" w:hAnsi="Arial Narrow" w:cs="Arial"/>
          <w:color w:val="FF0000"/>
          <w:sz w:val="22"/>
          <w:szCs w:val="22"/>
        </w:rPr>
      </w:pPr>
      <w:r>
        <w:rPr>
          <w:rFonts w:cs="Arial" w:ascii="Arial Narrow" w:hAnsi="Arial Narrow"/>
          <w:color w:val="FF0000"/>
          <w:sz w:val="22"/>
          <w:szCs w:val="22"/>
        </w:rPr>
        <w:t xml:space="preserve">Accord de modulation Pôle AEVS : </w:t>
      </w:r>
    </w:p>
    <w:p>
      <w:pPr>
        <w:pStyle w:val="Normal"/>
        <w:pBdr>
          <w:top w:val="single" w:sz="4" w:space="1" w:color="000000"/>
          <w:left w:val="single" w:sz="4" w:space="4" w:color="000000"/>
          <w:bottom w:val="single" w:sz="4" w:space="1" w:color="000000"/>
          <w:right w:val="single" w:sz="4" w:space="4" w:color="000000"/>
        </w:pBdr>
        <w:autoSpaceDE w:val="false"/>
        <w:jc w:val="both"/>
        <w:rPr>
          <w:rFonts w:ascii="Arial Narrow" w:hAnsi="Arial Narrow" w:cs="Arial"/>
          <w:color w:val="000000"/>
          <w:sz w:val="22"/>
          <w:szCs w:val="22"/>
        </w:rPr>
      </w:pPr>
      <w:r>
        <w:rPr>
          <w:rFonts w:cs="Arial" w:ascii="Arial Narrow" w:hAnsi="Arial Narrow"/>
          <w:b/>
          <w:sz w:val="22"/>
          <w:szCs w:val="22"/>
        </w:rPr>
        <w:t>Force Ouvrière</w:t>
      </w:r>
      <w:r>
        <w:rPr>
          <w:rFonts w:cs="Arial" w:ascii="Arial Narrow" w:hAnsi="Arial Narrow"/>
          <w:sz w:val="22"/>
          <w:szCs w:val="22"/>
        </w:rPr>
        <w:t xml:space="preserve"> : </w:t>
      </w:r>
    </w:p>
    <w:p>
      <w:pPr>
        <w:pStyle w:val="Normal"/>
        <w:pBdr>
          <w:top w:val="single" w:sz="4" w:space="1" w:color="000000"/>
          <w:left w:val="single" w:sz="4" w:space="4" w:color="000000"/>
          <w:bottom w:val="single" w:sz="4" w:space="1" w:color="000000"/>
          <w:right w:val="single" w:sz="4" w:space="4" w:color="000000"/>
        </w:pBdr>
        <w:autoSpaceDE w:val="false"/>
        <w:jc w:val="both"/>
        <w:rPr>
          <w:rFonts w:ascii="Arial Narrow" w:hAnsi="Arial Narrow" w:cs="Arial"/>
          <w:color w:val="000000"/>
          <w:sz w:val="22"/>
          <w:szCs w:val="22"/>
        </w:rPr>
      </w:pPr>
      <w:r>
        <w:rPr>
          <w:rFonts w:cs="Arial" w:ascii="Arial Narrow" w:hAnsi="Arial Narrow"/>
          <w:color w:val="000000"/>
          <w:sz w:val="22"/>
          <w:szCs w:val="22"/>
        </w:rPr>
        <w:t>Des demandes avaient été posées lors de la NAO 2017 :</w:t>
      </w:r>
    </w:p>
    <w:p>
      <w:pPr>
        <w:pStyle w:val="Normal"/>
        <w:pBdr>
          <w:top w:val="single" w:sz="4" w:space="1" w:color="000000"/>
          <w:left w:val="single" w:sz="4" w:space="4" w:color="000000"/>
          <w:bottom w:val="single" w:sz="4" w:space="1" w:color="000000"/>
          <w:right w:val="single" w:sz="4" w:space="4" w:color="000000"/>
        </w:pBdr>
        <w:autoSpaceDE w:val="false"/>
        <w:jc w:val="both"/>
        <w:rPr/>
      </w:pPr>
      <w:r>
        <w:rPr>
          <w:rFonts w:cs="Arial" w:ascii="Arial Narrow" w:hAnsi="Arial Narrow"/>
          <w:color w:val="000000"/>
          <w:sz w:val="22"/>
          <w:szCs w:val="22"/>
        </w:rPr>
        <w:t>- concernant l’avenant n°3 du 12/05/2015 à l’accord d’entreprise n°13 (avenant 13 quater) sur l’aménagement du temps de travail (accord n°13 du 25 janvier 2011), nous souhaitons évoquer les conditions actuelles de travail sur le Pôle et les contraintes imposées par cet accord. Les salariés du service nous font remonter de façon récurrente des difficultés avec l’application de l’accord et nous vous faisons remonter les demandes et propositions suivantes :</w:t>
      </w:r>
    </w:p>
    <w:p>
      <w:pPr>
        <w:pStyle w:val="Normal"/>
        <w:pBdr>
          <w:top w:val="single" w:sz="4" w:space="1" w:color="000000"/>
          <w:left w:val="single" w:sz="4" w:space="4" w:color="000000"/>
          <w:bottom w:val="single" w:sz="4" w:space="1" w:color="000000"/>
          <w:right w:val="single" w:sz="4" w:space="4" w:color="000000"/>
        </w:pBdr>
        <w:autoSpaceDE w:val="false"/>
        <w:jc w:val="both"/>
        <w:rPr>
          <w:rFonts w:ascii="Arial Narrow" w:hAnsi="Arial Narrow" w:cs="Arial"/>
          <w:color w:val="000000"/>
          <w:sz w:val="22"/>
          <w:szCs w:val="22"/>
        </w:rPr>
      </w:pPr>
      <w:r>
        <w:rPr>
          <w:rFonts w:eastAsia="Wingdings" w:cs="Wingdings" w:ascii="Wingdings" w:hAnsi="Wingdings"/>
          <w:color w:val="000000"/>
          <w:sz w:val="12"/>
          <w:szCs w:val="22"/>
        </w:rPr>
        <w:t></w:t>
      </w:r>
      <w:r>
        <w:rPr>
          <w:rFonts w:eastAsia="Arial Narrow" w:cs="Arial Narrow" w:ascii="Arial Narrow" w:hAnsi="Arial Narrow"/>
          <w:color w:val="000000"/>
          <w:sz w:val="20"/>
          <w:szCs w:val="22"/>
        </w:rPr>
        <w:t xml:space="preserve"> </w:t>
      </w:r>
      <w:r>
        <w:rPr>
          <w:rFonts w:eastAsia="Wingdings" w:cs="Arial" w:ascii="Arial Narrow" w:hAnsi="Arial Narrow"/>
          <w:color w:val="000000"/>
          <w:sz w:val="22"/>
          <w:szCs w:val="22"/>
        </w:rPr>
        <w:t>les salariés demandent qu'un planning papier annuel leur soit remis en début d'année incluant les périodes de congés qui ont été posées;</w:t>
      </w:r>
    </w:p>
    <w:p>
      <w:pPr>
        <w:pStyle w:val="Normal"/>
        <w:pBdr>
          <w:top w:val="single" w:sz="4" w:space="1" w:color="000000"/>
          <w:left w:val="single" w:sz="4" w:space="4" w:color="000000"/>
          <w:bottom w:val="single" w:sz="4" w:space="1" w:color="000000"/>
          <w:right w:val="single" w:sz="4" w:space="4" w:color="000000"/>
        </w:pBdr>
        <w:autoSpaceDE w:val="false"/>
        <w:jc w:val="both"/>
        <w:rPr/>
      </w:pPr>
      <w:r>
        <w:rPr>
          <w:rFonts w:eastAsia="Wingdings" w:cs="Wingdings" w:ascii="Wingdings" w:hAnsi="Wingdings"/>
          <w:color w:val="000000"/>
          <w:sz w:val="12"/>
          <w:szCs w:val="22"/>
        </w:rPr>
        <w:t></w:t>
      </w:r>
      <w:r>
        <w:rPr>
          <w:rFonts w:eastAsia="Arial Narrow" w:cs="Arial Narrow" w:ascii="Arial Narrow" w:hAnsi="Arial Narrow"/>
          <w:color w:val="000000"/>
          <w:sz w:val="20"/>
          <w:szCs w:val="22"/>
        </w:rPr>
        <w:t xml:space="preserve"> </w:t>
      </w:r>
      <w:r>
        <w:rPr>
          <w:rFonts w:eastAsia="Wingdings" w:cs="Arial" w:ascii="Arial Narrow" w:hAnsi="Arial Narrow"/>
          <w:color w:val="000000"/>
          <w:sz w:val="22"/>
          <w:szCs w:val="22"/>
        </w:rPr>
        <w:t>de la même manière, les salariés demandent que leur décompte d'heures annuelles planifiées leur soit remis en début d'année, afin d'avoir une visibilité globale et ils réitèrent la demande d'un décompte mensuel actualisé</w:t>
      </w:r>
      <w:r>
        <w:rPr>
          <w:rFonts w:eastAsia="Wingdings" w:cs="Arial" w:ascii="Arial Narrow" w:hAnsi="Arial Narrow"/>
          <w:color w:val="000000"/>
          <w:sz w:val="14"/>
          <w:szCs w:val="22"/>
        </w:rPr>
        <w:t xml:space="preserve">  </w:t>
      </w:r>
      <w:r>
        <w:rPr>
          <w:rFonts w:eastAsia="Wingdings" w:cs="Wingdings" w:ascii="Wingdings" w:hAnsi="Wingdings"/>
          <w:color w:val="000000"/>
          <w:sz w:val="12"/>
          <w:szCs w:val="22"/>
        </w:rPr>
        <w:t></w:t>
      </w:r>
      <w:r>
        <w:rPr>
          <w:rFonts w:eastAsia="Wingdings" w:cs="Arial" w:ascii="Arial Narrow" w:hAnsi="Arial Narrow"/>
          <w:color w:val="000000"/>
          <w:sz w:val="20"/>
          <w:szCs w:val="22"/>
        </w:rPr>
        <w:t xml:space="preserve"> </w:t>
      </w:r>
      <w:r>
        <w:rPr>
          <w:rFonts w:eastAsia="Wingdings" w:cs="Arial" w:ascii="Arial Narrow" w:hAnsi="Arial Narrow"/>
          <w:color w:val="000000"/>
          <w:sz w:val="22"/>
          <w:szCs w:val="22"/>
        </w:rPr>
        <w:t>enfin dans un souhait d’équité, ils demandent que les jours de congés, quels qu'ils soient, soient comptabilisés 7h00 travaillées comme le sont les arrêts maladie.</w:t>
      </w:r>
    </w:p>
    <w:p>
      <w:pPr>
        <w:pStyle w:val="Normal"/>
        <w:pBdr>
          <w:top w:val="single" w:sz="4" w:space="1" w:color="000000"/>
          <w:left w:val="single" w:sz="4" w:space="4" w:color="000000"/>
          <w:bottom w:val="single" w:sz="4" w:space="1" w:color="000000"/>
          <w:right w:val="single" w:sz="4" w:space="4" w:color="000000"/>
        </w:pBdr>
        <w:autoSpaceDE w:val="false"/>
        <w:jc w:val="both"/>
        <w:rPr>
          <w:rFonts w:ascii="Arial Narrow" w:hAnsi="Arial Narrow" w:eastAsia="Wingdings" w:cs="Arial"/>
          <w:color w:val="000000"/>
          <w:sz w:val="22"/>
          <w:szCs w:val="22"/>
        </w:rPr>
      </w:pPr>
      <w:r>
        <w:rPr>
          <w:rFonts w:eastAsia="Wingdings" w:cs="Arial" w:ascii="Arial Narrow" w:hAnsi="Arial Narrow"/>
          <w:color w:val="000000"/>
          <w:sz w:val="22"/>
          <w:szCs w:val="22"/>
        </w:rPr>
        <w:t>A ce jour :</w:t>
      </w:r>
    </w:p>
    <w:p>
      <w:pPr>
        <w:pStyle w:val="Normal"/>
        <w:pBdr>
          <w:top w:val="single" w:sz="4" w:space="1" w:color="000000"/>
          <w:left w:val="single" w:sz="4" w:space="4" w:color="000000"/>
          <w:bottom w:val="single" w:sz="4" w:space="1" w:color="000000"/>
          <w:right w:val="single" w:sz="4" w:space="4" w:color="000000"/>
        </w:pBdr>
        <w:autoSpaceDE w:val="false"/>
        <w:jc w:val="both"/>
        <w:rPr/>
      </w:pPr>
      <w:r>
        <w:rPr>
          <w:rFonts w:eastAsia="Wingdings" w:cs="Wingdings" w:ascii="Wingdings" w:hAnsi="Wingdings"/>
          <w:color w:val="000000"/>
          <w:sz w:val="12"/>
          <w:szCs w:val="22"/>
        </w:rPr>
        <w:t></w:t>
      </w:r>
      <w:r>
        <w:rPr>
          <w:rFonts w:eastAsia="Arial Narrow" w:cs="Arial Narrow" w:ascii="Arial Narrow" w:hAnsi="Arial Narrow"/>
          <w:color w:val="000000"/>
          <w:sz w:val="12"/>
          <w:szCs w:val="22"/>
        </w:rPr>
        <w:t xml:space="preserve"> </w:t>
      </w:r>
      <w:r>
        <w:rPr>
          <w:rFonts w:eastAsia="Wingdings" w:cs="Arial" w:ascii="Arial Narrow" w:hAnsi="Arial Narrow"/>
          <w:color w:val="000000"/>
          <w:sz w:val="22"/>
          <w:szCs w:val="22"/>
        </w:rPr>
        <w:t>Le planning prévisionnel annuel 2018 n'a pas été transmis, et les plannings mensuels sont transmis le plus souvent seulement la semaine qui précède.</w:t>
      </w:r>
    </w:p>
    <w:p>
      <w:pPr>
        <w:pStyle w:val="Normal"/>
        <w:pBdr>
          <w:top w:val="single" w:sz="4" w:space="1" w:color="000000"/>
          <w:left w:val="single" w:sz="4" w:space="4" w:color="000000"/>
          <w:bottom w:val="single" w:sz="4" w:space="1" w:color="000000"/>
          <w:right w:val="single" w:sz="4" w:space="4" w:color="000000"/>
        </w:pBdr>
        <w:autoSpaceDE w:val="false"/>
        <w:jc w:val="both"/>
        <w:rPr/>
      </w:pPr>
      <w:r>
        <w:rPr>
          <w:rFonts w:eastAsia="Wingdings" w:cs="Wingdings" w:ascii="Wingdings" w:hAnsi="Wingdings"/>
          <w:color w:val="000000"/>
          <w:sz w:val="12"/>
          <w:szCs w:val="22"/>
        </w:rPr>
        <w:t></w:t>
      </w:r>
      <w:r>
        <w:rPr>
          <w:rFonts w:eastAsia="Arial Narrow" w:cs="Arial Narrow" w:ascii="Arial Narrow" w:hAnsi="Arial Narrow"/>
          <w:color w:val="000000"/>
          <w:sz w:val="12"/>
          <w:szCs w:val="22"/>
        </w:rPr>
        <w:t xml:space="preserve"> </w:t>
      </w:r>
      <w:r>
        <w:rPr>
          <w:rFonts w:eastAsia="Wingdings" w:cs="Arial" w:ascii="Arial Narrow" w:hAnsi="Arial Narrow"/>
          <w:color w:val="000000"/>
          <w:sz w:val="22"/>
          <w:szCs w:val="22"/>
        </w:rPr>
        <w:t>Les derniers décomptes horaires ont été transmis en mars 2018.</w:t>
      </w:r>
    </w:p>
    <w:p>
      <w:pPr>
        <w:pStyle w:val="Normal"/>
        <w:pBdr>
          <w:top w:val="single" w:sz="4" w:space="1" w:color="000000"/>
          <w:left w:val="single" w:sz="4" w:space="4" w:color="000000"/>
          <w:bottom w:val="single" w:sz="4" w:space="1" w:color="000000"/>
          <w:right w:val="single" w:sz="4" w:space="4" w:color="000000"/>
        </w:pBdr>
        <w:autoSpaceDE w:val="false"/>
        <w:jc w:val="both"/>
        <w:rPr/>
      </w:pPr>
      <w:r>
        <w:rPr>
          <w:rFonts w:eastAsia="Wingdings" w:cs="Wingdings" w:ascii="Wingdings" w:hAnsi="Wingdings"/>
          <w:color w:val="000000"/>
          <w:sz w:val="12"/>
          <w:szCs w:val="22"/>
        </w:rPr>
        <w:t></w:t>
      </w:r>
      <w:r>
        <w:rPr>
          <w:rFonts w:eastAsia="Arial Narrow" w:cs="Arial Narrow" w:ascii="Arial Narrow" w:hAnsi="Arial Narrow"/>
          <w:color w:val="000000"/>
          <w:sz w:val="12"/>
          <w:szCs w:val="22"/>
        </w:rPr>
        <w:t xml:space="preserve"> </w:t>
      </w:r>
      <w:r>
        <w:rPr>
          <w:rFonts w:eastAsia="Wingdings" w:cs="Arial" w:ascii="Arial Narrow" w:hAnsi="Arial Narrow"/>
          <w:color w:val="000000"/>
          <w:sz w:val="22"/>
          <w:szCs w:val="22"/>
        </w:rPr>
        <w:t>Suite aux rencontres avec l'employeur, il avait été acté qu'un rattrapage des heures non comptabilisées en 2016 et 2017 (concernant notamment les congés et fériés) aurait lieu avant la fin 2018 : qu'en est-il à ce jour, puis qu’aucun décompte de ces heures n'a été transmis aux salariés ?</w:t>
      </w:r>
    </w:p>
    <w:p>
      <w:pPr>
        <w:pStyle w:val="Normal"/>
        <w:pBdr>
          <w:top w:val="single" w:sz="4" w:space="1" w:color="000000"/>
          <w:left w:val="single" w:sz="4" w:space="4" w:color="000000"/>
          <w:bottom w:val="single" w:sz="4" w:space="1" w:color="000000"/>
          <w:right w:val="single" w:sz="4" w:space="4" w:color="000000"/>
        </w:pBdr>
        <w:autoSpaceDE w:val="false"/>
        <w:jc w:val="center"/>
        <w:rPr>
          <w:rFonts w:ascii="Arial Narrow" w:hAnsi="Arial Narrow" w:eastAsia="Wingdings" w:cs="Arial"/>
          <w:color w:val="000000"/>
          <w:sz w:val="22"/>
          <w:szCs w:val="22"/>
        </w:rPr>
      </w:pPr>
      <w:r>
        <w:rPr>
          <w:rFonts w:eastAsia="Wingdings" w:cs="Arial" w:ascii="Arial Narrow" w:hAnsi="Arial Narrow"/>
          <w:color w:val="000000"/>
          <w:sz w:val="22"/>
          <w:szCs w:val="22"/>
        </w:rPr>
      </w:r>
    </w:p>
    <w:p>
      <w:pPr>
        <w:pStyle w:val="Normal"/>
        <w:pBdr>
          <w:top w:val="single" w:sz="4" w:space="1" w:color="000000"/>
          <w:left w:val="single" w:sz="4" w:space="4" w:color="000000"/>
          <w:bottom w:val="single" w:sz="4" w:space="1" w:color="000000"/>
          <w:right w:val="single" w:sz="4" w:space="4" w:color="000000"/>
        </w:pBdr>
        <w:autoSpaceDE w:val="false"/>
        <w:rPr>
          <w:rFonts w:ascii="Arial Narrow" w:hAnsi="Arial Narrow" w:cs="Arial"/>
          <w:color w:val="000000"/>
          <w:sz w:val="22"/>
          <w:szCs w:val="22"/>
        </w:rPr>
      </w:pPr>
      <w:r>
        <w:rPr>
          <w:rFonts w:eastAsia="Wingdings" w:cs="Arial" w:ascii="Arial Narrow" w:hAnsi="Arial Narrow"/>
          <w:color w:val="000000"/>
          <w:sz w:val="22"/>
          <w:szCs w:val="22"/>
        </w:rPr>
        <w:t>Nous demandons que cet engagement soit effectif avant le 1er Novembre.</w:t>
      </w:r>
    </w:p>
    <w:p>
      <w:pPr>
        <w:pStyle w:val="Normal"/>
        <w:jc w:val="both"/>
        <w:rPr>
          <w:rFonts w:ascii="Arial Narrow" w:hAnsi="Arial Narrow" w:eastAsia="Wingdings" w:cs="Calibri"/>
          <w:b/>
          <w:b/>
          <w:color w:val="000000"/>
          <w:sz w:val="22"/>
          <w:szCs w:val="22"/>
          <w:u w:val="single"/>
        </w:rPr>
      </w:pPr>
      <w:r>
        <w:rPr>
          <w:rFonts w:eastAsia="Wingdings" w:cs="Calibri" w:ascii="Arial Narrow" w:hAnsi="Arial Narrow"/>
          <w:b/>
          <w:color w:val="000000"/>
          <w:sz w:val="22"/>
          <w:szCs w:val="22"/>
          <w:u w:val="single"/>
        </w:rPr>
      </w:r>
    </w:p>
    <w:p>
      <w:pPr>
        <w:pStyle w:val="Normal"/>
        <w:jc w:val="both"/>
        <w:rPr>
          <w:rFonts w:ascii="Arial Narrow" w:hAnsi="Arial Narrow" w:eastAsia="Wingdings" w:cs="Calibri"/>
          <w:b/>
          <w:b/>
          <w:sz w:val="22"/>
          <w:szCs w:val="22"/>
          <w:u w:val="single"/>
        </w:rPr>
      </w:pPr>
      <w:r>
        <w:rPr>
          <w:rFonts w:eastAsia="Wingdings" w:cs="Calibri" w:ascii="Arial Narrow" w:hAnsi="Arial Narrow"/>
          <w:b/>
          <w:sz w:val="22"/>
          <w:szCs w:val="22"/>
          <w:u w:val="single"/>
        </w:rPr>
        <w:t>Réponse de l’employeur</w:t>
      </w:r>
    </w:p>
    <w:p>
      <w:pPr>
        <w:pStyle w:val="Normal"/>
        <w:jc w:val="both"/>
        <w:rPr>
          <w:rFonts w:ascii="Arial Narrow" w:hAnsi="Arial Narrow" w:eastAsia="Wingdings" w:cs="Calibri"/>
          <w:b/>
          <w:b/>
          <w:sz w:val="22"/>
          <w:szCs w:val="22"/>
          <w:u w:val="single"/>
        </w:rPr>
      </w:pPr>
      <w:r>
        <w:rPr>
          <w:rFonts w:eastAsia="Wingdings" w:cs="Calibri" w:ascii="Arial Narrow" w:hAnsi="Arial Narrow"/>
          <w:b/>
          <w:sz w:val="22"/>
          <w:szCs w:val="22"/>
          <w:u w:val="single"/>
        </w:rPr>
      </w:r>
    </w:p>
    <w:p>
      <w:pPr>
        <w:pStyle w:val="Normal"/>
        <w:jc w:val="both"/>
        <w:rPr>
          <w:rFonts w:ascii="Arial Narrow" w:hAnsi="Arial Narrow" w:cs="Calibri"/>
          <w:sz w:val="22"/>
          <w:szCs w:val="22"/>
        </w:rPr>
      </w:pPr>
      <w:r>
        <w:rPr>
          <w:rFonts w:eastAsia="Wingdings" w:cs="Calibri" w:ascii="Arial Narrow" w:hAnsi="Arial Narrow"/>
          <w:sz w:val="22"/>
          <w:szCs w:val="22"/>
        </w:rPr>
        <w:t>Les différents points évoqués ont été rendus effectifs avant le 1</w:t>
      </w:r>
      <w:r>
        <w:rPr>
          <w:rFonts w:eastAsia="Wingdings" w:cs="Calibri" w:ascii="Arial Narrow" w:hAnsi="Arial Narrow"/>
          <w:sz w:val="22"/>
          <w:szCs w:val="22"/>
          <w:vertAlign w:val="superscript"/>
        </w:rPr>
        <w:t>er</w:t>
      </w:r>
      <w:r>
        <w:rPr>
          <w:rFonts w:eastAsia="Wingdings" w:cs="Calibri" w:ascii="Arial Narrow" w:hAnsi="Arial Narrow"/>
          <w:sz w:val="22"/>
          <w:szCs w:val="22"/>
        </w:rPr>
        <w:t xml:space="preserve"> novembre 2018. </w:t>
      </w:r>
    </w:p>
    <w:p>
      <w:pPr>
        <w:pStyle w:val="Normal"/>
        <w:tabs>
          <w:tab w:val="left" w:pos="540" w:leader="none"/>
          <w:tab w:val="left" w:pos="1260" w:leader="none"/>
          <w:tab w:val="left" w:pos="7380" w:leader="dot"/>
        </w:tabs>
        <w:ind w:left="2340" w:hanging="0"/>
        <w:jc w:val="both"/>
        <w:rPr>
          <w:rFonts w:ascii="Arial Narrow" w:hAnsi="Arial Narrow" w:eastAsia="Wingdings" w:cs="Calibri"/>
          <w:sz w:val="22"/>
          <w:szCs w:val="22"/>
        </w:rPr>
      </w:pPr>
      <w:r>
        <w:rPr>
          <w:rFonts w:eastAsia="Wingdings" w:cs="Calibri" w:ascii="Arial Narrow" w:hAnsi="Arial Narrow"/>
          <w:sz w:val="22"/>
          <w:szCs w:val="22"/>
        </w:rPr>
      </w:r>
    </w:p>
    <w:p>
      <w:pPr>
        <w:pStyle w:val="Normal"/>
        <w:tabs>
          <w:tab w:val="left" w:pos="540" w:leader="none"/>
          <w:tab w:val="left" w:pos="1260" w:leader="none"/>
          <w:tab w:val="left" w:pos="7380" w:leader="dot"/>
        </w:tabs>
        <w:jc w:val="both"/>
        <w:rPr>
          <w:rFonts w:ascii="Arial Narrow" w:hAnsi="Arial Narrow" w:cs="Calibri"/>
          <w:sz w:val="22"/>
          <w:szCs w:val="22"/>
        </w:rPr>
      </w:pPr>
      <w:r>
        <w:rPr>
          <w:rFonts w:eastAsia="Wingdings" w:cs="Calibri" w:ascii="Arial Narrow" w:hAnsi="Arial Narrow"/>
          <w:sz w:val="22"/>
          <w:szCs w:val="22"/>
        </w:rPr>
        <w:t xml:space="preserve">Fait à </w:t>
      </w:r>
      <w:r>
        <w:rPr>
          <w:rFonts w:eastAsia="Wingdings" w:cs="Calibri" w:ascii="Arial Narrow" w:hAnsi="Arial Narrow"/>
          <w:b/>
          <w:bCs/>
          <w:sz w:val="22"/>
          <w:szCs w:val="22"/>
        </w:rPr>
        <w:t>Saint-Brieuc</w:t>
      </w:r>
      <w:r>
        <w:rPr>
          <w:rFonts w:eastAsia="Wingdings" w:cs="Calibri" w:ascii="Arial Narrow" w:hAnsi="Arial Narrow"/>
          <w:sz w:val="22"/>
          <w:szCs w:val="22"/>
        </w:rPr>
        <w:t>, le 08 février 2018</w:t>
      </w:r>
    </w:p>
    <w:p>
      <w:pPr>
        <w:pStyle w:val="Normal"/>
        <w:tabs>
          <w:tab w:val="left" w:pos="360" w:leader="none"/>
          <w:tab w:val="left" w:pos="5940" w:leader="none"/>
        </w:tabs>
        <w:ind w:left="360" w:hanging="0"/>
        <w:jc w:val="both"/>
        <w:rPr>
          <w:rFonts w:ascii="Arial Narrow" w:hAnsi="Arial Narrow" w:eastAsia="Wingdings" w:cs="Calibri"/>
          <w:sz w:val="22"/>
          <w:szCs w:val="22"/>
        </w:rPr>
      </w:pPr>
      <w:r>
        <w:rPr>
          <w:rFonts w:eastAsia="Wingdings" w:cs="Calibri" w:ascii="Arial Narrow" w:hAnsi="Arial Narrow"/>
          <w:sz w:val="22"/>
          <w:szCs w:val="22"/>
        </w:rPr>
      </w:r>
    </w:p>
    <w:p>
      <w:pPr>
        <w:pStyle w:val="Normal"/>
        <w:tabs>
          <w:tab w:val="left" w:pos="540" w:leader="none"/>
          <w:tab w:val="left" w:pos="1260" w:leader="none"/>
        </w:tabs>
        <w:ind w:left="540" w:hanging="0"/>
        <w:jc w:val="both"/>
        <w:rPr>
          <w:rFonts w:ascii="Arial Narrow" w:hAnsi="Arial Narrow" w:eastAsia="Wingdings" w:cs="Calibri"/>
          <w:sz w:val="22"/>
          <w:szCs w:val="22"/>
        </w:rPr>
      </w:pPr>
      <w:r>
        <w:rPr>
          <w:rFonts w:eastAsia="Wingdings" w:cs="Calibri" w:ascii="Arial Narrow" w:hAnsi="Arial Narrow"/>
          <w:sz w:val="22"/>
          <w:szCs w:val="22"/>
        </w:rPr>
      </w:r>
    </w:p>
    <w:p>
      <w:pPr>
        <w:pStyle w:val="Normal"/>
        <w:tabs>
          <w:tab w:val="left" w:pos="360" w:leader="none"/>
          <w:tab w:val="left" w:pos="5940" w:leader="none"/>
        </w:tabs>
        <w:ind w:left="360" w:hanging="0"/>
        <w:jc w:val="both"/>
        <w:rPr>
          <w:rFonts w:ascii="Arial Narrow" w:hAnsi="Arial Narrow" w:eastAsia="Wingdings" w:cs="Calibri"/>
          <w:sz w:val="22"/>
          <w:szCs w:val="22"/>
        </w:rPr>
      </w:pPr>
      <w:r>
        <w:rPr>
          <w:rFonts w:eastAsia="Wingdings" w:cs="Calibri" w:ascii="Arial Narrow" w:hAnsi="Arial Narrow"/>
          <w:sz w:val="22"/>
          <w:szCs w:val="22"/>
        </w:rPr>
        <w:t>CGT FO</w:t>
        <w:tab/>
        <w:t>CFDT</w:t>
      </w:r>
    </w:p>
    <w:p>
      <w:pPr>
        <w:pStyle w:val="Normal"/>
        <w:tabs>
          <w:tab w:val="left" w:pos="360" w:leader="none"/>
          <w:tab w:val="left" w:pos="5940" w:leader="none"/>
        </w:tabs>
        <w:ind w:left="360" w:hanging="0"/>
        <w:jc w:val="both"/>
        <w:rPr>
          <w:rFonts w:ascii="Arial Narrow" w:hAnsi="Arial Narrow" w:cs="Calibri"/>
          <w:sz w:val="22"/>
          <w:szCs w:val="22"/>
        </w:rPr>
      </w:pPr>
      <w:r>
        <w:rPr>
          <w:rFonts w:eastAsia="Wingdings" w:cs="Calibri" w:ascii="Arial Narrow" w:hAnsi="Arial Narrow"/>
          <w:sz w:val="22"/>
          <w:szCs w:val="22"/>
        </w:rPr>
        <w:tab/>
        <w:tab/>
      </w:r>
    </w:p>
    <w:p>
      <w:pPr>
        <w:pStyle w:val="Normal"/>
        <w:tabs>
          <w:tab w:val="left" w:pos="360" w:leader="none"/>
          <w:tab w:val="left" w:pos="5940" w:leader="none"/>
        </w:tabs>
        <w:ind w:left="360" w:hanging="0"/>
        <w:jc w:val="both"/>
        <w:rPr>
          <w:rFonts w:eastAsia="Wingdings"/>
        </w:rPr>
      </w:pPr>
      <w:r>
        <w:rPr>
          <w:rFonts w:eastAsia="Wingdings" w:cs="Calibri" w:ascii="Arial Narrow" w:hAnsi="Arial Narrow"/>
          <w:sz w:val="22"/>
          <w:szCs w:val="22"/>
        </w:rPr>
        <w:t>Déléguée syndicale</w:t>
        <w:tab/>
        <w:t>Délégué syndical</w:t>
      </w:r>
    </w:p>
    <w:p>
      <w:pPr>
        <w:pStyle w:val="Normal"/>
        <w:tabs>
          <w:tab w:val="left" w:pos="360" w:leader="none"/>
          <w:tab w:val="left" w:pos="5940" w:leader="none"/>
        </w:tabs>
        <w:ind w:left="360" w:hanging="0"/>
        <w:jc w:val="both"/>
        <w:rPr>
          <w:rFonts w:ascii="Arial Narrow" w:hAnsi="Arial Narrow" w:eastAsia="Wingdings" w:cs="Calibri"/>
          <w:sz w:val="22"/>
          <w:szCs w:val="22"/>
          <w:lang w:val="en-GB" w:eastAsia="en-GB"/>
        </w:rPr>
      </w:pPr>
      <w:r>
        <w:rPr>
          <w:rFonts w:eastAsia="Wingdings" w:cs="Calibri" w:ascii="Arial Narrow" w:hAnsi="Arial Narrow"/>
          <w:sz w:val="22"/>
          <w:szCs w:val="22"/>
          <w:lang w:val="en-GB" w:eastAsia="en-GB"/>
        </w:rPr>
        <mc:AlternateContent>
          <mc:Choice Requires="wps">
            <w:drawing>
              <wp:anchor behindDoc="0" distT="0" distB="0" distL="114935" distR="114935" simplePos="0" locked="0" layoutInCell="1" allowOverlap="1" relativeHeight="17">
                <wp:simplePos x="0" y="0"/>
                <wp:positionH relativeFrom="column">
                  <wp:posOffset>228600</wp:posOffset>
                </wp:positionH>
                <wp:positionV relativeFrom="paragraph">
                  <wp:posOffset>59055</wp:posOffset>
                </wp:positionV>
                <wp:extent cx="1943735" cy="686435"/>
                <wp:effectExtent l="0" t="0" r="0" b="0"/>
                <wp:wrapNone/>
                <wp:docPr id="7" name=""/>
                <a:graphic xmlns:a="http://schemas.openxmlformats.org/drawingml/2006/main">
                  <a:graphicData uri="http://schemas.microsoft.com/office/word/2010/wordprocessingShape">
                    <wps:wsp>
                      <wps:cNvSpPr/>
                      <wps:spPr>
                        <a:xfrm>
                          <a:off x="0" y="0"/>
                          <a:ext cx="1943280" cy="68580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18pt;margin-top:4.65pt;width:152.95pt;height:53.95pt">
                <w10:wrap type="none"/>
                <v:fill o:detectmouseclick="t" type="solid" color2="black"/>
                <v:stroke color="black" weight="9360" joinstyle="miter" endcap="square"/>
              </v:rect>
            </w:pict>
          </mc:Fallback>
        </mc:AlternateContent>
        <mc:AlternateContent>
          <mc:Choice Requires="wps">
            <w:drawing>
              <wp:anchor behindDoc="0" distT="0" distB="0" distL="114935" distR="114935" simplePos="0" locked="0" layoutInCell="1" allowOverlap="1" relativeHeight="18">
                <wp:simplePos x="0" y="0"/>
                <wp:positionH relativeFrom="column">
                  <wp:posOffset>3771900</wp:posOffset>
                </wp:positionH>
                <wp:positionV relativeFrom="paragraph">
                  <wp:posOffset>59055</wp:posOffset>
                </wp:positionV>
                <wp:extent cx="1715135" cy="686435"/>
                <wp:effectExtent l="0" t="0" r="0" b="0"/>
                <wp:wrapNone/>
                <wp:docPr id="8" name=""/>
                <a:graphic xmlns:a="http://schemas.openxmlformats.org/drawingml/2006/main">
                  <a:graphicData uri="http://schemas.microsoft.com/office/word/2010/wordprocessingShape">
                    <wps:wsp>
                      <wps:cNvSpPr/>
                      <wps:spPr>
                        <a:xfrm>
                          <a:off x="0" y="0"/>
                          <a:ext cx="1714680" cy="68580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297pt;margin-top:4.65pt;width:134.95pt;height:53.95pt">
                <w10:wrap type="none"/>
                <v:fill o:detectmouseclick="t" type="solid" color2="black"/>
                <v:stroke color="black" weight="9360" joinstyle="miter" endcap="square"/>
              </v:rect>
            </w:pict>
          </mc:Fallback>
        </mc:AlternateContent>
      </w:r>
    </w:p>
    <w:p>
      <w:pPr>
        <w:pStyle w:val="Normal"/>
        <w:tabs>
          <w:tab w:val="left" w:pos="360" w:leader="none"/>
          <w:tab w:val="left" w:pos="5940" w:leader="none"/>
        </w:tabs>
        <w:ind w:left="360" w:hanging="0"/>
        <w:jc w:val="both"/>
        <w:rPr>
          <w:rFonts w:ascii="Arial Narrow" w:hAnsi="Arial Narrow" w:eastAsia="Wingdings" w:cs="Calibri"/>
          <w:sz w:val="22"/>
          <w:szCs w:val="22"/>
        </w:rPr>
      </w:pPr>
      <w:r>
        <w:rPr>
          <w:rFonts w:eastAsia="Wingdings" w:cs="Calibri" w:ascii="Arial Narrow" w:hAnsi="Arial Narrow"/>
          <w:sz w:val="22"/>
          <w:szCs w:val="22"/>
        </w:rPr>
      </w:r>
    </w:p>
    <w:p>
      <w:pPr>
        <w:pStyle w:val="Normal"/>
        <w:tabs>
          <w:tab w:val="left" w:pos="360" w:leader="none"/>
          <w:tab w:val="left" w:pos="5940" w:leader="none"/>
        </w:tabs>
        <w:ind w:left="360" w:hanging="0"/>
        <w:jc w:val="both"/>
        <w:rPr>
          <w:rFonts w:ascii="Arial Narrow" w:hAnsi="Arial Narrow" w:eastAsia="Wingdings" w:cs="Calibri"/>
          <w:sz w:val="22"/>
          <w:szCs w:val="22"/>
        </w:rPr>
      </w:pPr>
      <w:r>
        <w:rPr>
          <w:rFonts w:eastAsia="Wingdings" w:cs="Calibri" w:ascii="Arial Narrow" w:hAnsi="Arial Narrow"/>
          <w:sz w:val="22"/>
          <w:szCs w:val="22"/>
        </w:rPr>
      </w:r>
    </w:p>
    <w:p>
      <w:pPr>
        <w:pStyle w:val="Normal"/>
        <w:tabs>
          <w:tab w:val="left" w:pos="360" w:leader="none"/>
          <w:tab w:val="left" w:pos="5940" w:leader="none"/>
        </w:tabs>
        <w:ind w:left="360" w:hanging="0"/>
        <w:jc w:val="both"/>
        <w:rPr>
          <w:rFonts w:ascii="Arial Narrow" w:hAnsi="Arial Narrow" w:eastAsia="Wingdings" w:cs="Calibri"/>
          <w:sz w:val="22"/>
          <w:szCs w:val="22"/>
        </w:rPr>
      </w:pPr>
      <w:r>
        <w:rPr>
          <w:rFonts w:eastAsia="Wingdings" w:cs="Calibri" w:ascii="Arial Narrow" w:hAnsi="Arial Narrow"/>
          <w:sz w:val="22"/>
          <w:szCs w:val="22"/>
        </w:rPr>
      </w:r>
    </w:p>
    <w:p>
      <w:pPr>
        <w:pStyle w:val="Normal"/>
        <w:tabs>
          <w:tab w:val="left" w:pos="360" w:leader="none"/>
          <w:tab w:val="left" w:pos="5940" w:leader="none"/>
        </w:tabs>
        <w:ind w:left="360" w:hanging="0"/>
        <w:jc w:val="both"/>
        <w:rPr>
          <w:rFonts w:ascii="Arial Narrow" w:hAnsi="Arial Narrow" w:eastAsia="Wingdings" w:cs="Calibri"/>
          <w:sz w:val="22"/>
          <w:szCs w:val="22"/>
        </w:rPr>
      </w:pPr>
      <w:r>
        <w:rPr>
          <w:rFonts w:eastAsia="Wingdings" w:cs="Calibri" w:ascii="Arial Narrow" w:hAnsi="Arial Narrow"/>
          <w:sz w:val="22"/>
          <w:szCs w:val="22"/>
        </w:rPr>
      </w:r>
    </w:p>
    <w:p>
      <w:pPr>
        <w:pStyle w:val="Normal"/>
        <w:tabs>
          <w:tab w:val="left" w:pos="360" w:leader="none"/>
          <w:tab w:val="left" w:pos="5940" w:leader="none"/>
        </w:tabs>
        <w:jc w:val="both"/>
        <w:rPr>
          <w:rFonts w:ascii="Arial Narrow" w:hAnsi="Arial Narrow" w:eastAsia="Wingdings" w:cs="Calibri"/>
          <w:sz w:val="22"/>
          <w:szCs w:val="22"/>
        </w:rPr>
      </w:pPr>
      <w:r>
        <w:rPr>
          <w:rFonts w:eastAsia="Wingdings" w:cs="Calibri" w:ascii="Arial Narrow" w:hAnsi="Arial Narrow"/>
          <w:sz w:val="22"/>
          <w:szCs w:val="22"/>
        </w:rPr>
      </w:r>
    </w:p>
    <w:p>
      <w:pPr>
        <w:pStyle w:val="Normal"/>
        <w:tabs>
          <w:tab w:val="left" w:pos="360" w:leader="none"/>
          <w:tab w:val="left" w:pos="5940" w:leader="none"/>
        </w:tabs>
        <w:ind w:left="360" w:hanging="0"/>
        <w:rPr>
          <w:rFonts w:eastAsia="Wingdings"/>
        </w:rPr>
      </w:pPr>
      <w:r>
        <mc:AlternateContent>
          <mc:Choice Requires="wps">
            <w:drawing>
              <wp:anchor behindDoc="0" distT="0" distB="0" distL="114935" distR="114935" simplePos="0" locked="0" layoutInCell="1" allowOverlap="1" relativeHeight="20">
                <wp:simplePos x="0" y="0"/>
                <wp:positionH relativeFrom="column">
                  <wp:posOffset>2171700</wp:posOffset>
                </wp:positionH>
                <wp:positionV relativeFrom="paragraph">
                  <wp:posOffset>39370</wp:posOffset>
                </wp:positionV>
                <wp:extent cx="1715135" cy="800735"/>
                <wp:effectExtent l="0" t="0" r="0" b="0"/>
                <wp:wrapNone/>
                <wp:docPr id="9" name=""/>
                <a:graphic xmlns:a="http://schemas.openxmlformats.org/drawingml/2006/main">
                  <a:graphicData uri="http://schemas.microsoft.com/office/word/2010/wordprocessingShape">
                    <wps:wsp>
                      <wps:cNvSpPr/>
                      <wps:spPr>
                        <a:xfrm>
                          <a:off x="0" y="0"/>
                          <a:ext cx="1714680" cy="8002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171pt;margin-top:3.1pt;width:134.95pt;height:62.95pt">
                <w10:wrap type="none"/>
                <v:fill o:detectmouseclick="t" type="solid" color2="black"/>
                <v:stroke color="black" weight="9360" joinstyle="miter" endcap="square"/>
              </v:rect>
            </w:pict>
          </mc:Fallback>
        </mc:AlternateContent>
      </w:r>
      <w:r>
        <w:rPr>
          <w:rFonts w:eastAsia="Wingdings" w:cs="Calibri" w:ascii="Arial Narrow" w:hAnsi="Arial Narrow"/>
          <w:sz w:val="22"/>
          <w:szCs w:val="22"/>
        </w:rPr>
        <w:t>A</w:t>
      </w:r>
      <w:r>
        <w:rPr>
          <w:rFonts w:eastAsia="Wingdings" w:cs="Calibri" w:ascii="Arial Narrow" w:hAnsi="Arial Narrow"/>
          <w:sz w:val="22"/>
          <w:szCs w:val="22"/>
        </w:rPr>
        <w:t>ssociation ADALEA</w:t>
        <w:tab/>
        <w:tab/>
      </w:r>
    </w:p>
    <w:p>
      <w:pPr>
        <w:pStyle w:val="Normal"/>
        <w:tabs>
          <w:tab w:val="left" w:pos="360" w:leader="none"/>
          <w:tab w:val="left" w:pos="5940" w:leader="none"/>
        </w:tabs>
        <w:ind w:left="360" w:hanging="0"/>
        <w:rPr>
          <w:rFonts w:ascii="Calibri" w:hAnsi="Calibri" w:cs="Calibri"/>
          <w:sz w:val="22"/>
          <w:szCs w:val="22"/>
        </w:rPr>
      </w:pPr>
      <w:r>
        <w:rPr>
          <w:rFonts w:eastAsia="Wingdings" w:cs="Calibri" w:ascii="Arial Narrow" w:hAnsi="Arial Narrow"/>
          <w:sz w:val="22"/>
          <w:szCs w:val="22"/>
        </w:rPr>
        <w:t xml:space="preserve">Directeur : </w:t>
        <w:tab/>
        <w:tab/>
      </w:r>
    </w:p>
    <w:p>
      <w:pPr>
        <w:pStyle w:val="Normal"/>
        <w:tabs>
          <w:tab w:val="left" w:pos="360" w:leader="none"/>
          <w:tab w:val="left" w:pos="5940" w:leader="none"/>
        </w:tabs>
        <w:ind w:left="360" w:hanging="0"/>
        <w:jc w:val="both"/>
        <w:rPr>
          <w:rFonts w:ascii="Calibri" w:hAnsi="Calibri" w:eastAsia="Wingdings" w:cs="Calibri"/>
          <w:sz w:val="22"/>
          <w:szCs w:val="22"/>
        </w:rPr>
      </w:pPr>
      <w:r>
        <w:rPr>
          <w:rFonts w:eastAsia="Wingdings" w:cs="Calibri" w:ascii="Calibri" w:hAnsi="Calibri"/>
          <w:sz w:val="22"/>
          <w:szCs w:val="22"/>
        </w:rPr>
      </w:r>
    </w:p>
    <w:p>
      <w:pPr>
        <w:pStyle w:val="Normal"/>
        <w:tabs>
          <w:tab w:val="left" w:pos="360" w:leader="none"/>
          <w:tab w:val="left" w:pos="5940" w:leader="none"/>
        </w:tabs>
        <w:ind w:left="360" w:hanging="0"/>
        <w:jc w:val="both"/>
        <w:rPr>
          <w:rFonts w:ascii="Calibri" w:hAnsi="Calibri" w:eastAsia="Wingdings" w:cs="Calibri"/>
          <w:sz w:val="22"/>
          <w:szCs w:val="22"/>
        </w:rPr>
      </w:pPr>
      <w:r>
        <w:rPr>
          <w:rFonts w:eastAsia="Wingdings" w:cs="Calibri" w:ascii="Calibri" w:hAnsi="Calibri"/>
          <w:sz w:val="22"/>
          <w:szCs w:val="22"/>
        </w:rPr>
      </w:r>
    </w:p>
    <w:p>
      <w:pPr>
        <w:pStyle w:val="Normal"/>
        <w:tabs>
          <w:tab w:val="left" w:pos="360" w:leader="none"/>
          <w:tab w:val="left" w:pos="5940" w:leader="none"/>
        </w:tabs>
        <w:ind w:left="360" w:hanging="0"/>
        <w:jc w:val="both"/>
        <w:rPr>
          <w:rFonts w:ascii="Calibri" w:hAnsi="Calibri" w:eastAsia="Wingdings" w:cs="Calibri"/>
          <w:sz w:val="22"/>
          <w:szCs w:val="22"/>
        </w:rPr>
      </w:pPr>
      <w:r>
        <w:rPr>
          <w:rFonts w:eastAsia="Wingdings" w:cs="Calibri" w:ascii="Calibri" w:hAnsi="Calibri"/>
          <w:sz w:val="22"/>
          <w:szCs w:val="22"/>
        </w:rPr>
      </w:r>
    </w:p>
    <w:p>
      <w:pPr>
        <w:pStyle w:val="Normal"/>
        <w:tabs>
          <w:tab w:val="left" w:pos="360" w:leader="none"/>
          <w:tab w:val="left" w:pos="5940" w:leader="none"/>
        </w:tabs>
        <w:ind w:left="360" w:hanging="0"/>
        <w:jc w:val="both"/>
        <w:rPr>
          <w:rFonts w:ascii="Calibri" w:hAnsi="Calibri" w:eastAsia="Wingdings" w:cs="Calibri"/>
          <w:sz w:val="22"/>
          <w:szCs w:val="22"/>
        </w:rPr>
      </w:pPr>
      <w:r>
        <w:rPr>
          <w:rFonts w:eastAsia="Wingdings" w:cs="Calibri" w:ascii="Calibri" w:hAnsi="Calibri"/>
          <w:sz w:val="22"/>
          <w:szCs w:val="22"/>
        </w:rPr>
      </w:r>
    </w:p>
    <w:p>
      <w:pPr>
        <w:pStyle w:val="Heading"/>
        <w:pBdr/>
        <w:ind w:left="0" w:right="1701" w:hanging="0"/>
        <w:jc w:val="left"/>
        <w:rPr>
          <w:rFonts w:ascii="Calibri" w:hAnsi="Calibri" w:eastAsia="Wingdings" w:cs="Calibri"/>
          <w:sz w:val="22"/>
          <w:szCs w:val="22"/>
        </w:rPr>
      </w:pPr>
      <w:r>
        <w:rPr>
          <w:rFonts w:eastAsia="Wingdings" w:cs="Calibri" w:ascii="Calibri" w:hAnsi="Calibri"/>
          <w:sz w:val="22"/>
          <w:szCs w:val="22"/>
        </w:rPr>
      </w:r>
    </w:p>
    <w:sectPr>
      <w:footerReference w:type="default" r:id="rId7"/>
      <w:type w:val="nextPage"/>
      <w:pgSz w:w="11906" w:h="16838"/>
      <w:pgMar w:left="1418" w:right="1466" w:header="0" w:top="719" w:footer="510" w:bottom="899"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Narrow">
    <w:charset w:val="00"/>
    <w:family w:val="swiss"/>
    <w:pitch w:val="variable"/>
  </w:font>
  <w:font w:name="Calibri">
    <w:charset w:val="00"/>
    <w:family w:val="swiss"/>
    <w:pitch w:val="variable"/>
  </w:font>
  <w:font w:name="Symbol">
    <w:charset w:val="01"/>
    <w:family w:val="roman"/>
    <w:pitch w:val="variable"/>
  </w:font>
  <w:font w:name="Courier New">
    <w:charset w:val="00"/>
    <w:family w:val="modern"/>
    <w:pitch w:val="default"/>
  </w:font>
  <w:font w:name="Wingdings">
    <w:charset w:val="02"/>
    <w:family w:val="auto"/>
    <w:pitch w:val="variable"/>
  </w:font>
  <w:font w:name="Tahoma">
    <w:charset w:val="00"/>
    <w:family w:val="swiss"/>
    <w:pitch w:val="variable"/>
  </w:font>
  <w:font w:name="Verdana">
    <w:charset w:val="00"/>
    <w:family w:val="swiss"/>
    <w:pitch w:val="variable"/>
  </w:font>
  <w:font w:name="Century Gothic">
    <w:charset w:val="00"/>
    <w:family w:val="swiss"/>
    <w:pitch w:val="variable"/>
  </w:font>
  <w:font w:name="AGaramond">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pBdr>
        <w:top w:val="single" w:sz="4" w:space="1" w:color="000000"/>
      </w:pBdr>
      <w:ind w:right="360" w:hanging="0"/>
      <w:jc w:val="center"/>
      <w:rPr>
        <w:rFonts w:ascii="Arial Narrow" w:hAnsi="Arial Narrow" w:cs="Arial Narrow"/>
        <w:sz w:val="16"/>
        <w:szCs w:val="16"/>
      </w:rPr>
    </w:pPr>
    <w:r>
      <w:rPr>
        <w:rFonts w:cs="Arial Narrow" w:ascii="Arial Narrow" w:hAnsi="Arial Narrow"/>
        <w:sz w:val="16"/>
        <w:szCs w:val="16"/>
      </w:rPr>
      <w:t>ADALEA – NAO 2018</w:t>
    </w:r>
    <w:r>
      <mc:AlternateContent>
        <mc:Choice Requires="wps">
          <w:drawing>
            <wp:anchor behindDoc="0" distT="0" distB="0" distL="0" distR="0" simplePos="0" locked="0" layoutInCell="1" allowOverlap="1" relativeHeight="15">
              <wp:simplePos x="0" y="0"/>
              <wp:positionH relativeFrom="margin">
                <wp:align>right</wp:align>
              </wp:positionH>
              <wp:positionV relativeFrom="paragraph">
                <wp:posOffset>635</wp:posOffset>
              </wp:positionV>
              <wp:extent cx="170180" cy="175260"/>
              <wp:effectExtent l="0" t="0" r="0" b="0"/>
              <wp:wrapSquare wrapText="largest"/>
              <wp:docPr id="10" name="Frame2"/>
              <a:graphic xmlns:a="http://schemas.openxmlformats.org/drawingml/2006/main">
                <a:graphicData uri="http://schemas.microsoft.com/office/word/2010/wordprocessingShape">
                  <wps:wsp>
                    <wps:cNvSpPr txBox="1"/>
                    <wps:spPr>
                      <a:xfrm>
                        <a:off x="0" y="0"/>
                        <a:ext cx="170180" cy="175260"/>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10</w:t>
                          </w:r>
                          <w:r>
                            <w:fldChar w:fldCharType="end"/>
                          </w:r>
                        </w:p>
                      </w:txbxContent>
                    </wps:txbx>
                    <wps:bodyPr anchor="t">
                      <a:noAutofit/>
                    </wps:bodyPr>
                  </wps:wsp>
                </a:graphicData>
              </a:graphic>
            </wp:anchor>
          </w:drawing>
        </mc:Choice>
        <mc:Fallback>
          <w:pict>
            <v:rect fillcolor="#FFFFFF" style="position:absolute;rotation:0;width:13.4pt;height:13.8pt;margin-top:0.05pt;mso-position-vertical-relative:text;margin-left:437.7pt;mso-position-horizontal:right;mso-position-horizontal-relative:margin">
              <v:fill opacity="0f"/>
              <v:textbox>
                <w:txbxContent>
                  <w:p>
                    <w:pPr>
                      <w:pStyle w:val="Footer"/>
                      <w:rPr>
                        <w:rStyle w:val="PageNumber"/>
                      </w:rPr>
                    </w:pPr>
                    <w:r>
                      <w:rPr>
                        <w:rStyle w:val="PageNumber"/>
                      </w:rPr>
                      <w:fldChar w:fldCharType="begin"/>
                    </w:r>
                    <w:r>
                      <w:instrText> PAGE </w:instrText>
                    </w:r>
                    <w:r>
                      <w:fldChar w:fldCharType="separate"/>
                    </w:r>
                    <w:r>
                      <w:t>10</w:t>
                    </w:r>
                    <w:r>
                      <w:fldChar w:fldCharType="end"/>
                    </w:r>
                  </w:p>
                </w:txbxContent>
              </v:textbox>
              <w10:wrap type="square" side="largest"/>
            </v:rect>
          </w:pict>
        </mc:Fallback>
      </mc:AlternateContent>
    </w:r>
  </w:p>
  <w:p>
    <w:pPr>
      <w:pStyle w:val="Footer"/>
      <w:pBdr>
        <w:top w:val="single" w:sz="4" w:space="1" w:color="000000"/>
      </w:pBdr>
      <w:ind w:right="360" w:hanging="0"/>
      <w:rPr>
        <w:rFonts w:ascii="Arial Narrow" w:hAnsi="Arial Narrow" w:cs="Arial Narrow"/>
        <w:sz w:val="16"/>
        <w:szCs w:val="16"/>
      </w:rPr>
    </w:pPr>
    <w:r>
      <w:rPr>
        <w:rFonts w:cs="Arial Narrow" w:ascii="Arial Narrow" w:hAnsi="Arial Narrow"/>
        <w:sz w:val="16"/>
        <w:szCs w:val="16"/>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bullet"/>
      <w:lvlText w:val=""/>
      <w:lvlJc w:val="left"/>
      <w:pPr>
        <w:ind w:left="720" w:hanging="360"/>
      </w:pPr>
      <w:rPr>
        <w:rFonts w:ascii="Symbol" w:hAnsi="Symbol" w:cs="Symbol" w:hint="default"/>
        <w:sz w:val="22"/>
        <w:szCs w:val="22"/>
        <w:rFonts w:cs="Symbol"/>
      </w:rPr>
    </w:lvl>
  </w:abstractNum>
  <w:abstractNum w:abstractNumId="3">
    <w:lvl w:ilvl="0">
      <w:start w:val="1"/>
      <w:numFmt w:val="bullet"/>
      <w:lvlText w:val=""/>
      <w:lvlJc w:val="left"/>
      <w:pPr>
        <w:ind w:left="720" w:hanging="360"/>
      </w:pPr>
      <w:rPr>
        <w:rFonts w:ascii="Wingdings" w:hAnsi="Wingdings" w:cs="Wingdings" w:hint="default"/>
        <w:rFonts w:cs="Wingdings"/>
      </w:rPr>
    </w:lvl>
  </w:abstractNum>
  <w:abstractNum w:abstractNumId="4">
    <w:lvl w:ilvl="0">
      <w:start w:val="1"/>
      <w:numFmt w:val="lowerLetter"/>
      <w:lvlText w:val="%1."/>
      <w:lvlJc w:val="left"/>
      <w:pPr>
        <w:ind w:left="720" w:hanging="360"/>
      </w:pPr>
      <w:rPr>
        <w:sz w:val="22"/>
        <w:i w:val="false"/>
        <w:b w:val="false"/>
        <w:szCs w:val="22"/>
        <w:rFonts w:ascii="Arial Narrow" w:hAnsi="Arial Narrow" w:eastAsia="Calibri" w:cs="Arial"/>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Cs w:val="24"/>
        <w:lang w:val="en-GB" w:eastAsia="zh-CN" w:bidi="hi-IN"/>
      </w:rPr>
    </w:rPrDefault>
    <w:pPrDefault>
      <w:pPr/>
    </w:pPrDefault>
  </w:docDefaults>
  <w:style w:type="paragraph" w:styleId="Normal">
    <w:name w:val="Normal"/>
    <w:qFormat/>
    <w:pPr>
      <w:widowControl/>
      <w:bidi w:val="0"/>
    </w:pPr>
    <w:rPr>
      <w:rFonts w:ascii="Arial" w:hAnsi="Arial" w:eastAsia="Times New Roman" w:cs="Arial"/>
      <w:color w:val="auto"/>
      <w:sz w:val="24"/>
      <w:szCs w:val="24"/>
      <w:lang w:val="fr-FR" w:bidi="ar-SA" w:eastAsia="zh-CN"/>
    </w:rPr>
  </w:style>
  <w:style w:type="paragraph" w:styleId="Heading1">
    <w:name w:val="Heading 1"/>
    <w:basedOn w:val="Normal"/>
    <w:next w:val="Normal"/>
    <w:qFormat/>
    <w:pPr>
      <w:keepNext/>
      <w:numPr>
        <w:ilvl w:val="0"/>
        <w:numId w:val="1"/>
      </w:numPr>
      <w:pBdr>
        <w:top w:val="single" w:sz="4" w:space="4" w:color="000000"/>
        <w:left w:val="single" w:sz="4" w:space="4" w:color="000000"/>
        <w:bottom w:val="single" w:sz="4" w:space="4" w:color="000000"/>
        <w:right w:val="single" w:sz="4" w:space="4" w:color="000000"/>
      </w:pBdr>
      <w:jc w:val="both"/>
      <w:outlineLvl w:val="0"/>
      <w:outlineLvl w:val="0"/>
    </w:pPr>
    <w:rPr>
      <w:rFonts w:ascii="Arial Narrow" w:hAnsi="Arial Narrow" w:cs="Arial Narrow"/>
      <w:b/>
      <w:bCs/>
      <w:shadow/>
    </w:rPr>
  </w:style>
  <w:style w:type="paragraph" w:styleId="Heading2">
    <w:name w:val="Heading 2"/>
    <w:basedOn w:val="Normal"/>
    <w:next w:val="Normal"/>
    <w:qFormat/>
    <w:pPr>
      <w:keepNext/>
      <w:numPr>
        <w:ilvl w:val="1"/>
        <w:numId w:val="1"/>
      </w:numPr>
      <w:tabs>
        <w:tab w:val="left" w:pos="540" w:leader="none"/>
        <w:tab w:val="left" w:pos="1080" w:leader="none"/>
      </w:tabs>
      <w:ind w:left="1080" w:hanging="0"/>
      <w:jc w:val="both"/>
      <w:outlineLvl w:val="1"/>
      <w:outlineLvl w:val="1"/>
    </w:pPr>
    <w:rPr>
      <w:rFonts w:ascii="Arial Narrow" w:hAnsi="Arial Narrow" w:cs="Arial Narrow"/>
      <w:b/>
      <w:bCs/>
    </w:rPr>
  </w:style>
  <w:style w:type="paragraph" w:styleId="Heading3">
    <w:name w:val="Heading 3"/>
    <w:basedOn w:val="Normal"/>
    <w:next w:val="Normal"/>
    <w:qFormat/>
    <w:pPr>
      <w:keepNext/>
      <w:numPr>
        <w:ilvl w:val="2"/>
        <w:numId w:val="1"/>
      </w:numPr>
      <w:tabs>
        <w:tab w:val="left" w:pos="0" w:leader="none"/>
        <w:tab w:val="left" w:pos="1260" w:leader="none"/>
        <w:tab w:val="left" w:pos="5760" w:leader="none"/>
      </w:tabs>
      <w:jc w:val="both"/>
      <w:outlineLvl w:val="2"/>
      <w:outlineLvl w:val="2"/>
    </w:pPr>
    <w:rPr>
      <w:rFonts w:ascii="Arial Narrow" w:hAnsi="Arial Narrow" w:cs="Arial Narrow"/>
      <w:b/>
      <w:bCs/>
    </w:rPr>
  </w:style>
  <w:style w:type="paragraph" w:styleId="Heading4">
    <w:name w:val="Heading 4"/>
    <w:basedOn w:val="Normal"/>
    <w:next w:val="Normal"/>
    <w:qFormat/>
    <w:pPr>
      <w:keepNext/>
      <w:numPr>
        <w:ilvl w:val="3"/>
        <w:numId w:val="1"/>
      </w:numPr>
      <w:spacing w:before="240" w:after="60"/>
      <w:outlineLvl w:val="3"/>
      <w:outlineLvl w:val="3"/>
    </w:pPr>
    <w:rPr>
      <w:rFonts w:ascii="Calibri" w:hAnsi="Calibri" w:cs="Calibri"/>
      <w:b/>
      <w:bCs/>
      <w:sz w:val="28"/>
      <w:szCs w:val="28"/>
      <w:lang w:val="en-GB"/>
    </w:rPr>
  </w:style>
  <w:style w:type="character" w:styleId="WW8Num1z0">
    <w:name w:val="WW8Num1z0"/>
    <w:qFormat/>
    <w:rPr>
      <w:rFonts w:ascii="Symbol" w:hAnsi="Symbol" w:cs="Symbol"/>
      <w:sz w:val="20"/>
    </w:rPr>
  </w:style>
  <w:style w:type="character" w:styleId="WW8Num1z1">
    <w:name w:val="WW8Num1z1"/>
    <w:qFormat/>
    <w:rPr>
      <w:rFonts w:ascii="Courier New" w:hAnsi="Courier New" w:cs="Courier New"/>
      <w:sz w:val="20"/>
    </w:rPr>
  </w:style>
  <w:style w:type="character" w:styleId="WW8Num1z2">
    <w:name w:val="WW8Num1z2"/>
    <w:qFormat/>
    <w:rPr>
      <w:rFonts w:ascii="Wingdings" w:hAnsi="Wingdings" w:cs="Wingdings"/>
      <w:sz w:val="20"/>
    </w:rPr>
  </w:style>
  <w:style w:type="character" w:styleId="WW8Num2z0">
    <w:name w:val="WW8Num2z0"/>
    <w:qFormat/>
    <w:rPr>
      <w:rFonts w:ascii="Wingdings" w:hAnsi="Wingdings" w:cs="Wingdings"/>
    </w:rPr>
  </w:style>
  <w:style w:type="character" w:styleId="WW8Num2z3">
    <w:name w:val="WW8Num2z3"/>
    <w:qFormat/>
    <w:rPr>
      <w:rFonts w:ascii="Symbol" w:hAnsi="Symbol" w:cs="Symbol"/>
    </w:rPr>
  </w:style>
  <w:style w:type="character" w:styleId="WW8Num2z4">
    <w:name w:val="WW8Num2z4"/>
    <w:qFormat/>
    <w:rPr>
      <w:rFonts w:ascii="Courier New" w:hAnsi="Courier New" w:cs="Courier New"/>
    </w:rPr>
  </w:style>
  <w:style w:type="character" w:styleId="WW8Num3z0">
    <w:name w:val="WW8Num3z0"/>
    <w:qFormat/>
    <w:rPr>
      <w:rFonts w:ascii="Symbol" w:hAnsi="Symbol" w:cs="Symbol"/>
      <w:sz w:val="20"/>
    </w:rPr>
  </w:style>
  <w:style w:type="character" w:styleId="WW8Num3z1">
    <w:name w:val="WW8Num3z1"/>
    <w:qFormat/>
    <w:rPr>
      <w:rFonts w:ascii="Courier New" w:hAnsi="Courier New" w:cs="Courier New"/>
      <w:sz w:val="20"/>
    </w:rPr>
  </w:style>
  <w:style w:type="character" w:styleId="WW8Num3z2">
    <w:name w:val="WW8Num3z2"/>
    <w:qFormat/>
    <w:rPr>
      <w:rFonts w:ascii="Wingdings" w:hAnsi="Wingdings" w:cs="Wingdings"/>
      <w:sz w:val="20"/>
    </w:rPr>
  </w:style>
  <w:style w:type="character" w:styleId="WW8Num4z0">
    <w:name w:val="WW8Num4z0"/>
    <w:qFormat/>
    <w:rPr>
      <w:rFonts w:ascii="Wingdings" w:hAnsi="Wingdings" w:cs="Wingdings"/>
    </w:rPr>
  </w:style>
  <w:style w:type="character" w:styleId="WW8Num4z1">
    <w:name w:val="WW8Num4z1"/>
    <w:qFormat/>
    <w:rPr>
      <w:rFonts w:ascii="Courier New" w:hAnsi="Courier New" w:cs="Courier New"/>
    </w:rPr>
  </w:style>
  <w:style w:type="character" w:styleId="WW8Num4z3">
    <w:name w:val="WW8Num4z3"/>
    <w:qFormat/>
    <w:rPr>
      <w:rFonts w:ascii="Symbol" w:hAnsi="Symbol" w:cs="Symbol"/>
    </w:rPr>
  </w:style>
  <w:style w:type="character" w:styleId="WW8Num5z0">
    <w:name w:val="WW8Num5z0"/>
    <w:qFormat/>
    <w:rPr>
      <w:rFonts w:ascii="Arial Narrow" w:hAnsi="Arial Narrow" w:eastAsia="Times New Roman" w:cs="Arial"/>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rFonts w:ascii="Wingdings" w:hAnsi="Wingdings" w:cs="Wingdings"/>
    </w:rPr>
  </w:style>
  <w:style w:type="character" w:styleId="WW8Num6z1">
    <w:name w:val="WW8Num6z1"/>
    <w:qFormat/>
    <w:rPr>
      <w:rFonts w:ascii="Courier New" w:hAnsi="Courier New" w:cs="Courier New"/>
    </w:rPr>
  </w:style>
  <w:style w:type="character" w:styleId="WW8Num6z3">
    <w:name w:val="WW8Num6z3"/>
    <w:qFormat/>
    <w:rPr>
      <w:rFonts w:ascii="Symbol" w:hAnsi="Symbol" w:cs="Symbol"/>
    </w:rPr>
  </w:style>
  <w:style w:type="character" w:styleId="WW8Num7z0">
    <w:name w:val="WW8Num7z0"/>
    <w:qFormat/>
    <w:rPr>
      <w:b/>
    </w:rPr>
  </w:style>
  <w:style w:type="character" w:styleId="WW8Num7z1">
    <w:name w:val="WW8Num7z1"/>
    <w:qFormat/>
    <w:rPr/>
  </w:style>
  <w:style w:type="character" w:styleId="WW8Num8z0">
    <w:name w:val="WW8Num8z0"/>
    <w:qFormat/>
    <w:rPr>
      <w:rFonts w:ascii="Symbol" w:hAnsi="Symbol" w:cs="Symbol"/>
      <w:sz w:val="22"/>
      <w:szCs w:val="22"/>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9z0">
    <w:name w:val="WW8Num9z0"/>
    <w:qFormat/>
    <w:rPr>
      <w:rFonts w:ascii="Wingdings" w:hAnsi="Wingdings" w:cs="Wingdings"/>
    </w:rPr>
  </w:style>
  <w:style w:type="character" w:styleId="WW8Num9z1">
    <w:name w:val="WW8Num9z1"/>
    <w:qFormat/>
    <w:rPr>
      <w:rFonts w:ascii="Courier New" w:hAnsi="Courier New" w:cs="Courier New"/>
    </w:rPr>
  </w:style>
  <w:style w:type="character" w:styleId="WW8Num9z3">
    <w:name w:val="WW8Num9z3"/>
    <w:qFormat/>
    <w:rPr>
      <w:rFonts w:ascii="Symbol" w:hAnsi="Symbol" w:cs="Symbol"/>
    </w:rPr>
  </w:style>
  <w:style w:type="character" w:styleId="WW8Num10z0">
    <w:name w:val="WW8Num10z0"/>
    <w:qFormat/>
    <w:rPr>
      <w:rFonts w:ascii="Wingdings" w:hAnsi="Wingdings" w:cs="Wingdings"/>
    </w:rPr>
  </w:style>
  <w:style w:type="character" w:styleId="WW8Num10z1">
    <w:name w:val="WW8Num10z1"/>
    <w:qFormat/>
    <w:rPr>
      <w:rFonts w:ascii="Courier New" w:hAnsi="Courier New" w:cs="Courier New"/>
    </w:rPr>
  </w:style>
  <w:style w:type="character" w:styleId="WW8Num10z3">
    <w:name w:val="WW8Num10z3"/>
    <w:qFormat/>
    <w:rPr>
      <w:rFonts w:ascii="Symbol" w:hAnsi="Symbol" w:cs="Symbol"/>
    </w:rPr>
  </w:style>
  <w:style w:type="character" w:styleId="WW8Num11z0">
    <w:name w:val="WW8Num11z0"/>
    <w:qFormat/>
    <w:rPr>
      <w:rFonts w:ascii="Symbol" w:hAnsi="Symbol" w:cs="Symbol"/>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2z0">
    <w:name w:val="WW8Num12z0"/>
    <w:qFormat/>
    <w:rPr>
      <w:rFonts w:ascii="Wingdings" w:hAnsi="Wingdings" w:cs="Wingdings"/>
    </w:rPr>
  </w:style>
  <w:style w:type="character" w:styleId="WW8Num12z1">
    <w:name w:val="WW8Num12z1"/>
    <w:qFormat/>
    <w:rPr>
      <w:rFonts w:ascii="Calibri" w:hAnsi="Calibri" w:eastAsia="Times New Roman" w:cs="Calibri"/>
    </w:rPr>
  </w:style>
  <w:style w:type="character" w:styleId="WW8Num12z3">
    <w:name w:val="WW8Num12z3"/>
    <w:qFormat/>
    <w:rPr>
      <w:rFonts w:ascii="Symbol" w:hAnsi="Symbol" w:cs="Symbol"/>
    </w:rPr>
  </w:style>
  <w:style w:type="character" w:styleId="WW8Num12z4">
    <w:name w:val="WW8Num12z4"/>
    <w:qFormat/>
    <w:rPr>
      <w:rFonts w:ascii="Courier New" w:hAnsi="Courier New" w:cs="Courier New"/>
    </w:rPr>
  </w:style>
  <w:style w:type="character" w:styleId="WW8Num13z0">
    <w:name w:val="WW8Num13z0"/>
    <w:qFormat/>
    <w:rPr>
      <w:rFonts w:ascii="Wingdings" w:hAnsi="Wingdings" w:cs="Wingdings"/>
    </w:rPr>
  </w:style>
  <w:style w:type="character" w:styleId="WW8Num13z1">
    <w:name w:val="WW8Num13z1"/>
    <w:qFormat/>
    <w:rPr>
      <w:rFonts w:ascii="Courier New" w:hAnsi="Courier New" w:cs="Courier New"/>
    </w:rPr>
  </w:style>
  <w:style w:type="character" w:styleId="WW8Num13z3">
    <w:name w:val="WW8Num13z3"/>
    <w:qFormat/>
    <w:rPr>
      <w:rFonts w:ascii="Symbol" w:hAnsi="Symbol" w:cs="Symbol"/>
    </w:rPr>
  </w:style>
  <w:style w:type="character" w:styleId="WW8Num14z0">
    <w:name w:val="WW8Num14z0"/>
    <w:qFormat/>
    <w:rPr>
      <w:rFonts w:ascii="Calibri" w:hAnsi="Calibri" w:eastAsia="Times New Roman" w:cs="Arial"/>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WW8Num14z3">
    <w:name w:val="WW8Num14z3"/>
    <w:qFormat/>
    <w:rPr>
      <w:rFonts w:ascii="Symbol" w:hAnsi="Symbol" w:cs="Symbol"/>
    </w:rPr>
  </w:style>
  <w:style w:type="character" w:styleId="WW8Num15z0">
    <w:name w:val="WW8Num15z0"/>
    <w:qFormat/>
    <w:rPr>
      <w:b/>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rFonts w:ascii="Calibri" w:hAnsi="Calibri" w:eastAsia="Times New Roman" w:cs="Arial"/>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6z3">
    <w:name w:val="WW8Num16z3"/>
    <w:qFormat/>
    <w:rPr>
      <w:rFonts w:ascii="Symbol" w:hAnsi="Symbol" w:cs="Symbol"/>
    </w:rPr>
  </w:style>
  <w:style w:type="character" w:styleId="WW8Num17z0">
    <w:name w:val="WW8Num17z0"/>
    <w:qFormat/>
    <w:rPr>
      <w:rFonts w:ascii="Calibri" w:hAnsi="Calibri" w:eastAsia="Times New Roman" w:cs="Arial"/>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7z3">
    <w:name w:val="WW8Num17z3"/>
    <w:qFormat/>
    <w:rPr>
      <w:rFonts w:ascii="Symbol" w:hAnsi="Symbol" w:cs="Symbol"/>
    </w:rPr>
  </w:style>
  <w:style w:type="character" w:styleId="WW8Num18z0">
    <w:name w:val="WW8Num18z0"/>
    <w:qFormat/>
    <w:rPr>
      <w:rFonts w:ascii="Wingdings" w:hAnsi="Wingdings" w:cs="Wingdings"/>
    </w:rPr>
  </w:style>
  <w:style w:type="character" w:styleId="WW8Num18z1">
    <w:name w:val="WW8Num18z1"/>
    <w:qFormat/>
    <w:rPr>
      <w:rFonts w:ascii="Courier New" w:hAnsi="Courier New" w:cs="Courier New"/>
    </w:rPr>
  </w:style>
  <w:style w:type="character" w:styleId="WW8Num18z3">
    <w:name w:val="WW8Num18z3"/>
    <w:qFormat/>
    <w:rPr>
      <w:rFonts w:ascii="Symbol" w:hAnsi="Symbol" w:cs="Symbol"/>
    </w:rPr>
  </w:style>
  <w:style w:type="character" w:styleId="WW8Num19z0">
    <w:name w:val="WW8Num19z0"/>
    <w:qFormat/>
    <w:rPr>
      <w:rFonts w:ascii="Symbol" w:hAnsi="Symbol" w:cs="Symbol"/>
    </w:rPr>
  </w:style>
  <w:style w:type="character" w:styleId="WW8Num19z1">
    <w:name w:val="WW8Num19z1"/>
    <w:qFormat/>
    <w:rPr>
      <w:rFonts w:ascii="Courier New" w:hAnsi="Courier New" w:cs="Courier New"/>
    </w:rPr>
  </w:style>
  <w:style w:type="character" w:styleId="WW8Num19z2">
    <w:name w:val="WW8Num19z2"/>
    <w:qFormat/>
    <w:rPr>
      <w:rFonts w:ascii="Wingdings" w:hAnsi="Wingdings" w:cs="Wingdings"/>
    </w:rPr>
  </w:style>
  <w:style w:type="character" w:styleId="WW8Num20z0">
    <w:name w:val="WW8Num20z0"/>
    <w:qFormat/>
    <w:rPr>
      <w:rFonts w:ascii="Arial Narrow" w:hAnsi="Arial Narrow" w:eastAsia="Times New Roman" w:cs="Times New Roman"/>
    </w:rPr>
  </w:style>
  <w:style w:type="character" w:styleId="WW8Num20z1">
    <w:name w:val="WW8Num20z1"/>
    <w:qFormat/>
    <w:rPr>
      <w:rFonts w:ascii="Courier New" w:hAnsi="Courier New" w:cs="Courier New"/>
    </w:rPr>
  </w:style>
  <w:style w:type="character" w:styleId="WW8Num20z2">
    <w:name w:val="WW8Num20z2"/>
    <w:qFormat/>
    <w:rPr>
      <w:rFonts w:ascii="Wingdings" w:hAnsi="Wingdings" w:cs="Wingdings"/>
    </w:rPr>
  </w:style>
  <w:style w:type="character" w:styleId="WW8Num20z3">
    <w:name w:val="WW8Num20z3"/>
    <w:qFormat/>
    <w:rPr>
      <w:rFonts w:ascii="Symbol" w:hAnsi="Symbol" w:cs="Symbol"/>
    </w:rPr>
  </w:style>
  <w:style w:type="character" w:styleId="WW8Num21z0">
    <w:name w:val="WW8Num21z0"/>
    <w:qFormat/>
    <w:rPr>
      <w:i w:val="false"/>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rFonts w:ascii="Wingdings" w:hAnsi="Wingdings" w:cs="Wingdings"/>
    </w:rPr>
  </w:style>
  <w:style w:type="character" w:styleId="WW8Num22z1">
    <w:name w:val="WW8Num22z1"/>
    <w:qFormat/>
    <w:rPr>
      <w:rFonts w:ascii="Courier New" w:hAnsi="Courier New" w:cs="Courier New"/>
    </w:rPr>
  </w:style>
  <w:style w:type="character" w:styleId="WW8Num22z3">
    <w:name w:val="WW8Num22z3"/>
    <w:qFormat/>
    <w:rPr>
      <w:rFonts w:ascii="Symbol" w:hAnsi="Symbol" w:cs="Symbol"/>
    </w:rPr>
  </w:style>
  <w:style w:type="character" w:styleId="WW8Num23z0">
    <w:name w:val="WW8Num23z0"/>
    <w:qFormat/>
    <w:rPr>
      <w:rFonts w:ascii="Symbol" w:hAnsi="Symbol" w:cs="Symbol"/>
    </w:rPr>
  </w:style>
  <w:style w:type="character" w:styleId="WW8Num23z1">
    <w:name w:val="WW8Num23z1"/>
    <w:qFormat/>
    <w:rPr>
      <w:rFonts w:ascii="Courier New" w:hAnsi="Courier New" w:cs="Courier New"/>
    </w:rPr>
  </w:style>
  <w:style w:type="character" w:styleId="WW8Num23z2">
    <w:name w:val="WW8Num23z2"/>
    <w:qFormat/>
    <w:rPr>
      <w:rFonts w:ascii="Wingdings" w:hAnsi="Wingdings" w:cs="Wingdings"/>
    </w:rPr>
  </w:style>
  <w:style w:type="character" w:styleId="WW8Num24z0">
    <w:name w:val="WW8Num24z0"/>
    <w:qFormat/>
    <w:rPr>
      <w:rFonts w:ascii="Calibri" w:hAnsi="Calibri" w:eastAsia="Times New Roman" w:cs="Arial"/>
    </w:rPr>
  </w:style>
  <w:style w:type="character" w:styleId="WW8Num24z1">
    <w:name w:val="WW8Num24z1"/>
    <w:qFormat/>
    <w:rPr>
      <w:rFonts w:ascii="Courier New" w:hAnsi="Courier New" w:cs="Courier New"/>
    </w:rPr>
  </w:style>
  <w:style w:type="character" w:styleId="WW8Num24z2">
    <w:name w:val="WW8Num24z2"/>
    <w:qFormat/>
    <w:rPr>
      <w:rFonts w:ascii="Wingdings" w:hAnsi="Wingdings" w:cs="Wingdings"/>
    </w:rPr>
  </w:style>
  <w:style w:type="character" w:styleId="WW8Num24z3">
    <w:name w:val="WW8Num24z3"/>
    <w:qFormat/>
    <w:rPr>
      <w:rFonts w:ascii="Symbol" w:hAnsi="Symbol" w:cs="Symbol"/>
    </w:rPr>
  </w:style>
  <w:style w:type="character" w:styleId="WW8Num25z0">
    <w:name w:val="WW8Num25z0"/>
    <w:qFormat/>
    <w:rPr>
      <w:rFonts w:ascii="Symbol" w:hAnsi="Symbol" w:cs="Symbol"/>
      <w:sz w:val="20"/>
    </w:rPr>
  </w:style>
  <w:style w:type="character" w:styleId="WW8Num25z1">
    <w:name w:val="WW8Num25z1"/>
    <w:qFormat/>
    <w:rPr>
      <w:rFonts w:ascii="Courier New" w:hAnsi="Courier New" w:cs="Courier New"/>
      <w:sz w:val="20"/>
    </w:rPr>
  </w:style>
  <w:style w:type="character" w:styleId="WW8Num25z2">
    <w:name w:val="WW8Num25z2"/>
    <w:qFormat/>
    <w:rPr>
      <w:rFonts w:ascii="Wingdings" w:hAnsi="Wingdings" w:cs="Wingdings"/>
      <w:sz w:val="20"/>
    </w:rPr>
  </w:style>
  <w:style w:type="character" w:styleId="WW8Num26z0">
    <w:name w:val="WW8Num26z0"/>
    <w:qFormat/>
    <w:rPr>
      <w:rFonts w:ascii="Arial Narrow" w:hAnsi="Arial Narrow" w:eastAsia="Calibri" w:cs="Arial"/>
      <w:b w:val="false"/>
      <w:i w:val="false"/>
      <w:sz w:val="22"/>
      <w:szCs w:val="22"/>
    </w:rPr>
  </w:style>
  <w:style w:type="character" w:styleId="WW8Num26z1">
    <w:name w:val="WW8Num26z1"/>
    <w:qFormat/>
    <w:rPr/>
  </w:style>
  <w:style w:type="character" w:styleId="WW8Num26z2">
    <w:name w:val="WW8Num26z2"/>
    <w:qFormat/>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27z0">
    <w:name w:val="WW8Num27z0"/>
    <w:qFormat/>
    <w:rPr>
      <w:rFonts w:ascii="Symbol" w:hAnsi="Symbol" w:cs="Symbol"/>
    </w:rPr>
  </w:style>
  <w:style w:type="character" w:styleId="WW8Num27z1">
    <w:name w:val="WW8Num27z1"/>
    <w:qFormat/>
    <w:rPr>
      <w:rFonts w:ascii="Courier New" w:hAnsi="Courier New" w:cs="Courier New"/>
    </w:rPr>
  </w:style>
  <w:style w:type="character" w:styleId="WW8Num27z2">
    <w:name w:val="WW8Num27z2"/>
    <w:qFormat/>
    <w:rPr>
      <w:rFonts w:ascii="Wingdings" w:hAnsi="Wingdings" w:cs="Wingdings"/>
    </w:rPr>
  </w:style>
  <w:style w:type="character" w:styleId="WW8Num28z0">
    <w:name w:val="WW8Num28z0"/>
    <w:qFormat/>
    <w:rPr>
      <w:rFonts w:ascii="Calibri" w:hAnsi="Calibri" w:eastAsia="Times New Roman" w:cs="Arial"/>
    </w:rPr>
  </w:style>
  <w:style w:type="character" w:styleId="WW8Num28z1">
    <w:name w:val="WW8Num28z1"/>
    <w:qFormat/>
    <w:rPr>
      <w:rFonts w:ascii="Courier New" w:hAnsi="Courier New" w:cs="Courier New"/>
    </w:rPr>
  </w:style>
  <w:style w:type="character" w:styleId="WW8Num28z2">
    <w:name w:val="WW8Num28z2"/>
    <w:qFormat/>
    <w:rPr>
      <w:rFonts w:ascii="Wingdings" w:hAnsi="Wingdings" w:cs="Wingdings"/>
    </w:rPr>
  </w:style>
  <w:style w:type="character" w:styleId="WW8Num28z3">
    <w:name w:val="WW8Num28z3"/>
    <w:qFormat/>
    <w:rPr>
      <w:rFonts w:ascii="Symbol" w:hAnsi="Symbol" w:cs="Symbol"/>
    </w:rPr>
  </w:style>
  <w:style w:type="character" w:styleId="WW8Num29z0">
    <w:name w:val="WW8Num29z0"/>
    <w:qFormat/>
    <w:rPr>
      <w:rFonts w:ascii="Arial Narrow" w:hAnsi="Arial Narrow" w:eastAsia="Times New Roman" w:cs="Times New Roman"/>
    </w:rPr>
  </w:style>
  <w:style w:type="character" w:styleId="WW8Num29z1">
    <w:name w:val="WW8Num29z1"/>
    <w:qFormat/>
    <w:rPr>
      <w:rFonts w:ascii="Courier New" w:hAnsi="Courier New" w:cs="Courier New"/>
    </w:rPr>
  </w:style>
  <w:style w:type="character" w:styleId="WW8Num29z2">
    <w:name w:val="WW8Num29z2"/>
    <w:qFormat/>
    <w:rPr>
      <w:rFonts w:ascii="Wingdings" w:hAnsi="Wingdings" w:cs="Wingdings"/>
    </w:rPr>
  </w:style>
  <w:style w:type="character" w:styleId="WW8Num29z3">
    <w:name w:val="WW8Num29z3"/>
    <w:qFormat/>
    <w:rPr>
      <w:rFonts w:ascii="Symbol" w:hAnsi="Symbol" w:cs="Symbol"/>
    </w:rPr>
  </w:style>
  <w:style w:type="character" w:styleId="WW8Num30z0">
    <w:name w:val="WW8Num30z0"/>
    <w:qFormat/>
    <w:rPr>
      <w:rFonts w:ascii="Arial Narrow" w:hAnsi="Arial Narrow" w:eastAsia="Times New Roman" w:cs="Arial"/>
    </w:rPr>
  </w:style>
  <w:style w:type="character" w:styleId="WW8Num30z1">
    <w:name w:val="WW8Num30z1"/>
    <w:qFormat/>
    <w:rPr>
      <w:rFonts w:ascii="Courier New" w:hAnsi="Courier New" w:cs="Courier New"/>
    </w:rPr>
  </w:style>
  <w:style w:type="character" w:styleId="WW8Num30z2">
    <w:name w:val="WW8Num30z2"/>
    <w:qFormat/>
    <w:rPr>
      <w:rFonts w:ascii="Wingdings" w:hAnsi="Wingdings" w:cs="Wingdings"/>
    </w:rPr>
  </w:style>
  <w:style w:type="character" w:styleId="WW8Num30z3">
    <w:name w:val="WW8Num30z3"/>
    <w:qFormat/>
    <w:rPr>
      <w:rFonts w:ascii="Symbol" w:hAnsi="Symbol" w:cs="Symbol"/>
    </w:rPr>
  </w:style>
  <w:style w:type="character" w:styleId="WW8Num31z0">
    <w:name w:val="WW8Num31z0"/>
    <w:qFormat/>
    <w:rPr>
      <w:rFonts w:ascii="Arial Narrow" w:hAnsi="Arial Narrow" w:eastAsia="Times New Roman" w:cs="Times New Roman"/>
    </w:rPr>
  </w:style>
  <w:style w:type="character" w:styleId="WW8Num31z1">
    <w:name w:val="WW8Num31z1"/>
    <w:qFormat/>
    <w:rPr>
      <w:rFonts w:ascii="Courier New" w:hAnsi="Courier New" w:cs="Courier New"/>
    </w:rPr>
  </w:style>
  <w:style w:type="character" w:styleId="WW8Num31z2">
    <w:name w:val="WW8Num31z2"/>
    <w:qFormat/>
    <w:rPr>
      <w:rFonts w:ascii="Wingdings" w:hAnsi="Wingdings" w:cs="Wingdings"/>
    </w:rPr>
  </w:style>
  <w:style w:type="character" w:styleId="WW8Num31z3">
    <w:name w:val="WW8Num31z3"/>
    <w:qFormat/>
    <w:rPr>
      <w:rFonts w:ascii="Symbol" w:hAnsi="Symbol" w:cs="Symbol"/>
    </w:rPr>
  </w:style>
  <w:style w:type="character" w:styleId="WW8Num32z0">
    <w:name w:val="WW8Num32z0"/>
    <w:qFormat/>
    <w:rPr/>
  </w:style>
  <w:style w:type="character" w:styleId="WW8Num32z1">
    <w:name w:val="WW8Num32z1"/>
    <w:qFormat/>
    <w:rPr/>
  </w:style>
  <w:style w:type="character" w:styleId="WW8Num32z2">
    <w:name w:val="WW8Num32z2"/>
    <w:qFormat/>
    <w:rPr/>
  </w:style>
  <w:style w:type="character" w:styleId="WW8Num32z3">
    <w:name w:val="WW8Num32z3"/>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WW8Num33z0">
    <w:name w:val="WW8Num33z0"/>
    <w:qFormat/>
    <w:rPr>
      <w:rFonts w:ascii="Wingdings" w:hAnsi="Wingdings" w:cs="Wingdings"/>
    </w:rPr>
  </w:style>
  <w:style w:type="character" w:styleId="WW8Num33z1">
    <w:name w:val="WW8Num33z1"/>
    <w:qFormat/>
    <w:rPr>
      <w:rFonts w:ascii="Courier New" w:hAnsi="Courier New" w:cs="Courier New"/>
    </w:rPr>
  </w:style>
  <w:style w:type="character" w:styleId="WW8Num33z3">
    <w:name w:val="WW8Num33z3"/>
    <w:qFormat/>
    <w:rPr>
      <w:rFonts w:ascii="Symbol" w:hAnsi="Symbol" w:cs="Symbol"/>
    </w:rPr>
  </w:style>
  <w:style w:type="character" w:styleId="WW8Num34z0">
    <w:name w:val="WW8Num34z0"/>
    <w:qFormat/>
    <w:rPr>
      <w:rFonts w:ascii="Calibri" w:hAnsi="Calibri" w:eastAsia="Times New Roman" w:cs="Arial"/>
    </w:rPr>
  </w:style>
  <w:style w:type="character" w:styleId="WW8Num34z1">
    <w:name w:val="WW8Num34z1"/>
    <w:qFormat/>
    <w:rPr>
      <w:rFonts w:ascii="Courier New" w:hAnsi="Courier New" w:cs="Courier New"/>
    </w:rPr>
  </w:style>
  <w:style w:type="character" w:styleId="WW8Num34z2">
    <w:name w:val="WW8Num34z2"/>
    <w:qFormat/>
    <w:rPr>
      <w:rFonts w:ascii="Wingdings" w:hAnsi="Wingdings" w:cs="Wingdings"/>
    </w:rPr>
  </w:style>
  <w:style w:type="character" w:styleId="WW8Num34z3">
    <w:name w:val="WW8Num34z3"/>
    <w:qFormat/>
    <w:rPr>
      <w:rFonts w:ascii="Symbol" w:hAnsi="Symbol" w:cs="Symbol"/>
    </w:rPr>
  </w:style>
  <w:style w:type="character" w:styleId="WW8Num35z0">
    <w:name w:val="WW8Num35z0"/>
    <w:qFormat/>
    <w:rPr>
      <w:rFonts w:ascii="Wingdings" w:hAnsi="Wingdings" w:cs="Wingdings"/>
    </w:rPr>
  </w:style>
  <w:style w:type="character" w:styleId="WW8Num35z1">
    <w:name w:val="WW8Num35z1"/>
    <w:qFormat/>
    <w:rPr>
      <w:rFonts w:ascii="Courier New" w:hAnsi="Courier New" w:cs="Courier New"/>
    </w:rPr>
  </w:style>
  <w:style w:type="character" w:styleId="WW8Num35z3">
    <w:name w:val="WW8Num35z3"/>
    <w:qFormat/>
    <w:rPr>
      <w:rFonts w:ascii="Symbol" w:hAnsi="Symbol" w:cs="Symbol"/>
    </w:rPr>
  </w:style>
  <w:style w:type="character" w:styleId="WW8Num36z0">
    <w:name w:val="WW8Num36z0"/>
    <w:qFormat/>
    <w:rPr>
      <w:i w:val="false"/>
    </w:rPr>
  </w:style>
  <w:style w:type="character" w:styleId="WW8Num36z1">
    <w:name w:val="WW8Num36z1"/>
    <w:qFormat/>
    <w:rPr/>
  </w:style>
  <w:style w:type="character" w:styleId="WW8Num36z2">
    <w:name w:val="WW8Num36z2"/>
    <w:qFormat/>
    <w:rPr/>
  </w:style>
  <w:style w:type="character" w:styleId="WW8Num36z3">
    <w:name w:val="WW8Num36z3"/>
    <w:qFormat/>
    <w:rPr/>
  </w:style>
  <w:style w:type="character" w:styleId="WW8Num36z4">
    <w:name w:val="WW8Num36z4"/>
    <w:qFormat/>
    <w:rPr/>
  </w:style>
  <w:style w:type="character" w:styleId="WW8Num36z5">
    <w:name w:val="WW8Num36z5"/>
    <w:qFormat/>
    <w:rPr/>
  </w:style>
  <w:style w:type="character" w:styleId="WW8Num36z6">
    <w:name w:val="WW8Num36z6"/>
    <w:qFormat/>
    <w:rPr/>
  </w:style>
  <w:style w:type="character" w:styleId="WW8Num36z7">
    <w:name w:val="WW8Num36z7"/>
    <w:qFormat/>
    <w:rPr/>
  </w:style>
  <w:style w:type="character" w:styleId="WW8Num36z8">
    <w:name w:val="WW8Num36z8"/>
    <w:qFormat/>
    <w:rPr/>
  </w:style>
  <w:style w:type="character" w:styleId="WW8Num37z0">
    <w:name w:val="WW8Num37z0"/>
    <w:qFormat/>
    <w:rPr>
      <w:rFonts w:ascii="Wingdings" w:hAnsi="Wingdings" w:cs="Wingdings"/>
    </w:rPr>
  </w:style>
  <w:style w:type="character" w:styleId="WW8Num37z1">
    <w:name w:val="WW8Num37z1"/>
    <w:qFormat/>
    <w:rPr>
      <w:rFonts w:ascii="Courier New" w:hAnsi="Courier New" w:cs="Courier New"/>
    </w:rPr>
  </w:style>
  <w:style w:type="character" w:styleId="WW8Num37z3">
    <w:name w:val="WW8Num37z3"/>
    <w:qFormat/>
    <w:rPr>
      <w:rFonts w:ascii="Symbol" w:hAnsi="Symbol" w:cs="Symbol"/>
    </w:rPr>
  </w:style>
  <w:style w:type="character" w:styleId="WW8Num38z0">
    <w:name w:val="WW8Num38z0"/>
    <w:qFormat/>
    <w:rPr>
      <w:rFonts w:ascii="Symbol" w:hAnsi="Symbol" w:cs="Symbol"/>
      <w:sz w:val="20"/>
    </w:rPr>
  </w:style>
  <w:style w:type="character" w:styleId="WW8Num38z1">
    <w:name w:val="WW8Num38z1"/>
    <w:qFormat/>
    <w:rPr>
      <w:rFonts w:ascii="Courier New" w:hAnsi="Courier New" w:cs="Courier New"/>
      <w:sz w:val="20"/>
    </w:rPr>
  </w:style>
  <w:style w:type="character" w:styleId="WW8Num38z2">
    <w:name w:val="WW8Num38z2"/>
    <w:qFormat/>
    <w:rPr>
      <w:rFonts w:ascii="Wingdings" w:hAnsi="Wingdings" w:cs="Wingdings"/>
      <w:sz w:val="20"/>
    </w:rPr>
  </w:style>
  <w:style w:type="character" w:styleId="WW8Num39z0">
    <w:name w:val="WW8Num39z0"/>
    <w:qFormat/>
    <w:rPr>
      <w:i w:val="false"/>
    </w:rPr>
  </w:style>
  <w:style w:type="character" w:styleId="WW8Num39z1">
    <w:name w:val="WW8Num39z1"/>
    <w:qFormat/>
    <w:rPr/>
  </w:style>
  <w:style w:type="character" w:styleId="WW8Num39z2">
    <w:name w:val="WW8Num39z2"/>
    <w:qFormat/>
    <w:rPr/>
  </w:style>
  <w:style w:type="character" w:styleId="WW8Num39z3">
    <w:name w:val="WW8Num39z3"/>
    <w:qFormat/>
    <w:rPr/>
  </w:style>
  <w:style w:type="character" w:styleId="WW8Num39z4">
    <w:name w:val="WW8Num39z4"/>
    <w:qFormat/>
    <w:rPr/>
  </w:style>
  <w:style w:type="character" w:styleId="WW8Num39z5">
    <w:name w:val="WW8Num39z5"/>
    <w:qFormat/>
    <w:rPr/>
  </w:style>
  <w:style w:type="character" w:styleId="WW8Num39z6">
    <w:name w:val="WW8Num39z6"/>
    <w:qFormat/>
    <w:rPr/>
  </w:style>
  <w:style w:type="character" w:styleId="WW8Num39z7">
    <w:name w:val="WW8Num39z7"/>
    <w:qFormat/>
    <w:rPr/>
  </w:style>
  <w:style w:type="character" w:styleId="WW8Num39z8">
    <w:name w:val="WW8Num39z8"/>
    <w:qFormat/>
    <w:rPr/>
  </w:style>
  <w:style w:type="character" w:styleId="WW8Num40z0">
    <w:name w:val="WW8Num40z0"/>
    <w:qFormat/>
    <w:rPr>
      <w:rFonts w:ascii="Symbol" w:hAnsi="Symbol" w:cs="Symbol"/>
    </w:rPr>
  </w:style>
  <w:style w:type="character" w:styleId="WW8Num40z1">
    <w:name w:val="WW8Num40z1"/>
    <w:qFormat/>
    <w:rPr>
      <w:rFonts w:ascii="Courier New" w:hAnsi="Courier New" w:cs="Courier New"/>
    </w:rPr>
  </w:style>
  <w:style w:type="character" w:styleId="WW8Num40z2">
    <w:name w:val="WW8Num40z2"/>
    <w:qFormat/>
    <w:rPr>
      <w:rFonts w:ascii="Wingdings" w:hAnsi="Wingdings" w:cs="Wingdings"/>
    </w:rPr>
  </w:style>
  <w:style w:type="character" w:styleId="WW8Num41z0">
    <w:name w:val="WW8Num41z0"/>
    <w:qFormat/>
    <w:rPr>
      <w:rFonts w:ascii="Symbol" w:hAnsi="Symbol" w:cs="Symbol"/>
    </w:rPr>
  </w:style>
  <w:style w:type="character" w:styleId="WW8Num41z1">
    <w:name w:val="WW8Num41z1"/>
    <w:qFormat/>
    <w:rPr>
      <w:rFonts w:ascii="Courier New" w:hAnsi="Courier New" w:cs="Courier New"/>
    </w:rPr>
  </w:style>
  <w:style w:type="character" w:styleId="WW8Num41z2">
    <w:name w:val="WW8Num41z2"/>
    <w:qFormat/>
    <w:rPr>
      <w:rFonts w:ascii="Wingdings" w:hAnsi="Wingdings" w:cs="Wingdings"/>
    </w:rPr>
  </w:style>
  <w:style w:type="character" w:styleId="WW8Num42z0">
    <w:name w:val="WW8Num42z0"/>
    <w:qFormat/>
    <w:rPr>
      <w:rFonts w:ascii="Wingdings" w:hAnsi="Wingdings" w:cs="Wingdings"/>
    </w:rPr>
  </w:style>
  <w:style w:type="character" w:styleId="WW8Num42z1">
    <w:name w:val="WW8Num42z1"/>
    <w:qFormat/>
    <w:rPr>
      <w:rFonts w:ascii="Courier New" w:hAnsi="Courier New" w:cs="Courier New"/>
    </w:rPr>
  </w:style>
  <w:style w:type="character" w:styleId="WW8Num42z3">
    <w:name w:val="WW8Num42z3"/>
    <w:qFormat/>
    <w:rPr>
      <w:rFonts w:ascii="Symbol" w:hAnsi="Symbol" w:cs="Symbol"/>
    </w:rPr>
  </w:style>
  <w:style w:type="character" w:styleId="WW8Num43z0">
    <w:name w:val="WW8Num43z0"/>
    <w:qFormat/>
    <w:rPr>
      <w:rFonts w:ascii="Wingdings" w:hAnsi="Wingdings" w:cs="Wingdings"/>
    </w:rPr>
  </w:style>
  <w:style w:type="character" w:styleId="WW8Num43z1">
    <w:name w:val="WW8Num43z1"/>
    <w:qFormat/>
    <w:rPr>
      <w:rFonts w:ascii="Courier New" w:hAnsi="Courier New" w:cs="Courier New"/>
    </w:rPr>
  </w:style>
  <w:style w:type="character" w:styleId="WW8Num43z3">
    <w:name w:val="WW8Num43z3"/>
    <w:qFormat/>
    <w:rPr>
      <w:rFonts w:ascii="Symbol" w:hAnsi="Symbol" w:cs="Symbol"/>
    </w:rPr>
  </w:style>
  <w:style w:type="character" w:styleId="Policepardfaut">
    <w:name w:val="Police par défaut"/>
    <w:qFormat/>
    <w:rPr/>
  </w:style>
  <w:style w:type="character" w:styleId="PageNumber">
    <w:name w:val="Page Number"/>
    <w:basedOn w:val="Policepardfaut"/>
    <w:rPr/>
  </w:style>
  <w:style w:type="character" w:styleId="InternetLink">
    <w:name w:val="Internet Link"/>
    <w:rPr>
      <w:strike w:val="false"/>
      <w:dstrike w:val="false"/>
      <w:color w:val="990000"/>
      <w:u w:val="none"/>
    </w:rPr>
  </w:style>
  <w:style w:type="character" w:styleId="StrongEmphasis">
    <w:name w:val="Strong Emphasis"/>
    <w:rPr>
      <w:b/>
      <w:bCs/>
    </w:rPr>
  </w:style>
  <w:style w:type="character" w:styleId="Emphasis">
    <w:name w:val="Emphasis"/>
    <w:qFormat/>
    <w:rPr>
      <w:i/>
      <w:iCs/>
    </w:rPr>
  </w:style>
  <w:style w:type="character" w:styleId="Titre4Car">
    <w:name w:val="Titre 4 Car"/>
    <w:qFormat/>
    <w:rPr>
      <w:rFonts w:ascii="Calibri" w:hAnsi="Calibri" w:eastAsia="Times New Roman" w:cs="Times New Roman"/>
      <w:b/>
      <w:bCs/>
      <w:sz w:val="28"/>
      <w:szCs w:val="28"/>
    </w:rPr>
  </w:style>
  <w:style w:type="character" w:styleId="Appleconvertedspace">
    <w:name w:val="apple-converted-space"/>
    <w:basedOn w:val="Policepardfaut"/>
    <w:qFormat/>
    <w:rPr/>
  </w:style>
  <w:style w:type="character" w:styleId="Chapo">
    <w:name w:val="chapo"/>
    <w:qFormat/>
    <w:rPr/>
  </w:style>
  <w:style w:type="character" w:styleId="Marquedecommentaire">
    <w:name w:val="Marque de commentaire"/>
    <w:qFormat/>
    <w:rPr>
      <w:sz w:val="16"/>
      <w:szCs w:val="16"/>
    </w:rPr>
  </w:style>
  <w:style w:type="character" w:styleId="CommentaireCar">
    <w:name w:val="Commentaire Car"/>
    <w:qFormat/>
    <w:rPr>
      <w:rFonts w:ascii="Arial" w:hAnsi="Arial" w:cs="Arial"/>
    </w:rPr>
  </w:style>
  <w:style w:type="character" w:styleId="ObjetducommentaireCar">
    <w:name w:val="Objet du commentaire Car"/>
    <w:qFormat/>
    <w:rPr>
      <w:rFonts w:ascii="Arial" w:hAnsi="Arial" w:cs="Arial"/>
      <w:b/>
      <w:bCs/>
    </w:rPr>
  </w:style>
  <w:style w:type="character" w:styleId="TextedebullesCar">
    <w:name w:val="Texte de bulles Car"/>
    <w:qFormat/>
    <w:rPr>
      <w:rFonts w:ascii="Tahoma" w:hAnsi="Tahoma" w:cs="Tahoma"/>
      <w:sz w:val="16"/>
      <w:szCs w:val="16"/>
    </w:rPr>
  </w:style>
  <w:style w:type="paragraph" w:styleId="Heading">
    <w:name w:val="Heading"/>
    <w:basedOn w:val="Normal"/>
    <w:next w:val="TextBody"/>
    <w:qFormat/>
    <w:pPr>
      <w:pBdr>
        <w:top w:val="single" w:sz="4" w:space="4" w:color="000000"/>
        <w:left w:val="single" w:sz="4" w:space="4" w:color="000000"/>
        <w:bottom w:val="single" w:sz="4" w:space="4" w:color="000000"/>
        <w:right w:val="single" w:sz="4" w:space="4" w:color="000000"/>
      </w:pBdr>
      <w:ind w:left="1701" w:right="1701" w:hanging="0"/>
      <w:jc w:val="center"/>
    </w:pPr>
    <w:rPr>
      <w:rFonts w:ascii="Arial Narrow" w:hAnsi="Arial Narrow" w:cs="Arial Narrow"/>
      <w:b/>
      <w:bCs/>
      <w:shadow/>
      <w:sz w:val="28"/>
    </w:rPr>
  </w:style>
  <w:style w:type="paragraph" w:styleId="TextBody">
    <w:name w:val="Text Body"/>
    <w:basedOn w:val="Normal"/>
    <w:pPr>
      <w:spacing w:lineRule="auto" w:line="288"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extBodyIndent">
    <w:name w:val="Text Body Indent"/>
    <w:basedOn w:val="Normal"/>
    <w:pPr>
      <w:tabs>
        <w:tab w:val="left" w:pos="540" w:leader="none"/>
      </w:tabs>
      <w:ind w:left="540" w:hanging="0"/>
      <w:jc w:val="both"/>
    </w:pPr>
    <w:rPr>
      <w:rFonts w:ascii="Arial Narrow" w:hAnsi="Arial Narrow" w:cs="Arial Narrow"/>
    </w:rPr>
  </w:style>
  <w:style w:type="paragraph" w:styleId="Retraitcorpsdetexte2">
    <w:name w:val="Retrait corps de texte 2"/>
    <w:basedOn w:val="Normal"/>
    <w:qFormat/>
    <w:pPr>
      <w:tabs>
        <w:tab w:val="left" w:pos="540" w:leader="none"/>
        <w:tab w:val="left" w:pos="1080" w:leader="none"/>
      </w:tabs>
      <w:ind w:left="1080" w:hanging="0"/>
      <w:jc w:val="both"/>
    </w:pPr>
    <w:rPr>
      <w:rFonts w:ascii="Arial Narrow" w:hAnsi="Arial Narrow" w:cs="Arial Narrow"/>
    </w:rPr>
  </w:style>
  <w:style w:type="paragraph" w:styleId="Footer">
    <w:name w:val="Footer"/>
    <w:basedOn w:val="Normal"/>
    <w:pPr>
      <w:tabs>
        <w:tab w:val="center" w:pos="4536" w:leader="none"/>
        <w:tab w:val="right" w:pos="9072" w:leader="none"/>
      </w:tabs>
    </w:pPr>
    <w:rPr/>
  </w:style>
  <w:style w:type="paragraph" w:styleId="Header">
    <w:name w:val="Header"/>
    <w:basedOn w:val="Normal"/>
    <w:pPr>
      <w:tabs>
        <w:tab w:val="center" w:pos="4536" w:leader="none"/>
        <w:tab w:val="right" w:pos="9072" w:leader="none"/>
      </w:tabs>
    </w:pPr>
    <w:rPr/>
  </w:style>
  <w:style w:type="paragraph" w:styleId="NormalWeb">
    <w:name w:val="Normal (Web)"/>
    <w:basedOn w:val="Normal"/>
    <w:qFormat/>
    <w:pPr>
      <w:spacing w:before="280" w:after="280"/>
    </w:pPr>
    <w:rPr>
      <w:rFonts w:cs="Arial"/>
      <w:color w:val="000000"/>
      <w:sz w:val="10"/>
      <w:szCs w:val="10"/>
    </w:rPr>
  </w:style>
  <w:style w:type="paragraph" w:styleId="Textedocumentation">
    <w:name w:val="textedocumentation"/>
    <w:basedOn w:val="Normal"/>
    <w:qFormat/>
    <w:pPr>
      <w:spacing w:before="280" w:after="280"/>
    </w:pPr>
    <w:rPr>
      <w:rFonts w:ascii="Verdana" w:hAnsi="Verdana" w:cs="Verdana"/>
      <w:color w:val="000000"/>
      <w:sz w:val="11"/>
      <w:szCs w:val="11"/>
    </w:rPr>
  </w:style>
  <w:style w:type="paragraph" w:styleId="Default">
    <w:name w:val="Default"/>
    <w:qFormat/>
    <w:pPr>
      <w:widowControl/>
      <w:autoSpaceDE w:val="false"/>
    </w:pPr>
    <w:rPr>
      <w:rFonts w:ascii="Calibri" w:hAnsi="Calibri" w:eastAsia="Times New Roman" w:cs="Calibri"/>
      <w:color w:val="000000"/>
      <w:sz w:val="24"/>
      <w:szCs w:val="24"/>
      <w:lang w:val="fr-FR" w:bidi="ar-SA" w:eastAsia="zh-CN"/>
    </w:rPr>
  </w:style>
  <w:style w:type="paragraph" w:styleId="ListParagraph">
    <w:name w:val="List Paragraph"/>
    <w:basedOn w:val="Normal"/>
    <w:qFormat/>
    <w:pPr>
      <w:spacing w:before="0" w:after="0"/>
      <w:ind w:left="720" w:hanging="0"/>
      <w:contextualSpacing/>
    </w:pPr>
    <w:rPr>
      <w:rFonts w:ascii="Century Gothic" w:hAnsi="Century Gothic" w:eastAsia="Calibri" w:cs="Century Gothic"/>
      <w:sz w:val="22"/>
      <w:szCs w:val="22"/>
    </w:rPr>
  </w:style>
  <w:style w:type="paragraph" w:styleId="Numration">
    <w:name w:val="Énumération"/>
    <w:basedOn w:val="Normal"/>
    <w:qFormat/>
    <w:pPr>
      <w:tabs>
        <w:tab w:val="left" w:pos="170" w:leader="none"/>
      </w:tabs>
      <w:autoSpaceDE w:val="false"/>
      <w:spacing w:before="0" w:after="57"/>
      <w:ind w:left="170" w:hanging="170"/>
      <w:jc w:val="both"/>
    </w:pPr>
    <w:rPr>
      <w:rFonts w:ascii="AGaramond" w:hAnsi="AGaramond" w:cs="AGaramond"/>
      <w:sz w:val="22"/>
      <w:szCs w:val="22"/>
    </w:rPr>
  </w:style>
  <w:style w:type="paragraph" w:styleId="Paragraphedeliste">
    <w:name w:val="Paragraphe de liste"/>
    <w:basedOn w:val="Normal"/>
    <w:qFormat/>
    <w:pPr>
      <w:spacing w:before="0" w:after="0"/>
      <w:ind w:left="720" w:hanging="0"/>
      <w:contextualSpacing/>
    </w:pPr>
    <w:rPr>
      <w:rFonts w:ascii="Times New Roman" w:hAnsi="Times New Roman" w:eastAsia="Calibri" w:cs="Times New Roman"/>
      <w:color w:val="000000"/>
    </w:rPr>
  </w:style>
  <w:style w:type="paragraph" w:styleId="Commentaire">
    <w:name w:val="Commentaire"/>
    <w:basedOn w:val="Normal"/>
    <w:qFormat/>
    <w:pPr/>
    <w:rPr>
      <w:sz w:val="20"/>
      <w:szCs w:val="20"/>
    </w:rPr>
  </w:style>
  <w:style w:type="paragraph" w:styleId="Objetducommentaire">
    <w:name w:val="Objet du commentaire"/>
    <w:basedOn w:val="Commentaire"/>
    <w:next w:val="Commentaire"/>
    <w:qFormat/>
    <w:pPr/>
    <w:rPr>
      <w:b/>
      <w:bCs/>
    </w:rPr>
  </w:style>
  <w:style w:type="paragraph" w:styleId="Textedebulles">
    <w:name w:val="Texte de bulles"/>
    <w:basedOn w:val="Normal"/>
    <w:qFormat/>
    <w:pPr/>
    <w:rPr>
      <w:rFonts w:ascii="Tahoma" w:hAnsi="Tahoma" w:cs="Tahoma"/>
      <w:sz w:val="16"/>
      <w:szCs w:val="16"/>
    </w:rPr>
  </w:style>
  <w:style w:type="paragraph" w:styleId="FrameContents">
    <w:name w:val="Frame Contents"/>
    <w:basedOn w:val="Normal"/>
    <w:qFormat/>
    <w:pPr/>
    <w:rPr/>
  </w:style>
  <w:style w:type="numbering" w:styleId="WW8Num1">
    <w:name w:val="WW8Num1"/>
  </w:style>
  <w:style w:type="numbering" w:styleId="WW8Num2">
    <w:name w:val="WW8Num2"/>
  </w:style>
  <w:style w:type="numbering" w:styleId="WW8Num3">
    <w:name w:val="WW8Num3"/>
  </w:style>
  <w:style w:type="numbering" w:styleId="WW8Num4">
    <w:name w:val="WW8Num4"/>
  </w:style>
  <w:style w:type="numbering" w:styleId="WW8Num5">
    <w:name w:val="WW8Num5"/>
  </w:style>
  <w:style w:type="numbering" w:styleId="WW8Num6">
    <w:name w:val="WW8Num6"/>
  </w:style>
  <w:style w:type="numbering" w:styleId="WW8Num7">
    <w:name w:val="WW8Num7"/>
  </w:style>
  <w:style w:type="numbering" w:styleId="WW8Num8">
    <w:name w:val="WW8Num8"/>
  </w:style>
  <w:style w:type="numbering" w:styleId="WW8Num9">
    <w:name w:val="WW8Num9"/>
  </w:style>
  <w:style w:type="numbering" w:styleId="WW8Num10">
    <w:name w:val="WW8Num10"/>
  </w:style>
  <w:style w:type="numbering" w:styleId="WW8Num11">
    <w:name w:val="WW8Num11"/>
  </w:style>
  <w:style w:type="numbering" w:styleId="WW8Num12">
    <w:name w:val="WW8Num12"/>
  </w:style>
  <w:style w:type="numbering" w:styleId="WW8Num13">
    <w:name w:val="WW8Num13"/>
  </w:style>
  <w:style w:type="numbering" w:styleId="WW8Num14">
    <w:name w:val="WW8Num14"/>
  </w:style>
  <w:style w:type="numbering" w:styleId="WW8Num15">
    <w:name w:val="WW8Num15"/>
  </w:style>
  <w:style w:type="numbering" w:styleId="WW8Num16">
    <w:name w:val="WW8Num16"/>
  </w:style>
  <w:style w:type="numbering" w:styleId="WW8Num17">
    <w:name w:val="WW8Num17"/>
  </w:style>
  <w:style w:type="numbering" w:styleId="WW8Num18">
    <w:name w:val="WW8Num18"/>
  </w:style>
  <w:style w:type="numbering" w:styleId="WW8Num19">
    <w:name w:val="WW8Num19"/>
  </w:style>
  <w:style w:type="numbering" w:styleId="WW8Num20">
    <w:name w:val="WW8Num20"/>
  </w:style>
  <w:style w:type="numbering" w:styleId="WW8Num21">
    <w:name w:val="WW8Num21"/>
  </w:style>
  <w:style w:type="numbering" w:styleId="WW8Num22">
    <w:name w:val="WW8Num22"/>
  </w:style>
  <w:style w:type="numbering" w:styleId="WW8Num23">
    <w:name w:val="WW8Num23"/>
  </w:style>
  <w:style w:type="numbering" w:styleId="WW8Num24">
    <w:name w:val="WW8Num24"/>
  </w:style>
  <w:style w:type="numbering" w:styleId="WW8Num25">
    <w:name w:val="WW8Num25"/>
  </w:style>
  <w:style w:type="numbering" w:styleId="WW8Num26">
    <w:name w:val="WW8Num26"/>
  </w:style>
  <w:style w:type="numbering" w:styleId="WW8Num27">
    <w:name w:val="WW8Num27"/>
  </w:style>
  <w:style w:type="numbering" w:styleId="WW8Num28">
    <w:name w:val="WW8Num28"/>
  </w:style>
  <w:style w:type="numbering" w:styleId="WW8Num29">
    <w:name w:val="WW8Num29"/>
  </w:style>
  <w:style w:type="numbering" w:styleId="WW8Num30">
    <w:name w:val="WW8Num30"/>
  </w:style>
  <w:style w:type="numbering" w:styleId="WW8Num31">
    <w:name w:val="WW8Num31"/>
  </w:style>
  <w:style w:type="numbering" w:styleId="WW8Num32">
    <w:name w:val="WW8Num32"/>
  </w:style>
  <w:style w:type="numbering" w:styleId="WW8Num33">
    <w:name w:val="WW8Num33"/>
  </w:style>
  <w:style w:type="numbering" w:styleId="WW8Num34">
    <w:name w:val="WW8Num34"/>
  </w:style>
  <w:style w:type="numbering" w:styleId="WW8Num35">
    <w:name w:val="WW8Num35"/>
  </w:style>
  <w:style w:type="numbering" w:styleId="WW8Num36">
    <w:name w:val="WW8Num36"/>
  </w:style>
  <w:style w:type="numbering" w:styleId="WW8Num37">
    <w:name w:val="WW8Num37"/>
  </w:style>
  <w:style w:type="numbering" w:styleId="WW8Num38">
    <w:name w:val="WW8Num38"/>
  </w:style>
  <w:style w:type="numbering" w:styleId="WW8Num39">
    <w:name w:val="WW8Num39"/>
  </w:style>
  <w:style w:type="numbering" w:styleId="WW8Num40">
    <w:name w:val="WW8Num40"/>
  </w:style>
  <w:style w:type="numbering" w:styleId="WW8Num41">
    <w:name w:val="WW8Num41"/>
  </w:style>
  <w:style w:type="numbering" w:styleId="WW8Num42">
    <w:name w:val="WW8Num42"/>
  </w:style>
  <w:style w:type="numbering" w:styleId="WW8Num43">
    <w:name w:val="WW8Num43"/>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1505</TotalTime>
  <Application>LibreOffice/5.0.6.2$Linux_X86_64 LibreOffice_project/00$Build-2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2017-12-04T10:35:00Z</dcterms:created>
  <dc:language>en-GB</dc:language>
  <cp:lastPrinted>2019-01-31T11:35:00Z</cp:lastPrinted>
  <dcterms:modified xsi:type="dcterms:W3CDTF">2019-03-19T17:06:00Z</dcterms:modified>
  <cp:revision>65</cp:revision>
  <dc:title>Protocole d’Accord signé dans le cadre de</dc:title>
</cp:coreProperties>
</file>