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
        <w:pBdr>
          <w:top w:val="single" w:sz="4" w:space="1" w:color="000000"/>
          <w:left w:val="single" w:sz="4" w:space="4" w:color="000000"/>
          <w:bottom w:val="single" w:sz="4" w:space="1" w:color="000000"/>
          <w:right w:val="single" w:sz="4" w:space="4" w:color="000000"/>
        </w:pBdr>
        <w:spacing w:before="240" w:after="60"/>
        <w:rPr>
          <w:rFonts w:ascii="Arial" w:hAnsi="Arial" w:cs="Arial"/>
          <w:sz w:val="28"/>
          <w:szCs w:val="28"/>
        </w:rPr>
      </w:pPr>
      <w:r>
        <w:rPr>
          <w:rFonts w:cs="Arial" w:ascii="Arial" w:hAnsi="Arial"/>
          <w:sz w:val="28"/>
          <w:szCs w:val="28"/>
        </w:rPr>
        <w:t xml:space="preserve">AVENANT N°1 A L’ ACCORD D’ENTREPRISE </w:t>
        <w:br/>
        <w:t>RELATIF A L’ORGANISATION ET AUX MOYENS DE LA COMMISSION SUR L’EGALITE PROFESSIONNELLE ENTRE LES HOMMES ET LES FEMMES</w:t>
        <w:br/>
        <w:t xml:space="preserve"> AU SEIN DE LA MSA DE PICARDIE</w:t>
      </w:r>
    </w:p>
    <w:p>
      <w:pPr>
        <w:pStyle w:val="Normal"/>
        <w:rPr>
          <w:rFonts w:ascii="Arial" w:hAnsi="Arial" w:cs="Arial"/>
          <w:sz w:val="28"/>
          <w:szCs w:val="28"/>
        </w:rPr>
      </w:pPr>
      <w:r>
        <w:rPr>
          <w:rFonts w:cs="Arial"/>
          <w:sz w:val="28"/>
          <w:szCs w:val="28"/>
        </w:rPr>
      </w:r>
    </w:p>
    <w:p>
      <w:pPr>
        <w:pStyle w:val="Normal"/>
        <w:rPr>
          <w:b/>
          <w:b/>
        </w:rPr>
      </w:pPr>
      <w:r>
        <w:rPr>
          <w:b/>
        </w:rPr>
        <w:t>Entre les soussignés :</w:t>
      </w:r>
    </w:p>
    <w:p>
      <w:pPr>
        <w:pStyle w:val="Normal"/>
        <w:rPr>
          <w:b/>
          <w:b/>
        </w:rPr>
      </w:pPr>
      <w:r>
        <w:rPr>
          <w:b/>
        </w:rPr>
      </w:r>
    </w:p>
    <w:p>
      <w:pPr>
        <w:pStyle w:val="Normal"/>
        <w:rPr/>
      </w:pPr>
      <w:r>
        <w:rPr/>
        <w:t>La MSA de Picardie</w:t>
      </w:r>
    </w:p>
    <w:p>
      <w:pPr>
        <w:pStyle w:val="Normal"/>
        <w:rPr/>
      </w:pPr>
      <w:r>
        <w:rPr/>
      </w:r>
    </w:p>
    <w:p>
      <w:pPr>
        <w:pStyle w:val="Normal"/>
        <w:rPr/>
      </w:pPr>
      <w:r>
        <w:rPr/>
      </w:r>
    </w:p>
    <w:p>
      <w:pPr>
        <w:pStyle w:val="Normal"/>
        <w:rPr>
          <w:b/>
          <w:b/>
        </w:rPr>
      </w:pPr>
      <w:r>
        <w:rPr>
          <w:b/>
        </w:rPr>
        <w:t>D’une part,</w:t>
      </w:r>
    </w:p>
    <w:p>
      <w:pPr>
        <w:pStyle w:val="Normal"/>
        <w:rPr>
          <w:b/>
          <w:b/>
        </w:rPr>
      </w:pPr>
      <w:r>
        <w:rPr>
          <w:b/>
        </w:rPr>
      </w:r>
    </w:p>
    <w:p>
      <w:pPr>
        <w:pStyle w:val="Normal"/>
        <w:rPr/>
      </w:pPr>
      <w:r>
        <w:rPr/>
      </w:r>
    </w:p>
    <w:p>
      <w:pPr>
        <w:pStyle w:val="Normal"/>
        <w:rPr/>
      </w:pPr>
      <w:r>
        <w:rPr/>
      </w:r>
    </w:p>
    <w:p>
      <w:pPr>
        <w:pStyle w:val="Normal"/>
        <w:rPr>
          <w:b/>
          <w:b/>
        </w:rPr>
      </w:pPr>
      <w:r>
        <w:rPr>
          <w:b/>
        </w:rPr>
        <w:t>Et :</w:t>
      </w:r>
    </w:p>
    <w:p>
      <w:pPr>
        <w:pStyle w:val="Normal"/>
        <w:rPr>
          <w:b/>
          <w:b/>
        </w:rPr>
      </w:pPr>
      <w:r>
        <w:rPr>
          <w:b/>
        </w:rPr>
      </w:r>
    </w:p>
    <w:p>
      <w:pPr>
        <w:pStyle w:val="Normal"/>
        <w:rPr/>
      </w:pPr>
      <w:r>
        <w:rPr/>
        <w:t xml:space="preserve">La CFDT, organisation syndicale représentative au sein de l’entreprise, </w:t>
      </w:r>
    </w:p>
    <w:p>
      <w:pPr>
        <w:pStyle w:val="Normal"/>
        <w:rPr/>
      </w:pPr>
      <w:r>
        <w:rPr/>
      </w:r>
    </w:p>
    <w:p>
      <w:pPr>
        <w:pStyle w:val="Normal"/>
        <w:rPr/>
      </w:pPr>
      <w:r>
        <w:rPr/>
      </w:r>
    </w:p>
    <w:p>
      <w:pPr>
        <w:pStyle w:val="Normal"/>
        <w:rPr/>
      </w:pPr>
      <w:r>
        <w:rPr/>
        <w:t>La CFE-CGC, organisation syndicale représentative au sein de l’entreprise,</w:t>
      </w:r>
    </w:p>
    <w:p>
      <w:pPr>
        <w:pStyle w:val="Normal"/>
        <w:rPr/>
      </w:pPr>
      <w:r>
        <w:rPr/>
      </w:r>
    </w:p>
    <w:p>
      <w:pPr>
        <w:pStyle w:val="Normal"/>
        <w:rPr/>
      </w:pPr>
      <w:r>
        <w:rPr/>
      </w:r>
    </w:p>
    <w:p>
      <w:pPr>
        <w:pStyle w:val="Normal"/>
        <w:rPr/>
      </w:pPr>
      <w:r>
        <w:rPr/>
        <w:t>La FO, organisation syndicale représentative au sein de l’entreprise,</w:t>
      </w:r>
    </w:p>
    <w:p>
      <w:pPr>
        <w:pStyle w:val="Normal"/>
        <w:rPr/>
      </w:pPr>
      <w:r>
        <w:rPr/>
      </w:r>
    </w:p>
    <w:p>
      <w:pPr>
        <w:pStyle w:val="Normal"/>
        <w:rPr/>
      </w:pPr>
      <w:r>
        <w:rPr/>
      </w:r>
    </w:p>
    <w:p>
      <w:pPr>
        <w:pStyle w:val="Normal"/>
        <w:rPr/>
      </w:pPr>
      <w:r>
        <w:rPr/>
        <w:t>Le SNPMA, organisation syndicale représentative au sein de l’entreprise,</w:t>
      </w:r>
    </w:p>
    <w:p>
      <w:pPr>
        <w:pStyle w:val="Normal"/>
        <w:rPr/>
      </w:pPr>
      <w:r>
        <w:rPr/>
      </w:r>
    </w:p>
    <w:p>
      <w:pPr>
        <w:pStyle w:val="Normal"/>
        <w:rPr/>
      </w:pPr>
      <w:r>
        <w:rPr/>
      </w:r>
    </w:p>
    <w:p>
      <w:pPr>
        <w:pStyle w:val="Normal"/>
        <w:rPr>
          <w:rFonts w:cs="Arial"/>
          <w:b/>
          <w:b/>
        </w:rPr>
      </w:pPr>
      <w:r>
        <w:rPr>
          <w:b/>
        </w:rPr>
        <w:t>D’autre part,</w:t>
      </w:r>
    </w:p>
    <w:p>
      <w:pPr>
        <w:pStyle w:val="Normal"/>
        <w:rPr>
          <w:rFonts w:cs="Arial"/>
          <w:b/>
          <w:b/>
          <w:bCs/>
        </w:rPr>
      </w:pPr>
      <w:r>
        <w:rPr>
          <w:rFonts w:cs="Arial"/>
          <w:b/>
          <w:bCs/>
        </w:rPr>
      </w:r>
    </w:p>
    <w:p>
      <w:pPr>
        <w:pStyle w:val="Normal"/>
        <w:rPr>
          <w:rFonts w:cs="Arial"/>
          <w:bCs/>
        </w:rPr>
      </w:pPr>
      <w:r>
        <w:rPr>
          <w:rFonts w:cs="Arial"/>
          <w:bCs/>
        </w:rPr>
      </w:r>
    </w:p>
    <w:p>
      <w:pPr>
        <w:pStyle w:val="Normal"/>
        <w:rPr>
          <w:rFonts w:cs="Arial"/>
          <w:u w:val="single"/>
        </w:rPr>
      </w:pPr>
      <w:r>
        <w:rPr>
          <w:rFonts w:cs="Arial"/>
          <w:u w:val="single"/>
        </w:rPr>
        <w:t>Préambule</w:t>
      </w:r>
    </w:p>
    <w:p>
      <w:pPr>
        <w:pStyle w:val="Normal"/>
        <w:rPr>
          <w:rFonts w:cs="Arial"/>
          <w:u w:val="single"/>
        </w:rPr>
      </w:pPr>
      <w:r>
        <w:rPr>
          <w:rFonts w:cs="Arial"/>
          <w:u w:val="single"/>
        </w:rPr>
      </w:r>
    </w:p>
    <w:p>
      <w:pPr>
        <w:pStyle w:val="Normal"/>
        <w:rPr/>
      </w:pPr>
      <w:r>
        <w:rPr/>
        <w:t>Les parties ont adopté, en date du 25 novembre 2011, un accord d’entreprise définissant l’organisation et les moyens de la Commission sur l’égalité professionnelle entre les hommes et les femmes de la MSA de Picardie.</w:t>
      </w:r>
    </w:p>
    <w:p>
      <w:pPr>
        <w:pStyle w:val="Normal"/>
        <w:rPr/>
      </w:pPr>
      <w:r>
        <w:rPr/>
      </w:r>
    </w:p>
    <w:p>
      <w:pPr>
        <w:pStyle w:val="Normal"/>
        <w:rPr/>
      </w:pPr>
      <w:r>
        <w:rPr/>
        <w:t>Cet accord prévoyait dans son article 3.3 que :</w:t>
      </w:r>
    </w:p>
    <w:p>
      <w:pPr>
        <w:pStyle w:val="Normal"/>
        <w:rPr>
          <w:i/>
          <w:i/>
        </w:rPr>
      </w:pPr>
      <w:r>
        <w:rPr>
          <w:i/>
        </w:rPr>
        <w:t>« les membres de la commission ne disposent pas de crédit d’heures spécifiques »</w:t>
      </w:r>
    </w:p>
    <w:p>
      <w:pPr>
        <w:pStyle w:val="Normal"/>
        <w:rPr>
          <w:rFonts w:cs="Arial"/>
          <w:i/>
          <w:i/>
        </w:rPr>
      </w:pPr>
      <w:r>
        <w:rPr>
          <w:rFonts w:cs="Arial"/>
          <w:i/>
        </w:rPr>
      </w:r>
    </w:p>
    <w:p>
      <w:pPr>
        <w:pStyle w:val="Normal"/>
        <w:rPr>
          <w:rFonts w:cs="Arial"/>
          <w:szCs w:val="22"/>
        </w:rPr>
      </w:pPr>
      <w:r>
        <w:rPr>
          <w:rFonts w:cs="Arial"/>
          <w:szCs w:val="22"/>
        </w:rPr>
        <w:t>Il a été négocié et conclu l’avenant ci-après.</w:t>
      </w:r>
    </w:p>
    <w:p>
      <w:pPr>
        <w:pStyle w:val="Normal"/>
        <w:rPr>
          <w:rFonts w:cs="Arial"/>
          <w:szCs w:val="22"/>
        </w:rPr>
      </w:pPr>
      <w:r>
        <w:rPr>
          <w:rFonts w:cs="Arial"/>
          <w:szCs w:val="22"/>
        </w:rPr>
      </w:r>
    </w:p>
    <w:p>
      <w:pPr>
        <w:pStyle w:val="Normal"/>
        <w:rPr>
          <w:rFonts w:cs="Arial"/>
          <w:szCs w:val="22"/>
        </w:rPr>
      </w:pPr>
      <w:r>
        <w:rPr>
          <w:rFonts w:cs="Arial"/>
          <w:szCs w:val="22"/>
        </w:rPr>
      </w:r>
    </w:p>
    <w:p>
      <w:pPr>
        <w:pStyle w:val="Normal"/>
        <w:rPr>
          <w:rFonts w:cs="Arial"/>
          <w:szCs w:val="22"/>
        </w:rPr>
      </w:pPr>
      <w:r>
        <w:rPr>
          <w:rFonts w:cs="Arial"/>
          <w:szCs w:val="22"/>
        </w:rPr>
      </w:r>
    </w:p>
    <w:p>
      <w:pPr>
        <w:pStyle w:val="Normal"/>
        <w:rPr>
          <w:rFonts w:cs="Arial"/>
          <w:szCs w:val="22"/>
        </w:rPr>
      </w:pPr>
      <w:r>
        <w:rPr>
          <w:rFonts w:cs="Arial"/>
          <w:szCs w:val="22"/>
        </w:rPr>
      </w:r>
    </w:p>
    <w:p>
      <w:pPr>
        <w:pStyle w:val="Normal"/>
        <w:rPr>
          <w:rFonts w:cs="Arial"/>
          <w:szCs w:val="22"/>
        </w:rPr>
      </w:pPr>
      <w:r>
        <w:rPr>
          <w:rFonts w:cs="Arial"/>
          <w:szCs w:val="22"/>
        </w:rPr>
      </w:r>
    </w:p>
    <w:p>
      <w:pPr>
        <w:pStyle w:val="Normal"/>
        <w:rPr>
          <w:rFonts w:cs="Arial"/>
          <w:szCs w:val="22"/>
        </w:rPr>
      </w:pPr>
      <w:r>
        <w:rPr>
          <w:rFonts w:cs="Arial"/>
          <w:szCs w:val="22"/>
        </w:rPr>
      </w:r>
    </w:p>
    <w:p>
      <w:pPr>
        <w:pStyle w:val="Normal"/>
        <w:rPr>
          <w:rFonts w:cs="Arial"/>
          <w:szCs w:val="22"/>
        </w:rPr>
      </w:pPr>
      <w:r>
        <w:rPr>
          <w:rFonts w:cs="Arial"/>
          <w:szCs w:val="22"/>
        </w:rPr>
      </w:r>
    </w:p>
    <w:p>
      <w:pPr>
        <w:pStyle w:val="Normal"/>
        <w:rPr>
          <w:rFonts w:cs="Arial"/>
          <w:szCs w:val="22"/>
        </w:rPr>
      </w:pPr>
      <w:r>
        <w:rPr>
          <w:rFonts w:cs="Arial"/>
          <w:szCs w:val="22"/>
        </w:rPr>
      </w:r>
    </w:p>
    <w:p>
      <w:pPr>
        <w:pStyle w:val="Heading1"/>
        <w:numPr>
          <w:ilvl w:val="0"/>
          <w:numId w:val="1"/>
        </w:numPr>
        <w:rPr/>
      </w:pPr>
      <w:r>
        <w:rPr/>
        <w:t>Objet de l’avenant</w:t>
      </w:r>
    </w:p>
    <w:p>
      <w:pPr>
        <w:pStyle w:val="Puce"/>
        <w:numPr>
          <w:ilvl w:val="0"/>
          <w:numId w:val="0"/>
        </w:numPr>
        <w:ind w:left="0" w:hanging="0"/>
        <w:rPr/>
      </w:pPr>
      <w:r>
        <w:rPr/>
      </w:r>
    </w:p>
    <w:p>
      <w:pPr>
        <w:pStyle w:val="Puce"/>
        <w:numPr>
          <w:ilvl w:val="0"/>
          <w:numId w:val="0"/>
        </w:numPr>
        <w:ind w:left="0" w:hanging="0"/>
        <w:rPr/>
      </w:pPr>
      <w:r>
        <w:rPr/>
        <w:t>Le présent avenant prévoit l’octroi d’un crédit d’heures annuel aux membres de la Commission sur l’égalité professionnelle entre les hommes et les femmes</w:t>
      </w:r>
      <w:r>
        <w:rPr>
          <w:rFonts w:cs="Arial"/>
        </w:rPr>
        <w:t xml:space="preserve">. </w:t>
      </w:r>
    </w:p>
    <w:p>
      <w:pPr>
        <w:pStyle w:val="Puce"/>
        <w:numPr>
          <w:ilvl w:val="0"/>
          <w:numId w:val="0"/>
        </w:numPr>
        <w:ind w:left="0" w:hanging="0"/>
        <w:rPr>
          <w:rFonts w:cs="Arial"/>
        </w:rPr>
      </w:pPr>
      <w:r>
        <w:rPr>
          <w:rFonts w:cs="Arial"/>
        </w:rPr>
      </w:r>
    </w:p>
    <w:p>
      <w:pPr>
        <w:pStyle w:val="Puce"/>
        <w:numPr>
          <w:ilvl w:val="0"/>
          <w:numId w:val="0"/>
        </w:numPr>
        <w:ind w:left="0" w:hanging="0"/>
        <w:rPr>
          <w:rFonts w:cs="Arial"/>
        </w:rPr>
      </w:pPr>
      <w:r>
        <w:rPr>
          <w:rFonts w:cs="Arial"/>
        </w:rPr>
      </w:r>
    </w:p>
    <w:p>
      <w:pPr>
        <w:pStyle w:val="Heading1"/>
        <w:numPr>
          <w:ilvl w:val="0"/>
          <w:numId w:val="1"/>
        </w:numPr>
        <w:rPr/>
      </w:pPr>
      <w:r>
        <w:rPr/>
        <w:t>Crédit d’heures</w:t>
      </w:r>
    </w:p>
    <w:p>
      <w:pPr>
        <w:pStyle w:val="Normal"/>
        <w:rPr/>
      </w:pPr>
      <w:r>
        <w:rPr/>
      </w:r>
    </w:p>
    <w:p>
      <w:pPr>
        <w:pStyle w:val="Normal"/>
        <w:rPr/>
      </w:pPr>
      <w:r>
        <w:rPr/>
        <w:t xml:space="preserve">L’article 3.3 est modifié comme suit : </w:t>
      </w:r>
    </w:p>
    <w:p>
      <w:pPr>
        <w:pStyle w:val="Normal"/>
        <w:rPr/>
      </w:pPr>
      <w:r>
        <w:rPr/>
      </w:r>
    </w:p>
    <w:p>
      <w:pPr>
        <w:pStyle w:val="Normal"/>
        <w:rPr>
          <w:i/>
          <w:i/>
        </w:rPr>
      </w:pPr>
      <w:r>
        <w:rPr>
          <w:i/>
        </w:rPr>
        <w:t>« Les membres de la Commission disposent d’un crédit d’heures annuel de 10 heures à raison de 5 heures par semestre.</w:t>
      </w:r>
    </w:p>
    <w:p>
      <w:pPr>
        <w:pStyle w:val="Normal"/>
        <w:rPr>
          <w:i/>
          <w:i/>
        </w:rPr>
      </w:pPr>
      <w:r>
        <w:rPr>
          <w:i/>
        </w:rPr>
      </w:r>
    </w:p>
    <w:p>
      <w:pPr>
        <w:pStyle w:val="Normal"/>
        <w:rPr>
          <w:i/>
          <w:i/>
        </w:rPr>
      </w:pPr>
      <w:r>
        <w:rPr>
          <w:i/>
        </w:rPr>
        <w:t>Le temps de réunion et le temps de trajet seront assimilés à du temps de travail effectif, conformément aux règles applicables dans l’entreprise.</w:t>
      </w:r>
    </w:p>
    <w:p>
      <w:pPr>
        <w:pStyle w:val="Normal"/>
        <w:rPr>
          <w:i/>
          <w:i/>
        </w:rPr>
      </w:pPr>
      <w:r>
        <w:rPr>
          <w:i/>
        </w:rPr>
      </w:r>
    </w:p>
    <w:p>
      <w:pPr>
        <w:pStyle w:val="Normal"/>
        <w:rPr>
          <w:i/>
          <w:i/>
        </w:rPr>
      </w:pPr>
      <w:r>
        <w:rPr>
          <w:i/>
        </w:rPr>
        <w:t>Le remboursement des frais de repas et de déplacement se fait à l’identique des autres instances représentatives du personnel de l’entreprise.</w:t>
      </w:r>
    </w:p>
    <w:p>
      <w:pPr>
        <w:pStyle w:val="Normal"/>
        <w:rPr>
          <w:i/>
          <w:i/>
        </w:rPr>
      </w:pPr>
      <w:r>
        <w:rPr>
          <w:i/>
        </w:rPr>
      </w:r>
    </w:p>
    <w:p>
      <w:pPr>
        <w:pStyle w:val="Normal"/>
        <w:rPr>
          <w:i/>
          <w:i/>
        </w:rPr>
      </w:pPr>
      <w:r>
        <w:rPr>
          <w:i/>
        </w:rPr>
        <w:t>Afin de privilégier le développement durable, il sera possible de se réunir par visioconférence ».</w:t>
      </w:r>
    </w:p>
    <w:p>
      <w:pPr>
        <w:pStyle w:val="Normal"/>
        <w:rPr>
          <w:i/>
          <w:i/>
        </w:rPr>
      </w:pPr>
      <w:r>
        <w:rPr>
          <w:i/>
        </w:rPr>
      </w:r>
    </w:p>
    <w:p>
      <w:pPr>
        <w:pStyle w:val="Normal"/>
        <w:rPr>
          <w:i/>
          <w:i/>
        </w:rPr>
      </w:pPr>
      <w:r>
        <w:rPr>
          <w:i/>
        </w:rPr>
      </w:r>
    </w:p>
    <w:p>
      <w:pPr>
        <w:pStyle w:val="Heading1"/>
        <w:numPr>
          <w:ilvl w:val="0"/>
          <w:numId w:val="1"/>
        </w:numPr>
        <w:rPr/>
      </w:pPr>
      <w:r>
        <w:rPr/>
        <w:t>Entrée en vigueur et validité</w:t>
      </w:r>
    </w:p>
    <w:p>
      <w:pPr>
        <w:pStyle w:val="Normal"/>
        <w:rPr/>
      </w:pPr>
      <w:r>
        <w:rPr/>
      </w:r>
    </w:p>
    <w:p>
      <w:pPr>
        <w:pStyle w:val="Normal"/>
        <w:rPr/>
      </w:pPr>
      <w:r>
        <w:rPr/>
        <w:t>Conformément à l’article L. 2261-8 du Code du travail, les dispositions arrêtées par le présent avenant se substituent de plein droit aux stipulations de l’accord précité qu’il modifie.</w:t>
      </w:r>
    </w:p>
    <w:p>
      <w:pPr>
        <w:pStyle w:val="Normal"/>
        <w:rPr/>
      </w:pPr>
      <w:r>
        <w:rPr/>
      </w:r>
    </w:p>
    <w:p>
      <w:pPr>
        <w:pStyle w:val="Normal"/>
        <w:rPr/>
      </w:pPr>
      <w:r>
        <w:rPr/>
        <w:t>Le présent avenant est conclu pour une durée indéterminée. Il prendra effet le 1</w:t>
      </w:r>
      <w:r>
        <w:rPr>
          <w:vertAlign w:val="superscript"/>
        </w:rPr>
        <w:t>er</w:t>
      </w:r>
      <w:r>
        <w:rPr/>
        <w:t xml:space="preserve"> janvier 2019.</w:t>
      </w:r>
    </w:p>
    <w:p>
      <w:pPr>
        <w:pStyle w:val="Normal"/>
        <w:rPr>
          <w:szCs w:val="22"/>
        </w:rPr>
      </w:pPr>
      <w:r>
        <w:rPr>
          <w:szCs w:val="22"/>
        </w:rPr>
      </w:r>
    </w:p>
    <w:p>
      <w:pPr>
        <w:pStyle w:val="Normal"/>
        <w:rPr>
          <w:szCs w:val="22"/>
        </w:rPr>
      </w:pPr>
      <w:r>
        <w:rPr>
          <w:szCs w:val="22"/>
        </w:rPr>
        <w:t>Il ne constitue pas un engagement unilatéral de l’employeur mais un avenant à un accord d’entreprise comportant comme conditions suspensives l’agrément ministériel et le respect des règles de validité relatives à la conclusion des accords collectifs prévues par la Loi.</w:t>
      </w:r>
    </w:p>
    <w:p>
      <w:pPr>
        <w:pStyle w:val="Normal"/>
        <w:rPr>
          <w:szCs w:val="22"/>
        </w:rPr>
      </w:pPr>
      <w:r>
        <w:rPr>
          <w:szCs w:val="22"/>
        </w:rPr>
      </w:r>
    </w:p>
    <w:p>
      <w:pPr>
        <w:pStyle w:val="Normal"/>
        <w:rPr>
          <w:szCs w:val="22"/>
        </w:rPr>
      </w:pPr>
      <w:r>
        <w:rPr>
          <w:szCs w:val="22"/>
        </w:rPr>
      </w:r>
    </w:p>
    <w:p>
      <w:pPr>
        <w:pStyle w:val="Normal"/>
        <w:rPr>
          <w:szCs w:val="22"/>
        </w:rPr>
      </w:pPr>
      <w:r>
        <w:rPr>
          <w:szCs w:val="22"/>
        </w:rPr>
      </w:r>
    </w:p>
    <w:p>
      <w:pPr>
        <w:pStyle w:val="Normal"/>
        <w:rPr>
          <w:szCs w:val="22"/>
        </w:rPr>
      </w:pPr>
      <w:r>
        <w:rPr>
          <w:szCs w:val="22"/>
        </w:rPr>
      </w:r>
    </w:p>
    <w:p>
      <w:pPr>
        <w:pStyle w:val="Normal"/>
        <w:rPr>
          <w:szCs w:val="22"/>
        </w:rPr>
      </w:pPr>
      <w:r>
        <w:rPr>
          <w:szCs w:val="22"/>
        </w:rPr>
      </w:r>
    </w:p>
    <w:p>
      <w:pPr>
        <w:pStyle w:val="Normal"/>
        <w:rPr>
          <w:szCs w:val="22"/>
        </w:rPr>
      </w:pPr>
      <w:r>
        <w:rPr>
          <w:szCs w:val="22"/>
        </w:rPr>
      </w:r>
    </w:p>
    <w:p>
      <w:pPr>
        <w:pStyle w:val="Normal"/>
        <w:rPr>
          <w:szCs w:val="22"/>
        </w:rPr>
      </w:pPr>
      <w:r>
        <w:rPr>
          <w:szCs w:val="22"/>
        </w:rPr>
      </w:r>
    </w:p>
    <w:p>
      <w:pPr>
        <w:pStyle w:val="Normal"/>
        <w:rPr>
          <w:szCs w:val="22"/>
        </w:rPr>
      </w:pPr>
      <w:r>
        <w:rPr>
          <w:szCs w:val="22"/>
        </w:rPr>
      </w:r>
    </w:p>
    <w:p>
      <w:pPr>
        <w:pStyle w:val="Normal"/>
        <w:rPr>
          <w:szCs w:val="22"/>
        </w:rPr>
      </w:pPr>
      <w:r>
        <w:rPr>
          <w:szCs w:val="22"/>
        </w:rPr>
      </w:r>
    </w:p>
    <w:p>
      <w:pPr>
        <w:pStyle w:val="Normal"/>
        <w:rPr>
          <w:szCs w:val="22"/>
        </w:rPr>
      </w:pPr>
      <w:r>
        <w:rPr>
          <w:szCs w:val="22"/>
        </w:rPr>
      </w:r>
    </w:p>
    <w:p>
      <w:pPr>
        <w:pStyle w:val="Normal"/>
        <w:rPr>
          <w:szCs w:val="22"/>
        </w:rPr>
      </w:pPr>
      <w:r>
        <w:rPr>
          <w:szCs w:val="22"/>
        </w:rPr>
      </w:r>
    </w:p>
    <w:p>
      <w:pPr>
        <w:pStyle w:val="Normal"/>
        <w:rPr>
          <w:szCs w:val="22"/>
        </w:rPr>
      </w:pPr>
      <w:r>
        <w:rPr>
          <w:szCs w:val="22"/>
        </w:rPr>
      </w:r>
    </w:p>
    <w:p>
      <w:pPr>
        <w:pStyle w:val="Normal"/>
        <w:rPr>
          <w:szCs w:val="22"/>
        </w:rPr>
      </w:pPr>
      <w:r>
        <w:rPr>
          <w:szCs w:val="22"/>
        </w:rPr>
      </w:r>
    </w:p>
    <w:p>
      <w:pPr>
        <w:pStyle w:val="Normal"/>
        <w:rPr>
          <w:szCs w:val="22"/>
        </w:rPr>
      </w:pPr>
      <w:r>
        <w:rPr>
          <w:szCs w:val="22"/>
        </w:rPr>
      </w:r>
    </w:p>
    <w:p>
      <w:pPr>
        <w:pStyle w:val="Normal"/>
        <w:rPr>
          <w:szCs w:val="22"/>
        </w:rPr>
      </w:pPr>
      <w:r>
        <w:rPr>
          <w:szCs w:val="22"/>
        </w:rPr>
      </w:r>
    </w:p>
    <w:p>
      <w:pPr>
        <w:pStyle w:val="Normal"/>
        <w:rPr>
          <w:szCs w:val="22"/>
        </w:rPr>
      </w:pPr>
      <w:r>
        <w:rPr>
          <w:szCs w:val="22"/>
        </w:rPr>
      </w:r>
    </w:p>
    <w:p>
      <w:pPr>
        <w:pStyle w:val="Heading1"/>
        <w:numPr>
          <w:ilvl w:val="0"/>
          <w:numId w:val="1"/>
        </w:numPr>
        <w:rPr/>
      </w:pPr>
      <w:r>
        <w:rPr/>
        <w:t>Dépôt de l’accord et publicité</w:t>
      </w:r>
    </w:p>
    <w:p>
      <w:pPr>
        <w:pStyle w:val="Normal"/>
        <w:rPr>
          <w:sz w:val="24"/>
          <w:szCs w:val="24"/>
        </w:rPr>
      </w:pPr>
      <w:r>
        <w:rPr>
          <w:sz w:val="24"/>
          <w:szCs w:val="24"/>
        </w:rPr>
      </w:r>
    </w:p>
    <w:p>
      <w:pPr>
        <w:pStyle w:val="Normal"/>
        <w:rPr>
          <w:szCs w:val="22"/>
        </w:rPr>
      </w:pPr>
      <w:r>
        <w:rPr>
          <w:szCs w:val="22"/>
        </w:rPr>
        <w:t>Le présent avenant fera l’objet d’un dépôt selon les modalités fixées par l’article L.2231-6 du Code du Travail.</w:t>
      </w:r>
    </w:p>
    <w:p>
      <w:pPr>
        <w:pStyle w:val="Normal"/>
        <w:rPr>
          <w:szCs w:val="22"/>
        </w:rPr>
      </w:pPr>
      <w:r>
        <w:rPr>
          <w:szCs w:val="22"/>
        </w:rPr>
      </w:r>
    </w:p>
    <w:p>
      <w:pPr>
        <w:pStyle w:val="Normal"/>
        <w:rPr>
          <w:szCs w:val="22"/>
        </w:rPr>
      </w:pPr>
      <w:r>
        <w:rPr>
          <w:szCs w:val="22"/>
        </w:rPr>
        <w:t>Un exemplaire du présent avenant est communiqué au Comité d’entreprise, aux délégués du personnel et aux délégués syndicaux et tenu à disposition du personnel de l’entreprise.</w:t>
      </w:r>
    </w:p>
    <w:p>
      <w:pPr>
        <w:pStyle w:val="Normal"/>
        <w:rPr>
          <w:rFonts w:cs="Arial"/>
          <w:szCs w:val="22"/>
        </w:rPr>
      </w:pPr>
      <w:r>
        <w:rPr>
          <w:rFonts w:cs="Arial"/>
          <w:szCs w:val="22"/>
        </w:rPr>
      </w:r>
    </w:p>
    <w:p>
      <w:pPr>
        <w:pStyle w:val="Normal"/>
        <w:rPr/>
      </w:pPr>
      <w:r>
        <w:rPr/>
        <w:t>Fait à BOVES, le 25 février 2019</w:t>
      </w:r>
    </w:p>
    <w:p>
      <w:pPr>
        <w:pStyle w:val="Normal"/>
        <w:rPr/>
      </w:pPr>
      <w:r>
        <w:rPr/>
      </w:r>
    </w:p>
    <w:p>
      <w:pPr>
        <w:pStyle w:val="Normal"/>
        <w:rPr/>
      </w:pPr>
      <w:r>
        <w:rPr/>
        <w:t>Pour la MSA de Picardie,</w:t>
      </w:r>
    </w:p>
    <w:p>
      <w:pPr>
        <w:pStyle w:val="Normal"/>
        <w:rPr/>
      </w:pPr>
      <w:r>
        <w:rPr/>
      </w:r>
    </w:p>
    <w:p>
      <w:pPr>
        <w:pStyle w:val="Normal"/>
        <w:rPr/>
      </w:pPr>
      <w:r>
        <w:rPr/>
      </w:r>
    </w:p>
    <w:p>
      <w:pPr>
        <w:pStyle w:val="Normal"/>
        <w:rPr/>
      </w:pPr>
      <w:r>
        <w:rPr/>
        <w:tab/>
        <w:tab/>
        <w:tab/>
        <w:tab/>
        <w:tab/>
        <w:tab/>
        <w:tab/>
        <w:t>Pour la CFDT,</w:t>
      </w:r>
    </w:p>
    <w:p>
      <w:pPr>
        <w:pStyle w:val="Normal"/>
        <w:rPr/>
      </w:pPr>
      <w:r>
        <w:rPr/>
      </w:r>
    </w:p>
    <w:p>
      <w:pPr>
        <w:pStyle w:val="Normal"/>
        <w:rPr/>
      </w:pPr>
      <w:r>
        <w:rPr/>
      </w:r>
    </w:p>
    <w:p>
      <w:pPr>
        <w:pStyle w:val="Normal"/>
        <w:rPr/>
      </w:pPr>
      <w:r>
        <w:rPr/>
        <w:tab/>
        <w:tab/>
        <w:tab/>
        <w:tab/>
        <w:tab/>
        <w:tab/>
        <w:tab/>
      </w:r>
    </w:p>
    <w:p>
      <w:pPr>
        <w:pStyle w:val="Normal"/>
        <w:rPr/>
      </w:pPr>
      <w:r>
        <w:rPr/>
      </w:r>
    </w:p>
    <w:p>
      <w:pPr>
        <w:pStyle w:val="Normal"/>
        <w:ind w:left="4248" w:firstLine="708"/>
        <w:rPr/>
      </w:pPr>
      <w:r>
        <w:rPr/>
        <w:t>Pour la CFE-CGC,</w:t>
      </w:r>
    </w:p>
    <w:p>
      <w:pPr>
        <w:pStyle w:val="Normal"/>
        <w:rPr/>
      </w:pPr>
      <w:r>
        <w:rPr/>
      </w:r>
    </w:p>
    <w:p>
      <w:pPr>
        <w:pStyle w:val="Normal"/>
        <w:rPr/>
      </w:pPr>
      <w:r>
        <w:rPr/>
      </w:r>
    </w:p>
    <w:p>
      <w:pPr>
        <w:pStyle w:val="Normal"/>
        <w:rPr/>
      </w:pPr>
      <w:r>
        <w:rPr/>
      </w:r>
    </w:p>
    <w:p>
      <w:pPr>
        <w:pStyle w:val="Normal"/>
        <w:rPr/>
      </w:pPr>
      <w:r>
        <w:rPr/>
        <w:tab/>
        <w:tab/>
        <w:tab/>
        <w:tab/>
        <w:tab/>
        <w:tab/>
        <w:tab/>
      </w:r>
    </w:p>
    <w:p>
      <w:pPr>
        <w:pStyle w:val="Normal"/>
        <w:ind w:left="4956" w:hanging="0"/>
        <w:rPr/>
      </w:pPr>
      <w:r>
        <w:rPr/>
        <w:t>Pour FO,</w:t>
      </w:r>
    </w:p>
    <w:p>
      <w:pPr>
        <w:pStyle w:val="Normal"/>
        <w:rPr/>
      </w:pPr>
      <w:r>
        <w:rPr/>
      </w:r>
    </w:p>
    <w:p>
      <w:pPr>
        <w:pStyle w:val="Normal"/>
        <w:rPr/>
      </w:pPr>
      <w:r>
        <w:rPr/>
      </w:r>
    </w:p>
    <w:p>
      <w:pPr>
        <w:pStyle w:val="Normal"/>
        <w:rPr/>
      </w:pPr>
      <w:r>
        <w:rPr/>
      </w:r>
    </w:p>
    <w:p>
      <w:pPr>
        <w:pStyle w:val="Normal"/>
        <w:rPr/>
      </w:pPr>
      <w:r>
        <w:rPr/>
      </w:r>
    </w:p>
    <w:p>
      <w:pPr>
        <w:pStyle w:val="Normal"/>
        <w:rPr/>
      </w:pPr>
      <w:r>
        <w:rPr/>
        <w:tab/>
        <w:tab/>
        <w:tab/>
        <w:tab/>
        <w:tab/>
        <w:tab/>
        <w:tab/>
        <w:t>Pour le SNPMA,</w:t>
      </w:r>
    </w:p>
    <w:p>
      <w:pPr>
        <w:pStyle w:val="Normal"/>
        <w:rPr/>
      </w:pPr>
      <w:r>
        <w:rPr/>
      </w:r>
    </w:p>
    <w:p>
      <w:pPr>
        <w:pStyle w:val="Normal"/>
        <w:rPr/>
      </w:pPr>
      <w:r>
        <w:rPr/>
      </w:r>
    </w:p>
    <w:p>
      <w:pPr>
        <w:pStyle w:val="Normal"/>
        <w:rPr/>
      </w:pPr>
      <w:r>
        <w:rPr/>
      </w:r>
    </w:p>
    <w:sectPr>
      <w:footerReference w:type="default" r:id="rId2"/>
      <w:type w:val="nextPage"/>
      <w:pgSz w:w="11906" w:h="16838"/>
      <w:pgMar w:left="1418" w:right="1418" w:header="0" w:top="720" w:footer="72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Wingdings">
    <w:charset w:val="02"/>
    <w:family w:val="auto"/>
    <w:pitch w:val="variable"/>
  </w:font>
  <w:font w:name="Symbol">
    <w:charset w:val="01"/>
    <w:family w:val="roman"/>
    <w:pitch w:val="variable"/>
  </w:font>
  <w:font w:name="Tahoma">
    <w:charset w:val="00"/>
    <w:family w:val="swiss"/>
    <w:pitch w:val="variable"/>
  </w:font>
  <w:font w:name="Book Antiqu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70485" cy="160655"/>
              <wp:effectExtent l="0" t="0" r="0" b="0"/>
              <wp:wrapSquare wrapText="largest"/>
              <wp:docPr id="1" name="Frame1"/>
              <a:graphic xmlns:a="http://schemas.openxmlformats.org/drawingml/2006/main">
                <a:graphicData uri="http://schemas.microsoft.com/office/word/2010/wordprocessingShape">
                  <wps:wsp>
                    <wps:cNvSpPr txBox="1"/>
                    <wps:spPr>
                      <a:xfrm>
                        <a:off x="0" y="0"/>
                        <a:ext cx="70485" cy="160655"/>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3</w:t>
                          </w:r>
                          <w:r>
                            <w:fldChar w:fldCharType="end"/>
                          </w:r>
                        </w:p>
                      </w:txbxContent>
                    </wps:txbx>
                    <wps:bodyPr anchor="t">
                      <a:noAutofit/>
                    </wps:bodyPr>
                  </wps:wsp>
                </a:graphicData>
              </a:graphic>
            </wp:anchor>
          </w:drawing>
        </mc:Choice>
        <mc:Fallback>
          <w:pict>
            <v:rect fillcolor="#FFFFFF" style="position:absolute;rotation:0;width:5.55pt;height:12.65pt;margin-top:0.05pt;mso-position-vertical-relative:text;margin-left:447.95pt;mso-position-horizontal:right;mso-position-horizontal-relative:margin">
              <v:fill opacity="0f"/>
              <v:textbox>
                <w:txbxContent>
                  <w:p>
                    <w:pPr>
                      <w:pStyle w:val="Footer"/>
                      <w:rPr>
                        <w:rStyle w:val="PageNumber"/>
                      </w:rPr>
                    </w:pPr>
                    <w:r>
                      <w:rPr>
                        <w:rStyle w:val="PageNumber"/>
                      </w:rPr>
                      <w:fldChar w:fldCharType="begin"/>
                    </w:r>
                    <w:r>
                      <w:instrText> PAGE </w:instrText>
                    </w:r>
                    <w:r>
                      <w:fldChar w:fldCharType="separate"/>
                    </w:r>
                    <w:r>
                      <w:t>3</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Article %1."/>
      <w:lvlJc w:val="left"/>
      <w:pPr>
        <w:ind w:left="0" w:hanging="0"/>
      </w:pPr>
      <w:rPr/>
    </w:lvl>
    <w:lvl w:ilvl="1">
      <w:start w:val="1"/>
      <w:numFmt w:val="decimal"/>
      <w:lvlText w:val="%1.%2"/>
      <w:lvlJc w:val="left"/>
      <w:pPr>
        <w:ind w:left="0" w:hanging="0"/>
      </w:pPr>
      <w:rPr/>
    </w:lvl>
    <w:lvl w:ilvl="2">
      <w:start w:val="1"/>
      <w:numFmt w:val="lowerLetter"/>
      <w:lvlText w:val="(%3)"/>
      <w:lvlJc w:val="left"/>
      <w:pPr>
        <w:ind w:left="720" w:hanging="432"/>
      </w:pPr>
      <w:rPr/>
    </w:lvl>
    <w:lvl w:ilvl="3">
      <w:start w:val="1"/>
      <w:numFmt w:val="lowerRoman"/>
      <w:lvlText w:val="(%4)"/>
      <w:lvlJc w:val="right"/>
      <w:pPr>
        <w:ind w:left="864" w:hanging="144"/>
      </w:pPr>
      <w:rPr/>
    </w:lvl>
    <w:lvl w:ilvl="4">
      <w:start w:val="1"/>
      <w:numFmt w:val="decimal"/>
      <w:lvlText w:val="%5)"/>
      <w:lvlJc w:val="left"/>
      <w:pPr>
        <w:ind w:left="1008" w:hanging="432"/>
      </w:pPr>
      <w:rPr/>
    </w:lvl>
    <w:lvl w:ilvl="5">
      <w:start w:val="1"/>
      <w:numFmt w:val="lowerLetter"/>
      <w:lvlText w:val="%6)"/>
      <w:lvlJc w:val="left"/>
      <w:pPr>
        <w:ind w:left="1152" w:hanging="432"/>
      </w:pPr>
      <w:rPr/>
    </w:lvl>
    <w:lvl w:ilvl="6">
      <w:start w:val="1"/>
      <w:numFmt w:val="lowerRoman"/>
      <w:lvlText w:val="%7)"/>
      <w:lvlJc w:val="right"/>
      <w:pPr>
        <w:ind w:left="1296" w:hanging="288"/>
      </w:pPr>
      <w:rPr/>
    </w:lvl>
    <w:lvl w:ilvl="7">
      <w:start w:val="1"/>
      <w:numFmt w:val="lowerLetter"/>
      <w:lvlText w:val="%8."/>
      <w:lvlJc w:val="left"/>
      <w:pPr>
        <w:ind w:left="1440" w:hanging="432"/>
      </w:pPr>
      <w:rPr/>
    </w:lvl>
    <w:lvl w:ilvl="8">
      <w:start w:val="1"/>
      <w:numFmt w:val="lowerRoman"/>
      <w:lvlText w:val="%9."/>
      <w:lvlJc w:val="right"/>
      <w:pPr>
        <w:ind w:left="1584" w:hanging="144"/>
      </w:pPr>
      <w:rPr/>
    </w:lvl>
  </w:abstractNum>
  <w:abstractNum w:abstractNumId="2">
    <w:lvl w:ilvl="0">
      <w:numFmt w:val="bullet"/>
      <w:lvlText w:val="-"/>
      <w:lvlJc w:val="left"/>
      <w:pPr>
        <w:tabs>
          <w:tab w:val="num" w:pos="720"/>
        </w:tabs>
        <w:ind w:left="720" w:hanging="360"/>
      </w:pPr>
      <w:rPr>
        <w:rFonts w:ascii="Arial" w:hAnsi="Arial" w:cs="Arial" w:hint="default"/>
        <w:rFonts w:cs="Arial"/>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jc w:val="both"/>
    </w:pPr>
    <w:rPr>
      <w:rFonts w:ascii="Arial" w:hAnsi="Arial" w:eastAsia="Times New Roman" w:cs="Arial"/>
      <w:color w:val="auto"/>
      <w:sz w:val="22"/>
      <w:szCs w:val="20"/>
      <w:lang w:val="fr-FR" w:bidi="ar-SA" w:eastAsia="zh-CN"/>
    </w:rPr>
  </w:style>
  <w:style w:type="paragraph" w:styleId="Heading1">
    <w:name w:val="Heading 1"/>
    <w:basedOn w:val="Normal"/>
    <w:next w:val="Normal"/>
    <w:qFormat/>
    <w:pPr>
      <w:keepNext/>
      <w:numPr>
        <w:ilvl w:val="0"/>
        <w:numId w:val="1"/>
      </w:numPr>
      <w:spacing w:before="360" w:after="60"/>
      <w:outlineLvl w:val="0"/>
      <w:outlineLvl w:val="0"/>
    </w:pPr>
    <w:rPr>
      <w:rFonts w:ascii="Calibri" w:hAnsi="Calibri" w:eastAsia="MS Gothic;ＭＳ ゴシック" w:cs="Calibri"/>
      <w:b/>
      <w:bCs/>
      <w:sz w:val="28"/>
      <w:szCs w:val="28"/>
      <w:u w:val="single"/>
    </w:rPr>
  </w:style>
  <w:style w:type="paragraph" w:styleId="Heading2">
    <w:name w:val="Heading 2"/>
    <w:basedOn w:val="Normal"/>
    <w:next w:val="Normal"/>
    <w:qFormat/>
    <w:pPr>
      <w:keepNext/>
      <w:numPr>
        <w:ilvl w:val="1"/>
        <w:numId w:val="1"/>
      </w:numPr>
      <w:spacing w:before="240" w:after="60"/>
      <w:outlineLvl w:val="1"/>
      <w:outlineLvl w:val="1"/>
    </w:pPr>
    <w:rPr>
      <w:rFonts w:ascii="Calibri" w:hAnsi="Calibri" w:eastAsia="MS Gothic;ＭＳ ゴシック" w:cs="Calibri"/>
      <w:b/>
      <w:bCs/>
      <w:i/>
      <w:iCs/>
      <w:sz w:val="24"/>
      <w:szCs w:val="24"/>
    </w:rPr>
  </w:style>
  <w:style w:type="paragraph" w:styleId="Heading3">
    <w:name w:val="Heading 3"/>
    <w:basedOn w:val="Normal"/>
    <w:next w:val="Normal"/>
    <w:qFormat/>
    <w:pPr>
      <w:keepNext/>
      <w:numPr>
        <w:ilvl w:val="2"/>
        <w:numId w:val="1"/>
      </w:numPr>
      <w:spacing w:before="240" w:after="60"/>
      <w:outlineLvl w:val="2"/>
      <w:outlineLvl w:val="2"/>
    </w:pPr>
    <w:rPr>
      <w:rFonts w:ascii="Calibri" w:hAnsi="Calibri" w:eastAsia="MS Gothic;ＭＳ ゴシック" w:cs="Times New Roman"/>
      <w:b/>
      <w:bCs/>
      <w:sz w:val="26"/>
      <w:szCs w:val="26"/>
    </w:rPr>
  </w:style>
  <w:style w:type="paragraph" w:styleId="Heading4">
    <w:name w:val="Heading 4"/>
    <w:basedOn w:val="Normal"/>
    <w:next w:val="Normal"/>
    <w:qFormat/>
    <w:pPr>
      <w:keepNext/>
      <w:numPr>
        <w:ilvl w:val="3"/>
        <w:numId w:val="1"/>
      </w:numPr>
      <w:spacing w:before="240" w:after="60"/>
      <w:outlineLvl w:val="3"/>
      <w:outlineLvl w:val="3"/>
    </w:pPr>
    <w:rPr>
      <w:rFonts w:ascii="Cambria" w:hAnsi="Cambria" w:eastAsia="MS Mincho;ＭＳ 明朝" w:cs="Times New Roman"/>
      <w:b/>
      <w:bCs/>
      <w:sz w:val="28"/>
      <w:szCs w:val="28"/>
    </w:rPr>
  </w:style>
  <w:style w:type="paragraph" w:styleId="Heading5">
    <w:name w:val="Heading 5"/>
    <w:basedOn w:val="Normal"/>
    <w:next w:val="Normal"/>
    <w:qFormat/>
    <w:pPr>
      <w:numPr>
        <w:ilvl w:val="4"/>
        <w:numId w:val="1"/>
      </w:numPr>
      <w:spacing w:before="240" w:after="60"/>
      <w:outlineLvl w:val="4"/>
      <w:outlineLvl w:val="4"/>
    </w:pPr>
    <w:rPr>
      <w:rFonts w:ascii="Cambria" w:hAnsi="Cambria" w:eastAsia="MS Mincho;ＭＳ 明朝" w:cs="Times New Roman"/>
      <w:b/>
      <w:bCs/>
      <w:i/>
      <w:iCs/>
      <w:sz w:val="26"/>
      <w:szCs w:val="26"/>
    </w:rPr>
  </w:style>
  <w:style w:type="paragraph" w:styleId="Heading6">
    <w:name w:val="Heading 6"/>
    <w:basedOn w:val="Normal"/>
    <w:next w:val="Normal"/>
    <w:qFormat/>
    <w:pPr>
      <w:numPr>
        <w:ilvl w:val="5"/>
        <w:numId w:val="1"/>
      </w:numPr>
      <w:spacing w:before="240" w:after="60"/>
      <w:outlineLvl w:val="5"/>
      <w:outlineLvl w:val="5"/>
    </w:pPr>
    <w:rPr>
      <w:rFonts w:ascii="Cambria" w:hAnsi="Cambria" w:eastAsia="MS Mincho;ＭＳ 明朝" w:cs="Times New Roman"/>
      <w:b/>
      <w:bCs/>
      <w:szCs w:val="22"/>
    </w:rPr>
  </w:style>
  <w:style w:type="paragraph" w:styleId="Heading7">
    <w:name w:val="Heading 7"/>
    <w:basedOn w:val="Normal"/>
    <w:next w:val="Normal"/>
    <w:qFormat/>
    <w:pPr>
      <w:numPr>
        <w:ilvl w:val="6"/>
        <w:numId w:val="1"/>
      </w:numPr>
      <w:spacing w:before="240" w:after="60"/>
      <w:outlineLvl w:val="6"/>
      <w:outlineLvl w:val="6"/>
    </w:pPr>
    <w:rPr>
      <w:rFonts w:ascii="Cambria" w:hAnsi="Cambria" w:eastAsia="MS Mincho;ＭＳ 明朝" w:cs="Times New Roman"/>
      <w:sz w:val="24"/>
      <w:szCs w:val="24"/>
    </w:rPr>
  </w:style>
  <w:style w:type="paragraph" w:styleId="Heading8">
    <w:name w:val="Heading 8"/>
    <w:basedOn w:val="Normal"/>
    <w:next w:val="Normal"/>
    <w:qFormat/>
    <w:pPr>
      <w:numPr>
        <w:ilvl w:val="7"/>
        <w:numId w:val="1"/>
      </w:numPr>
      <w:spacing w:before="240" w:after="60"/>
      <w:outlineLvl w:val="7"/>
      <w:outlineLvl w:val="7"/>
    </w:pPr>
    <w:rPr>
      <w:rFonts w:ascii="Cambria" w:hAnsi="Cambria" w:eastAsia="MS Mincho;ＭＳ 明朝" w:cs="Times New Roman"/>
      <w:i/>
      <w:iCs/>
      <w:sz w:val="24"/>
      <w:szCs w:val="24"/>
    </w:rPr>
  </w:style>
  <w:style w:type="paragraph" w:styleId="Heading9">
    <w:name w:val="Heading 9"/>
    <w:basedOn w:val="Normal"/>
    <w:next w:val="Normal"/>
    <w:qFormat/>
    <w:pPr>
      <w:numPr>
        <w:ilvl w:val="8"/>
        <w:numId w:val="1"/>
      </w:numPr>
      <w:spacing w:before="240" w:after="60"/>
      <w:outlineLvl w:val="8"/>
      <w:outlineLvl w:val="8"/>
    </w:pPr>
    <w:rPr>
      <w:rFonts w:ascii="Calibri" w:hAnsi="Calibri" w:eastAsia="MS Gothic;ＭＳ ゴシック" w:cs="Times New Roman"/>
      <w:szCs w:val="22"/>
    </w:rPr>
  </w:style>
  <w:style w:type="character" w:styleId="WW8Num1z0">
    <w:name w:val="WW8Num1z0"/>
    <w:qFormat/>
    <w:rPr/>
  </w:style>
  <w:style w:type="character" w:styleId="WW8Num2z0">
    <w:name w:val="WW8Num2z0"/>
    <w:qFormat/>
    <w:rPr>
      <w:rFonts w:ascii="Arial" w:hAnsi="Arial" w:eastAsia="Times New Roman" w:cs="Aria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character" w:styleId="NotedebasdepageCar">
    <w:name w:val="Note de bas de page Car"/>
    <w:qFormat/>
    <w:rPr>
      <w:rFonts w:ascii="Arial" w:hAnsi="Arial" w:cs="Arial"/>
      <w:sz w:val="24"/>
      <w:szCs w:val="24"/>
    </w:rPr>
  </w:style>
  <w:style w:type="character" w:styleId="FootnoteCharacters">
    <w:name w:val="Footnote Characters"/>
    <w:qFormat/>
    <w:rPr>
      <w:vertAlign w:val="superscript"/>
    </w:rPr>
  </w:style>
  <w:style w:type="character" w:styleId="Titre1Car">
    <w:name w:val="Titre 1 Car"/>
    <w:qFormat/>
    <w:rPr>
      <w:rFonts w:ascii="Calibri" w:hAnsi="Calibri" w:eastAsia="MS Gothic;ＭＳ ゴシック" w:cs="Calibri"/>
      <w:b/>
      <w:bCs/>
      <w:sz w:val="28"/>
      <w:szCs w:val="28"/>
      <w:u w:val="single"/>
    </w:rPr>
  </w:style>
  <w:style w:type="character" w:styleId="Titre2Car">
    <w:name w:val="Titre 2 Car"/>
    <w:qFormat/>
    <w:rPr>
      <w:rFonts w:ascii="Calibri" w:hAnsi="Calibri" w:eastAsia="MS Gothic;ＭＳ ゴシック" w:cs="Calibri"/>
      <w:b/>
      <w:bCs/>
      <w:i/>
      <w:iCs/>
      <w:sz w:val="24"/>
      <w:szCs w:val="24"/>
    </w:rPr>
  </w:style>
  <w:style w:type="character" w:styleId="Titre3Car">
    <w:name w:val="Titre 3 Car"/>
    <w:qFormat/>
    <w:rPr>
      <w:rFonts w:ascii="Calibri" w:hAnsi="Calibri" w:eastAsia="MS Gothic;ＭＳ ゴシック" w:cs="Calibri"/>
      <w:b/>
      <w:bCs/>
      <w:sz w:val="26"/>
      <w:szCs w:val="26"/>
    </w:rPr>
  </w:style>
  <w:style w:type="character" w:styleId="Titre4Car">
    <w:name w:val="Titre 4 Car"/>
    <w:qFormat/>
    <w:rPr>
      <w:rFonts w:ascii="Cambria" w:hAnsi="Cambria" w:eastAsia="MS Mincho;ＭＳ 明朝" w:cs="Cambria"/>
      <w:b/>
      <w:bCs/>
      <w:sz w:val="28"/>
      <w:szCs w:val="28"/>
    </w:rPr>
  </w:style>
  <w:style w:type="character" w:styleId="Titre5Car">
    <w:name w:val="Titre 5 Car"/>
    <w:qFormat/>
    <w:rPr>
      <w:rFonts w:ascii="Cambria" w:hAnsi="Cambria" w:eastAsia="MS Mincho;ＭＳ 明朝" w:cs="Cambria"/>
      <w:b/>
      <w:bCs/>
      <w:i/>
      <w:iCs/>
      <w:sz w:val="26"/>
      <w:szCs w:val="26"/>
    </w:rPr>
  </w:style>
  <w:style w:type="character" w:styleId="Titre6Car">
    <w:name w:val="Titre 6 Car"/>
    <w:qFormat/>
    <w:rPr>
      <w:rFonts w:ascii="Cambria" w:hAnsi="Cambria" w:eastAsia="MS Mincho;ＭＳ 明朝" w:cs="Cambria"/>
      <w:b/>
      <w:bCs/>
      <w:sz w:val="22"/>
      <w:szCs w:val="22"/>
    </w:rPr>
  </w:style>
  <w:style w:type="character" w:styleId="Titre7Car">
    <w:name w:val="Titre 7 Car"/>
    <w:qFormat/>
    <w:rPr>
      <w:rFonts w:ascii="Cambria" w:hAnsi="Cambria" w:eastAsia="MS Mincho;ＭＳ 明朝" w:cs="Cambria"/>
      <w:sz w:val="24"/>
      <w:szCs w:val="24"/>
    </w:rPr>
  </w:style>
  <w:style w:type="character" w:styleId="Titre8Car">
    <w:name w:val="Titre 8 Car"/>
    <w:qFormat/>
    <w:rPr>
      <w:rFonts w:ascii="Cambria" w:hAnsi="Cambria" w:eastAsia="MS Mincho;ＭＳ 明朝" w:cs="Cambria"/>
      <w:i/>
      <w:iCs/>
      <w:sz w:val="24"/>
      <w:szCs w:val="24"/>
    </w:rPr>
  </w:style>
  <w:style w:type="character" w:styleId="Titre9Car">
    <w:name w:val="Titre 9 Car"/>
    <w:qFormat/>
    <w:rPr>
      <w:rFonts w:ascii="Calibri" w:hAnsi="Calibri" w:eastAsia="MS Gothic;ＭＳ ゴシック" w:cs="Calibri"/>
      <w:sz w:val="22"/>
      <w:szCs w:val="22"/>
    </w:rPr>
  </w:style>
  <w:style w:type="character" w:styleId="TitreCar">
    <w:name w:val="Titre Car"/>
    <w:qFormat/>
    <w:rPr>
      <w:rFonts w:ascii="Calibri" w:hAnsi="Calibri" w:eastAsia="MS Gothic;ＭＳ ゴシック" w:cs="Times New Roman"/>
      <w:b/>
      <w:bCs/>
      <w:sz w:val="32"/>
      <w:szCs w:val="32"/>
    </w:rPr>
  </w:style>
  <w:style w:type="character" w:styleId="Txtbold">
    <w:name w:val="txtbold"/>
    <w:basedOn w:val="Policepardfaut"/>
    <w:qFormat/>
    <w:rPr/>
  </w:style>
  <w:style w:type="character" w:styleId="Car11">
    <w:name w:val=" Car11"/>
    <w:qFormat/>
    <w:rPr>
      <w:rFonts w:ascii="Calibri" w:hAnsi="Calibri" w:eastAsia="MS Gothic;ＭＳ ゴシック" w:cs="Times New Roman"/>
      <w:b/>
      <w:bCs/>
      <w:sz w:val="26"/>
      <w:szCs w:val="26"/>
    </w:rPr>
  </w:style>
  <w:style w:type="paragraph" w:styleId="Heading">
    <w:name w:val="Heading"/>
    <w:basedOn w:val="Normal"/>
    <w:next w:val="Normal"/>
    <w:qFormat/>
    <w:pPr>
      <w:spacing w:before="240" w:after="60"/>
      <w:jc w:val="center"/>
      <w:outlineLvl w:val="0"/>
    </w:pPr>
    <w:rPr>
      <w:rFonts w:ascii="Calibri" w:hAnsi="Calibri" w:eastAsia="MS Gothic;ＭＳ ゴシック" w:cs="Times New Roman"/>
      <w:b/>
      <w:bCs/>
      <w:sz w:val="32"/>
      <w:szCs w:val="32"/>
    </w:rPr>
  </w:style>
  <w:style w:type="paragraph" w:styleId="TextBody">
    <w:name w:val="Text Body"/>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rFonts w:ascii="Times New Roman" w:hAnsi="Times New Roman" w:cs="Times New Roman"/>
    </w:rPr>
  </w:style>
  <w:style w:type="paragraph" w:styleId="Footer">
    <w:name w:val="Footer"/>
    <w:basedOn w:val="Normal"/>
    <w:pPr>
      <w:tabs>
        <w:tab w:val="center" w:pos="4536" w:leader="none"/>
        <w:tab w:val="right" w:pos="9072" w:leader="none"/>
      </w:tabs>
    </w:pPr>
    <w:rPr>
      <w:rFonts w:ascii="Times New Roman" w:hAnsi="Times New Roman" w:cs="Times New Roman"/>
    </w:rPr>
  </w:style>
  <w:style w:type="paragraph" w:styleId="CarCarCarCarCarCar">
    <w:name w:val=" Car Car Car Car Car Car"/>
    <w:basedOn w:val="Normal"/>
    <w:qFormat/>
    <w:pPr>
      <w:spacing w:lineRule="exact" w:line="240" w:before="0" w:after="160"/>
    </w:pPr>
    <w:rPr>
      <w:rFonts w:ascii="Tahoma" w:hAnsi="Tahoma" w:cs="Tahoma"/>
      <w:lang w:val="en-US"/>
    </w:rPr>
  </w:style>
  <w:style w:type="paragraph" w:styleId="Corpsdetexte3">
    <w:name w:val="Corps de texte 3"/>
    <w:basedOn w:val="Normal"/>
    <w:qFormat/>
    <w:pPr>
      <w:spacing w:before="0" w:after="120"/>
    </w:pPr>
    <w:rPr>
      <w:rFonts w:ascii="Times New Roman" w:hAnsi="Times New Roman" w:cs="Times New Roman"/>
      <w:sz w:val="16"/>
      <w:szCs w:val="16"/>
    </w:rPr>
  </w:style>
  <w:style w:type="paragraph" w:styleId="Textedebulles">
    <w:name w:val="Texte de bulles"/>
    <w:basedOn w:val="Normal"/>
    <w:qFormat/>
    <w:pPr/>
    <w:rPr>
      <w:rFonts w:ascii="Tahoma" w:hAnsi="Tahoma" w:cs="Tahoma"/>
      <w:sz w:val="16"/>
      <w:szCs w:val="16"/>
    </w:rPr>
  </w:style>
  <w:style w:type="paragraph" w:styleId="Footnote">
    <w:name w:val="Footnote"/>
    <w:basedOn w:val="Normal"/>
    <w:pPr/>
    <w:rPr>
      <w:sz w:val="24"/>
      <w:szCs w:val="24"/>
    </w:rPr>
  </w:style>
  <w:style w:type="paragraph" w:styleId="Enttedetabledesmatires">
    <w:name w:val="En-tête de table des matières"/>
    <w:basedOn w:val="Heading1"/>
    <w:next w:val="Normal"/>
    <w:qFormat/>
    <w:pPr>
      <w:keepLines/>
      <w:numPr>
        <w:ilvl w:val="0"/>
        <w:numId w:val="0"/>
      </w:numPr>
      <w:spacing w:lineRule="auto" w:line="276" w:before="480" w:after="0"/>
      <w:jc w:val="left"/>
    </w:pPr>
    <w:rPr>
      <w:rFonts w:ascii="Calibri" w:hAnsi="Calibri" w:eastAsia="MS Gothic;ＭＳ ゴシック" w:cs="Times New Roman"/>
      <w:color w:val="365F91"/>
      <w:sz w:val="28"/>
      <w:szCs w:val="28"/>
    </w:rPr>
  </w:style>
  <w:style w:type="paragraph" w:styleId="Contents1">
    <w:name w:val="Contents 1"/>
    <w:basedOn w:val="Normal"/>
    <w:next w:val="Normal"/>
    <w:pPr>
      <w:spacing w:before="120" w:after="0"/>
      <w:jc w:val="left"/>
    </w:pPr>
    <w:rPr>
      <w:rFonts w:ascii="Cambria" w:hAnsi="Cambria" w:cs="Cambria"/>
      <w:b/>
      <w:sz w:val="24"/>
      <w:szCs w:val="24"/>
    </w:rPr>
  </w:style>
  <w:style w:type="paragraph" w:styleId="Contents2">
    <w:name w:val="Contents 2"/>
    <w:basedOn w:val="Normal"/>
    <w:next w:val="Normal"/>
    <w:pPr>
      <w:ind w:left="220" w:hanging="0"/>
      <w:jc w:val="left"/>
    </w:pPr>
    <w:rPr>
      <w:rFonts w:ascii="Cambria" w:hAnsi="Cambria" w:cs="Cambria"/>
      <w:b/>
      <w:szCs w:val="22"/>
    </w:rPr>
  </w:style>
  <w:style w:type="paragraph" w:styleId="Contents3">
    <w:name w:val="Contents 3"/>
    <w:basedOn w:val="Normal"/>
    <w:next w:val="Normal"/>
    <w:pPr>
      <w:ind w:left="440" w:hanging="0"/>
      <w:jc w:val="left"/>
    </w:pPr>
    <w:rPr>
      <w:rFonts w:ascii="Cambria" w:hAnsi="Cambria" w:cs="Cambria"/>
      <w:szCs w:val="22"/>
    </w:rPr>
  </w:style>
  <w:style w:type="paragraph" w:styleId="Contents4">
    <w:name w:val="Contents 4"/>
    <w:basedOn w:val="Normal"/>
    <w:next w:val="Normal"/>
    <w:pPr>
      <w:ind w:left="660" w:hanging="0"/>
      <w:jc w:val="left"/>
    </w:pPr>
    <w:rPr>
      <w:rFonts w:ascii="Cambria" w:hAnsi="Cambria" w:cs="Cambria"/>
      <w:sz w:val="20"/>
    </w:rPr>
  </w:style>
  <w:style w:type="paragraph" w:styleId="Contents5">
    <w:name w:val="Contents 5"/>
    <w:basedOn w:val="Normal"/>
    <w:next w:val="Normal"/>
    <w:pPr>
      <w:ind w:left="880" w:hanging="0"/>
      <w:jc w:val="left"/>
    </w:pPr>
    <w:rPr>
      <w:rFonts w:ascii="Cambria" w:hAnsi="Cambria" w:cs="Cambria"/>
      <w:sz w:val="20"/>
    </w:rPr>
  </w:style>
  <w:style w:type="paragraph" w:styleId="Contents6">
    <w:name w:val="Contents 6"/>
    <w:basedOn w:val="Normal"/>
    <w:next w:val="Normal"/>
    <w:pPr>
      <w:ind w:left="1100" w:hanging="0"/>
      <w:jc w:val="left"/>
    </w:pPr>
    <w:rPr>
      <w:rFonts w:ascii="Cambria" w:hAnsi="Cambria" w:cs="Cambria"/>
      <w:sz w:val="20"/>
    </w:rPr>
  </w:style>
  <w:style w:type="paragraph" w:styleId="Contents7">
    <w:name w:val="Contents 7"/>
    <w:basedOn w:val="Normal"/>
    <w:next w:val="Normal"/>
    <w:pPr>
      <w:ind w:left="1320" w:hanging="0"/>
      <w:jc w:val="left"/>
    </w:pPr>
    <w:rPr>
      <w:rFonts w:ascii="Cambria" w:hAnsi="Cambria" w:cs="Cambria"/>
      <w:sz w:val="20"/>
    </w:rPr>
  </w:style>
  <w:style w:type="paragraph" w:styleId="Contents8">
    <w:name w:val="Contents 8"/>
    <w:basedOn w:val="Normal"/>
    <w:next w:val="Normal"/>
    <w:pPr>
      <w:ind w:left="1540" w:hanging="0"/>
      <w:jc w:val="left"/>
    </w:pPr>
    <w:rPr>
      <w:rFonts w:ascii="Cambria" w:hAnsi="Cambria" w:cs="Cambria"/>
      <w:sz w:val="20"/>
    </w:rPr>
  </w:style>
  <w:style w:type="paragraph" w:styleId="Contents9">
    <w:name w:val="Contents 9"/>
    <w:basedOn w:val="Normal"/>
    <w:next w:val="Normal"/>
    <w:pPr>
      <w:ind w:left="1760" w:hanging="0"/>
      <w:jc w:val="left"/>
    </w:pPr>
    <w:rPr>
      <w:rFonts w:ascii="Cambria" w:hAnsi="Cambria" w:cs="Cambria"/>
      <w:sz w:val="20"/>
    </w:rPr>
  </w:style>
  <w:style w:type="paragraph" w:styleId="CarCarCarCarCarCar1">
    <w:name w:val="Car Car Car Car Car Car"/>
    <w:basedOn w:val="Normal"/>
    <w:qFormat/>
    <w:pPr>
      <w:spacing w:lineRule="exact" w:line="240" w:before="0" w:after="160"/>
    </w:pPr>
    <w:rPr>
      <w:rFonts w:ascii="Tahoma" w:hAnsi="Tahoma" w:cs="Tahoma"/>
      <w:lang w:val="en-US"/>
    </w:rPr>
  </w:style>
  <w:style w:type="paragraph" w:styleId="Puce">
    <w:name w:val="Puce"/>
    <w:basedOn w:val="Normal"/>
    <w:qFormat/>
    <w:pPr>
      <w:numPr>
        <w:ilvl w:val="0"/>
        <w:numId w:val="2"/>
      </w:numPr>
    </w:pPr>
    <w:rPr/>
  </w:style>
  <w:style w:type="paragraph" w:styleId="CarCarCar">
    <w:name w:val="Car Car Car"/>
    <w:basedOn w:val="Normal"/>
    <w:qFormat/>
    <w:pPr>
      <w:spacing w:lineRule="exact" w:line="240" w:before="0" w:after="160"/>
    </w:pPr>
    <w:rPr>
      <w:rFonts w:ascii="Book Antiqua" w:hAnsi="Book Antiqua" w:cs="Book Antiqua"/>
      <w:sz w:val="24"/>
      <w:szCs w:val="22"/>
      <w:lang w:val="en-US"/>
    </w:rPr>
  </w:style>
  <w:style w:type="paragraph" w:styleId="FrameContents">
    <w:name w:val="Frame Contents"/>
    <w:basedOn w:val="Normal"/>
    <w:qFormat/>
    <w:pPr/>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2019-04-04T11:05:00Z</dcterms:created>
  <dc:language>en-GB</dc:language>
  <cp:lastPrinted>2019-02-21T16:40:00Z</cp:lastPrinted>
  <dcterms:modified xsi:type="dcterms:W3CDTF">2019-04-04T11:05:00Z</dcterms:modified>
  <cp:revision>2</cp:revision>
  <dc:title>ACCORD D’ENTREPRISE A DUREE DETERMINEE</dc:title>
</cp:coreProperties>
</file>