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Century Gothic" w:hAnsi="Century Gothic" w:cs="Century Gothic"/>
          <w:sz w:val="40"/>
          <w:szCs w:val="40"/>
          <w:lang w:val="fr-FR"/>
        </w:rPr>
      </w:pPr>
      <w:r>
        <w:rPr>
          <w:rFonts w:cs="Century Gothic" w:ascii="Century Gothic" w:hAnsi="Century Gothic"/>
          <w:sz w:val="40"/>
          <w:szCs w:val="40"/>
          <w:lang w:val="fr-FR"/>
        </w:rPr>
        <w:t>ACCORD RELATIF A LA MISE EN PLACE ET AU FONCTIONNEMENT DU COMITE SOCIAL ET ECONOMIQUE AINSI QU’A L’EXERCICE DU DROIT SYNDICAL</w:t>
      </w:r>
    </w:p>
    <w:p>
      <w:pPr>
        <w:pStyle w:val="Standard"/>
        <w:tabs>
          <w:tab w:val="left" w:pos="1814" w:leader="none"/>
          <w:tab w:val="left" w:pos="2154" w:leader="none"/>
          <w:tab w:val="left" w:pos="2466" w:leader="none"/>
        </w:tabs>
        <w:spacing w:before="120" w:after="120"/>
        <w:ind w:right="283" w:hanging="0"/>
        <w:jc w:val="center"/>
        <w:rPr>
          <w:rFonts w:ascii="Century Gothic" w:hAnsi="Century Gothic" w:cs="Century Gothic"/>
          <w:b/>
          <w:b/>
          <w:sz w:val="48"/>
          <w:szCs w:val="48"/>
        </w:rPr>
      </w:pPr>
      <w:r>
        <mc:AlternateContent>
          <mc:Choice Requires="wps">
            <w:drawing>
              <wp:anchor behindDoc="0" distT="8585200" distB="8585200" distL="114935" distR="114935" simplePos="0" locked="0" layoutInCell="1" allowOverlap="1" relativeHeight="2">
                <wp:simplePos x="0" y="0"/>
                <wp:positionH relativeFrom="column">
                  <wp:posOffset>-381000</wp:posOffset>
                </wp:positionH>
                <wp:positionV relativeFrom="paragraph">
                  <wp:posOffset>447040</wp:posOffset>
                </wp:positionV>
                <wp:extent cx="6439535" cy="635"/>
                <wp:effectExtent l="0" t="0" r="0" b="0"/>
                <wp:wrapNone/>
                <wp:docPr id="1" name="Connecteur droit 2"/>
                <a:graphic xmlns:a="http://schemas.openxmlformats.org/drawingml/2006/main">
                  <a:graphicData uri="http://schemas.microsoft.com/office/word/2010/wordprocessingShape">
                    <wps:wsp>
                      <wps:cNvSpPr/>
                      <wps:spPr>
                        <a:xfrm>
                          <a:off x="0" y="0"/>
                          <a:ext cx="6438960" cy="0"/>
                        </a:xfrm>
                        <a:prstGeom prst="line">
                          <a:avLst/>
                        </a:prstGeom>
                        <a:ln w="38160">
                          <a:solidFill>
                            <a:srgbClr val="000000"/>
                          </a:solidFill>
                          <a:miter/>
                        </a:ln>
                      </wps:spPr>
                      <wps:style>
                        <a:lnRef idx="0"/>
                        <a:fillRef idx="0"/>
                        <a:effectRef idx="0"/>
                        <a:fontRef idx="minor"/>
                      </wps:style>
                      <wps:bodyPr/>
                    </wps:wsp>
                  </a:graphicData>
                </a:graphic>
              </wp:anchor>
            </w:drawing>
          </mc:Choice>
          <mc:Fallback>
            <w:pict>
              <v:line id="shape_0" from="-30pt,35.2pt" to="476.95pt,35.2pt" ID="Connecteur droit 2" stroked="t" style="position:absolute">
                <v:stroke color="black" weight="38160" joinstyle="miter" endcap="square"/>
                <v:fill o:detectmouseclick="t" on="false"/>
              </v:line>
            </w:pict>
          </mc:Fallback>
        </mc:AlternateContent>
      </w:r>
      <w:r>
        <w:rPr>
          <w:rFonts w:cs="Century Gothic" w:ascii="Century Gothic" w:hAnsi="Century Gothic"/>
          <w:b/>
          <w:sz w:val="48"/>
          <w:szCs w:val="48"/>
        </w:rPr>
        <w:t>S</w:t>
      </w:r>
      <w:r>
        <w:rPr>
          <w:rFonts w:cs="Century Gothic" w:ascii="Century Gothic" w:hAnsi="Century Gothic"/>
          <w:b/>
          <w:sz w:val="48"/>
          <w:szCs w:val="48"/>
        </w:rPr>
        <w:t xml:space="preserve">OCIETE HUBBARD SAS  </w:t>
      </w:r>
    </w:p>
    <w:p>
      <w:pPr>
        <w:pStyle w:val="Normal"/>
        <w:spacing w:lineRule="auto" w:line="240" w:before="0" w:after="0"/>
        <w:ind w:left="215" w:hanging="0"/>
        <w:rPr>
          <w:rFonts w:ascii="Century Gothic" w:hAnsi="Century Gothic" w:cs="Minion-Regular;Cambria"/>
          <w:b/>
          <w:b/>
          <w:sz w:val="48"/>
          <w:szCs w:val="48"/>
          <w:lang w:val="fr-FR"/>
        </w:rPr>
      </w:pPr>
      <w:r>
        <w:rPr>
          <w:rFonts w:cs="Minion-Regular;Cambria" w:ascii="Century Gothic" w:hAnsi="Century Gothic"/>
          <w:b/>
          <w:sz w:val="48"/>
          <w:szCs w:val="48"/>
          <w:lang w:val="fr-FR"/>
        </w:rPr>
      </w:r>
    </w:p>
    <w:p>
      <w:pPr>
        <w:pStyle w:val="Normal"/>
        <w:spacing w:lineRule="auto" w:line="240" w:before="83" w:after="200"/>
        <w:ind w:left="216" w:hanging="0"/>
        <w:rPr>
          <w:rFonts w:ascii="Century Gothic" w:hAnsi="Century Gothic" w:cs="Minion-Regular;Cambria"/>
          <w:b/>
          <w:b/>
          <w:lang w:val="fr-FR"/>
        </w:rPr>
      </w:pPr>
      <w:r>
        <w:rPr>
          <w:rFonts w:cs="Minion-Regular;Cambria" w:ascii="Century Gothic" w:hAnsi="Century Gothic"/>
          <w:b/>
          <w:lang w:val="fr-FR"/>
        </w:rPr>
        <w:t>ENTRE LES SOUSSIGNEES :</w:t>
      </w:r>
    </w:p>
    <w:p>
      <w:pPr>
        <w:pStyle w:val="Normal"/>
        <w:spacing w:lineRule="auto" w:line="240"/>
        <w:ind w:right="-1" w:firstLine="426"/>
        <w:rPr/>
      </w:pPr>
      <w:r>
        <w:rPr>
          <w:rFonts w:cs="Minion-Regular;Cambria" w:ascii="Century Gothic" w:hAnsi="Century Gothic"/>
          <w:b/>
          <w:lang w:val="fr-FR"/>
        </w:rPr>
        <w:t>La société :</w:t>
        <w:tab/>
        <w:tab/>
        <w:t> </w:t>
      </w:r>
    </w:p>
    <w:p>
      <w:pPr>
        <w:pStyle w:val="Normal"/>
        <w:tabs>
          <w:tab w:val="left" w:pos="2268" w:leader="none"/>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Raison sociale :</w:t>
        <w:tab/>
        <w:tab/>
      </w:r>
      <w:r>
        <w:rPr>
          <w:rFonts w:cs="Minion-Regular;Cambria" w:ascii="Century Gothic" w:hAnsi="Century Gothic"/>
          <w:b/>
          <w:lang w:val="fr-FR"/>
        </w:rPr>
        <w:t>HUBBARD SAS</w:t>
      </w:r>
    </w:p>
    <w:p>
      <w:pPr>
        <w:pStyle w:val="Normal"/>
        <w:tabs>
          <w:tab w:val="left" w:pos="2268" w:leader="none"/>
          <w:tab w:val="left" w:pos="2694" w:leader="none"/>
        </w:tabs>
        <w:spacing w:lineRule="auto" w:line="240" w:before="200" w:after="60"/>
        <w:ind w:firstLine="425"/>
        <w:rPr/>
      </w:pPr>
      <w:r>
        <w:rPr>
          <w:rFonts w:cs="Minion-Regular;Cambria" w:ascii="Century Gothic" w:hAnsi="Century Gothic"/>
          <w:lang w:val="fr-FR"/>
        </w:rPr>
        <w:t>Forme juridique :</w:t>
        <w:tab/>
        <w:tab/>
        <w:t>Société par Actions Simplifiée</w:t>
      </w:r>
    </w:p>
    <w:p>
      <w:pPr>
        <w:pStyle w:val="Normal"/>
        <w:tabs>
          <w:tab w:val="left" w:pos="2268" w:leader="none"/>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Siren :</w:t>
        <w:tab/>
        <w:tab/>
        <w:t>305 609 398</w:t>
      </w:r>
    </w:p>
    <w:p>
      <w:pPr>
        <w:pStyle w:val="Normal"/>
        <w:tabs>
          <w:tab w:val="left" w:pos="2268" w:leader="none"/>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Siège Social :</w:t>
        <w:tab/>
        <w:tab/>
        <w:t>Mauguérand</w:t>
      </w:r>
    </w:p>
    <w:p>
      <w:pPr>
        <w:pStyle w:val="Normal"/>
        <w:tabs>
          <w:tab w:val="left" w:pos="2268" w:leader="none"/>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ab/>
        <w:tab/>
        <w:t>Le Foeil (22800)</w:t>
      </w:r>
    </w:p>
    <w:p>
      <w:pPr>
        <w:pStyle w:val="Normal"/>
        <w:tabs>
          <w:tab w:val="left" w:pos="2268" w:leader="none"/>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ab/>
        <w:tab/>
      </w:r>
      <w:r>
        <w:rPr>
          <w:rFonts w:cs="Minion-Regular;Cambria" w:ascii="Century Gothic" w:hAnsi="Century Gothic"/>
          <w:b/>
          <w:lang w:val="fr-FR"/>
        </w:rPr>
        <w:t xml:space="preserve"> </w:t>
        <w:tab/>
        <w:tab/>
      </w:r>
    </w:p>
    <w:p>
      <w:pPr>
        <w:pStyle w:val="Normal"/>
        <w:tabs>
          <w:tab w:val="left" w:pos="2694" w:leader="none"/>
        </w:tabs>
        <w:spacing w:lineRule="auto" w:line="240" w:before="200" w:after="60"/>
        <w:ind w:firstLine="425"/>
        <w:rPr>
          <w:rFonts w:ascii="Century Gothic" w:hAnsi="Century Gothic" w:cs="Minion-Regular;Cambria"/>
          <w:lang w:val="fr-FR"/>
        </w:rPr>
      </w:pPr>
      <w:r>
        <w:rPr>
          <w:rFonts w:cs="Minion-Regular;Cambria" w:ascii="Century Gothic" w:hAnsi="Century Gothic"/>
          <w:lang w:val="fr-FR"/>
        </w:rPr>
        <w:t>Représentée par xxxxxxxxxx</w:t>
      </w:r>
    </w:p>
    <w:p>
      <w:pPr>
        <w:pStyle w:val="Normal"/>
        <w:tabs>
          <w:tab w:val="left" w:pos="2694" w:leader="none"/>
        </w:tabs>
        <w:spacing w:lineRule="auto" w:line="240"/>
        <w:ind w:right="-1" w:firstLine="426"/>
        <w:rPr>
          <w:rFonts w:ascii="Century Gothic" w:hAnsi="Century Gothic" w:cs="Minion-Regular;Cambria"/>
          <w:lang w:val="fr-FR"/>
        </w:rPr>
      </w:pPr>
      <w:r>
        <w:rPr>
          <w:rFonts w:cs="Minion-Regular;Cambria" w:ascii="Century Gothic" w:hAnsi="Century Gothic"/>
          <w:lang w:val="fr-FR"/>
        </w:rPr>
        <w:t>Agissant en qualité de Directeur Général</w:t>
      </w:r>
    </w:p>
    <w:p>
      <w:pPr>
        <w:pStyle w:val="Normal"/>
        <w:spacing w:lineRule="auto" w:line="240"/>
        <w:ind w:left="540" w:right="360" w:hanging="0"/>
        <w:jc w:val="right"/>
        <w:rPr/>
      </w:pPr>
      <w:r>
        <w:rPr>
          <w:rFonts w:cs="Arial" w:ascii="Century Gothic" w:hAnsi="Century Gothic"/>
          <w:lang w:val="fr-FR"/>
        </w:rPr>
        <w:t>Ci-après dénommée « </w:t>
      </w:r>
      <w:r>
        <w:rPr>
          <w:rFonts w:cs="Arial" w:ascii="Century Gothic" w:hAnsi="Century Gothic"/>
          <w:b/>
          <w:lang w:val="fr-FR"/>
        </w:rPr>
        <w:t>l’entreprise</w:t>
      </w:r>
      <w:r>
        <w:rPr>
          <w:rFonts w:cs="Arial" w:ascii="Century Gothic" w:hAnsi="Century Gothic"/>
          <w:lang w:val="fr-FR"/>
        </w:rPr>
        <w:t> »</w:t>
      </w:r>
    </w:p>
    <w:p>
      <w:pPr>
        <w:pStyle w:val="Normal"/>
        <w:spacing w:lineRule="auto" w:line="240"/>
        <w:ind w:right="-1" w:hanging="0"/>
        <w:rPr>
          <w:rFonts w:ascii="Century Gothic" w:hAnsi="Century Gothic" w:cs="Minion-Regular;Cambria"/>
          <w:b/>
          <w:b/>
          <w:lang w:val="fr-FR"/>
        </w:rPr>
      </w:pPr>
      <w:r>
        <w:rPr>
          <w:rFonts w:cs="Minion-Regular;Cambria" w:ascii="Century Gothic" w:hAnsi="Century Gothic"/>
          <w:b/>
          <w:lang w:val="fr-FR"/>
        </w:rPr>
        <w:t>D’une part, et</w:t>
      </w:r>
    </w:p>
    <w:p>
      <w:pPr>
        <w:pStyle w:val="Normal"/>
        <w:spacing w:lineRule="auto" w:line="240"/>
        <w:ind w:right="-1" w:firstLine="426"/>
        <w:rPr>
          <w:rFonts w:ascii="Century Gothic" w:hAnsi="Century Gothic" w:cs="Minion-Regular;Cambria"/>
          <w:lang w:val="fr-FR"/>
        </w:rPr>
      </w:pPr>
      <w:r>
        <w:rPr>
          <w:rFonts w:cs="Minion-Regular;Cambria" w:ascii="Century Gothic" w:hAnsi="Century Gothic"/>
          <w:b/>
          <w:lang w:val="fr-FR"/>
        </w:rPr>
        <w:t>Les Délégués Syndicaux</w:t>
      </w:r>
      <w:r>
        <w:rPr>
          <w:rFonts w:cs="Minion-Regular;Cambria" w:ascii="Century Gothic" w:hAnsi="Century Gothic"/>
          <w:lang w:val="fr-FR"/>
        </w:rPr>
        <w:t xml:space="preserve"> des organisations syndicales représentatives au sens de l’article L 2122-1 du code du Travail :   </w:t>
      </w:r>
    </w:p>
    <w:p>
      <w:pPr>
        <w:pStyle w:val="Normal"/>
        <w:tabs>
          <w:tab w:val="left" w:pos="426" w:leader="none"/>
        </w:tabs>
        <w:spacing w:lineRule="auto" w:line="240"/>
        <w:ind w:right="-1" w:hanging="0"/>
        <w:rPr/>
      </w:pPr>
      <w:r>
        <w:rPr>
          <w:rFonts w:cs="Minion-Regular;Cambria" w:ascii="Century Gothic" w:hAnsi="Century Gothic"/>
          <w:lang w:val="fr-FR"/>
        </w:rPr>
        <w:tab/>
      </w:r>
      <w:r>
        <w:rPr>
          <w:rFonts w:cs="Minion-Regular;Cambria" w:ascii="Century Gothic" w:hAnsi="Century Gothic"/>
          <w:b/>
          <w:lang w:val="fr-FR"/>
        </w:rPr>
        <w:tab/>
      </w:r>
      <w:r>
        <w:rPr>
          <w:rFonts w:cs="Minion-Regular;Cambria" w:ascii="Century Gothic" w:hAnsi="Century Gothic"/>
          <w:lang w:val="fr-FR"/>
        </w:rPr>
        <w:t>M. xxxxxx, délégué syndical central CGT</w:t>
      </w:r>
    </w:p>
    <w:p>
      <w:pPr>
        <w:pStyle w:val="Normal"/>
        <w:tabs>
          <w:tab w:val="left" w:pos="426" w:leader="none"/>
        </w:tabs>
        <w:spacing w:lineRule="auto" w:line="240"/>
        <w:ind w:right="-1" w:hanging="0"/>
        <w:rPr/>
      </w:pPr>
      <w:r>
        <w:rPr>
          <w:rFonts w:cs="Minion-Regular;Cambria" w:ascii="Century Gothic" w:hAnsi="Century Gothic"/>
          <w:lang w:val="fr-FR"/>
        </w:rPr>
        <w:tab/>
        <w:tab/>
        <w:t>M. xxxxxxx, délégué syndical central CFDT</w:t>
      </w:r>
    </w:p>
    <w:p>
      <w:pPr>
        <w:pStyle w:val="Normal"/>
        <w:tabs>
          <w:tab w:val="left" w:pos="426" w:leader="none"/>
        </w:tabs>
        <w:spacing w:lineRule="auto" w:line="240"/>
        <w:ind w:right="-1" w:hanging="0"/>
        <w:rPr/>
      </w:pPr>
      <w:r>
        <w:rPr>
          <w:rFonts w:cs="Minion-Regular;Cambria" w:ascii="Century Gothic" w:hAnsi="Century Gothic"/>
          <w:b/>
          <w:lang w:val="fr-FR"/>
        </w:rPr>
        <w:tab/>
        <w:tab/>
      </w:r>
      <w:r>
        <w:rPr>
          <w:rFonts w:cs="Minion-Regular;Cambria" w:ascii="Century Gothic" w:hAnsi="Century Gothic"/>
          <w:lang w:val="fr-FR"/>
        </w:rPr>
        <w:t>M. xxxxxxxx, délégué syndical central SNCEA-CFE-CGC</w:t>
      </w:r>
    </w:p>
    <w:p>
      <w:pPr>
        <w:pStyle w:val="TextBody"/>
        <w:spacing w:lineRule="auto" w:line="240"/>
        <w:rPr>
          <w:rFonts w:ascii="Century Gothic" w:hAnsi="Century Gothic" w:cs="Minion-Regular;Cambria"/>
          <w:sz w:val="26"/>
          <w:lang w:val="fr-FR"/>
        </w:rPr>
      </w:pPr>
      <w:r>
        <w:rPr>
          <w:rFonts w:cs="Minion-Regular;Cambria" w:ascii="Century Gothic" w:hAnsi="Century Gothic"/>
          <w:sz w:val="26"/>
          <w:lang w:val="fr-FR"/>
        </w:rPr>
      </w:r>
    </w:p>
    <w:p>
      <w:pPr>
        <w:pStyle w:val="Normal"/>
        <w:spacing w:lineRule="auto" w:line="240"/>
        <w:ind w:left="540" w:right="360" w:hanging="0"/>
        <w:jc w:val="right"/>
        <w:rPr>
          <w:rFonts w:ascii="Century Gothic" w:hAnsi="Century Gothic" w:cs="Arial"/>
          <w:lang w:val="fr-FR"/>
        </w:rPr>
      </w:pPr>
      <w:r>
        <w:rPr>
          <w:rFonts w:cs="Arial" w:ascii="Century Gothic" w:hAnsi="Century Gothic"/>
          <w:lang w:val="fr-FR"/>
        </w:rPr>
        <w:t>Ci-après dénommés « </w:t>
      </w:r>
      <w:r>
        <w:rPr>
          <w:rFonts w:cs="Arial" w:ascii="Century Gothic" w:hAnsi="Century Gothic"/>
          <w:b/>
          <w:lang w:val="fr-FR"/>
        </w:rPr>
        <w:t xml:space="preserve">les salariés </w:t>
      </w:r>
      <w:r>
        <w:rPr>
          <w:rFonts w:cs="Arial" w:ascii="Century Gothic" w:hAnsi="Century Gothic"/>
          <w:lang w:val="fr-FR"/>
        </w:rPr>
        <w:t>»</w:t>
      </w:r>
    </w:p>
    <w:p>
      <w:pPr>
        <w:pStyle w:val="Normal"/>
        <w:spacing w:lineRule="auto" w:line="240"/>
        <w:ind w:right="360" w:hanging="0"/>
        <w:rPr>
          <w:rFonts w:ascii="Century Gothic" w:hAnsi="Century Gothic" w:cs="Minion-Regular;Cambria"/>
          <w:b/>
          <w:b/>
          <w:lang w:val="fr-FR"/>
        </w:rPr>
      </w:pPr>
      <w:r>
        <w:rPr>
          <w:rFonts w:cs="Minion-Regular;Cambria" w:ascii="Century Gothic" w:hAnsi="Century Gothic"/>
          <w:b/>
          <w:lang w:val="fr-FR"/>
        </w:rPr>
        <w:t>D’autre part,</w:t>
      </w:r>
    </w:p>
    <w:p>
      <w:pPr>
        <w:pStyle w:val="Normal"/>
        <w:spacing w:lineRule="auto" w:line="240"/>
        <w:ind w:right="-1" w:hanging="0"/>
        <w:rPr>
          <w:rFonts w:ascii="Century Gothic" w:hAnsi="Century Gothic" w:cs="Minion-Regular;Cambria"/>
          <w:lang w:val="fr-FR"/>
        </w:rPr>
      </w:pPr>
      <w:r>
        <w:rPr>
          <w:rFonts w:cs="Minion-Regular;Cambria" w:ascii="Century Gothic" w:hAnsi="Century Gothic"/>
          <w:lang w:val="fr-FR"/>
        </w:rPr>
        <w:t>Ci-après désignés ensemble « les parties »</w:t>
      </w:r>
    </w:p>
    <w:p>
      <w:pPr>
        <w:pStyle w:val="TextBody"/>
        <w:spacing w:lineRule="auto" w:line="240"/>
        <w:jc w:val="both"/>
        <w:rPr>
          <w:rFonts w:ascii="Century Gothic" w:hAnsi="Century Gothic" w:cs="Minion-Regular;Cambria"/>
          <w:sz w:val="20"/>
          <w:szCs w:val="20"/>
          <w:lang w:val="fr-FR"/>
        </w:rPr>
      </w:pPr>
      <w:r>
        <w:rPr>
          <w:rFonts w:cs="Minion-Regular;Cambria" w:ascii="Century Gothic" w:hAnsi="Century Gothic"/>
          <w:sz w:val="20"/>
          <w:szCs w:val="20"/>
          <w:lang w:val="fr-FR"/>
        </w:rPr>
      </w:r>
    </w:p>
    <w:p>
      <w:pPr>
        <w:sectPr>
          <w:footerReference w:type="default" r:id="rId2"/>
          <w:type w:val="nextPage"/>
          <w:pgSz w:w="11906" w:h="16838"/>
          <w:pgMar w:left="1200" w:right="1280" w:header="0" w:top="1400" w:footer="1002" w:bottom="1200" w:gutter="0"/>
          <w:pgNumType w:start="1" w:fmt="decimal"/>
          <w:formProt w:val="false"/>
          <w:textDirection w:val="lrTb"/>
          <w:docGrid w:type="default" w:linePitch="360" w:charSpace="0"/>
        </w:sectPr>
        <w:pStyle w:val="TextBody"/>
        <w:spacing w:lineRule="auto" w:line="240"/>
        <w:jc w:val="both"/>
        <w:rPr>
          <w:rFonts w:ascii="Century Gothic" w:hAnsi="Century Gothic" w:cs="Minion-Regular;Cambria"/>
          <w:sz w:val="20"/>
          <w:szCs w:val="20"/>
        </w:rPr>
      </w:pPr>
      <w:r>
        <w:rPr>
          <w:rFonts w:cs="Minion-Regular;Cambria" w:ascii="Century Gothic" w:hAnsi="Century Gothic"/>
          <w:sz w:val="20"/>
          <w:szCs w:val="20"/>
        </w:rPr>
        <w:t>Il a été convenu ce qui suit :</w:t>
      </w:r>
    </w:p>
    <w:p>
      <w:pPr>
        <w:pStyle w:val="Normal"/>
        <w:numPr>
          <w:ilvl w:val="0"/>
          <w:numId w:val="0"/>
        </w:numPr>
        <w:rPr>
          <w:rFonts w:ascii="Century Gothic" w:hAnsi="Century Gothic" w:cs="Minion-Regular;Cambria"/>
          <w:sz w:val="20"/>
          <w:szCs w:val="20"/>
          <w:lang w:val="fr-FR"/>
        </w:rPr>
      </w:pPr>
      <w:bookmarkStart w:id="0" w:name="_bookmark0"/>
      <w:bookmarkStart w:id="1" w:name="_bookmark0"/>
      <w:bookmarkEnd w:id="1"/>
      <w:r>
        <w:rPr>
          <w:rFonts w:cs="Minion-Regular;Cambria" w:ascii="Century Gothic" w:hAnsi="Century Gothic"/>
          <w:sz w:val="20"/>
          <w:szCs w:val="20"/>
          <w:lang w:val="fr-FR"/>
        </w:rPr>
      </w:r>
    </w:p>
    <w:p>
      <w:pPr>
        <w:pStyle w:val="Enttedetabledesmatires"/>
        <w:rPr/>
      </w:pPr>
      <w:r>
        <w:rPr/>
        <w:t>Sommaire</w:t>
      </w:r>
    </w:p>
    <w:p>
      <w:pPr>
        <w:pStyle w:val="Contents1"/>
        <w:tabs>
          <w:tab w:val="right" w:pos="9420" w:leader="dot"/>
        </w:tabs>
        <w:rPr>
          <w:sz w:val="22"/>
          <w:szCs w:val="22"/>
          <w:lang w:val="fr-FR" w:eastAsia="en-GB" w:bidi="ar-SA"/>
        </w:rPr>
      </w:pPr>
      <w:r>
        <w:fldChar w:fldCharType="begin"/>
      </w:r>
      <w:r>
        <w:instrText> TOC \o "1-3" \h \z \u </w:instrText>
      </w:r>
      <w:r>
        <w:fldChar w:fldCharType="separate"/>
      </w:r>
      <w:hyperlink w:anchor="__RefHeading___Toc4687731">
        <w:r>
          <w:rPr>
            <w:rStyle w:val="IndexLink"/>
            <w:rFonts w:cs="Arial"/>
            <w:lang w:val="fr-FR" w:eastAsia="en-GB"/>
          </w:rPr>
          <w:t>ARTICLE 1. PERIMETRE DE L’ACCORD</w:t>
        </w:r>
        <w:r>
          <w:rPr>
            <w:rStyle w:val="IndexLink"/>
            <w:lang w:val="en-GB" w:eastAsia="en-GB"/>
          </w:rPr>
          <w:tab/>
          <w:t>5</w:t>
        </w:r>
      </w:hyperlink>
    </w:p>
    <w:p>
      <w:pPr>
        <w:pStyle w:val="Contents2"/>
        <w:tabs>
          <w:tab w:val="right" w:pos="9420" w:leader="dot"/>
        </w:tabs>
        <w:rPr>
          <w:sz w:val="22"/>
          <w:szCs w:val="22"/>
          <w:lang w:val="fr-FR" w:eastAsia="en-GB" w:bidi="ar-SA"/>
        </w:rPr>
      </w:pPr>
      <w:hyperlink w:anchor="__RefHeading___Toc4687732">
        <w:r>
          <w:rPr>
            <w:rStyle w:val="IndexLink"/>
            <w:lang w:val="en-GB" w:eastAsia="en-GB"/>
          </w:rPr>
          <w:t xml:space="preserve">1.1 PÉRIMÈTRE DE MISE EN PLACE </w:t>
        </w:r>
        <w:r>
          <w:rPr>
            <w:rStyle w:val="IndexLink"/>
            <w:lang w:val="fr-FR" w:eastAsia="en-GB"/>
          </w:rPr>
          <w:t>DE L’ACCORD</w:t>
        </w:r>
        <w:r>
          <w:rPr>
            <w:rStyle w:val="IndexLink"/>
            <w:lang w:val="en-GB" w:eastAsia="en-GB"/>
          </w:rPr>
          <w:tab/>
          <w:t>5</w:t>
        </w:r>
      </w:hyperlink>
    </w:p>
    <w:p>
      <w:pPr>
        <w:pStyle w:val="Contents1"/>
        <w:tabs>
          <w:tab w:val="right" w:pos="9420" w:leader="dot"/>
        </w:tabs>
        <w:rPr>
          <w:sz w:val="22"/>
          <w:szCs w:val="22"/>
          <w:lang w:val="fr-FR" w:eastAsia="en-GB" w:bidi="ar-SA"/>
        </w:rPr>
      </w:pPr>
      <w:hyperlink w:anchor="__RefHeading___Toc4687733">
        <w:r>
          <w:rPr>
            <w:rStyle w:val="IndexLink"/>
            <w:rFonts w:cs="Arial"/>
            <w:lang w:val="fr-FR" w:eastAsia="en-GB"/>
          </w:rPr>
          <w:t>ARTICLE 2. COMPOSITION DU CSE</w:t>
        </w:r>
        <w:r>
          <w:rPr>
            <w:rStyle w:val="IndexLink"/>
            <w:lang w:val="en-GB" w:eastAsia="en-GB"/>
          </w:rPr>
          <w:tab/>
          <w:t>5</w:t>
        </w:r>
      </w:hyperlink>
    </w:p>
    <w:p>
      <w:pPr>
        <w:pStyle w:val="Contents2"/>
        <w:tabs>
          <w:tab w:val="right" w:pos="9420" w:leader="dot"/>
        </w:tabs>
        <w:rPr>
          <w:sz w:val="22"/>
          <w:szCs w:val="22"/>
          <w:lang w:val="fr-FR" w:eastAsia="en-GB" w:bidi="ar-SA"/>
        </w:rPr>
      </w:pPr>
      <w:hyperlink w:anchor="__RefHeading___Toc4687734">
        <w:r>
          <w:rPr>
            <w:rStyle w:val="IndexLink"/>
            <w:lang w:val="en-GB" w:eastAsia="en-GB"/>
          </w:rPr>
          <w:t>ARTICLE 2.1. PRÉSIDENCE</w:t>
          <w:tab/>
          <w:t>5</w:t>
        </w:r>
      </w:hyperlink>
    </w:p>
    <w:p>
      <w:pPr>
        <w:pStyle w:val="Contents2"/>
        <w:tabs>
          <w:tab w:val="right" w:pos="9420" w:leader="dot"/>
        </w:tabs>
        <w:rPr>
          <w:sz w:val="22"/>
          <w:szCs w:val="22"/>
          <w:lang w:val="fr-FR" w:eastAsia="en-GB" w:bidi="ar-SA"/>
        </w:rPr>
      </w:pPr>
      <w:hyperlink w:anchor="__RefHeading___Toc4687735">
        <w:r>
          <w:rPr>
            <w:rStyle w:val="IndexLink"/>
            <w:lang w:val="en-GB" w:eastAsia="en-GB"/>
          </w:rPr>
          <w:t>ARTICLE 2.2. DÉLÉGATION ÉLUE DU PERSONNEL ET DURÉE DU MANDAT</w:t>
          <w:tab/>
          <w:t>5</w:t>
        </w:r>
      </w:hyperlink>
    </w:p>
    <w:p>
      <w:pPr>
        <w:pStyle w:val="Contents2"/>
        <w:tabs>
          <w:tab w:val="right" w:pos="9420" w:leader="dot"/>
        </w:tabs>
        <w:rPr>
          <w:sz w:val="22"/>
          <w:szCs w:val="22"/>
          <w:lang w:val="fr-FR" w:eastAsia="en-GB" w:bidi="ar-SA"/>
        </w:rPr>
      </w:pPr>
      <w:hyperlink w:anchor="__RefHeading___Toc4687736">
        <w:r>
          <w:rPr>
            <w:rStyle w:val="IndexLink"/>
            <w:lang w:val="en-GB" w:eastAsia="en-GB"/>
          </w:rPr>
          <w:t>ARTICLE 2.2.2. REMPLACEMENT DES ÉLUS TITULAIRES</w:t>
          <w:tab/>
          <w:t>5</w:t>
        </w:r>
      </w:hyperlink>
    </w:p>
    <w:p>
      <w:pPr>
        <w:pStyle w:val="Contents2"/>
        <w:tabs>
          <w:tab w:val="right" w:pos="9420" w:leader="dot"/>
        </w:tabs>
        <w:rPr>
          <w:sz w:val="22"/>
          <w:szCs w:val="22"/>
          <w:lang w:val="fr-FR" w:eastAsia="en-GB" w:bidi="ar-SA"/>
        </w:rPr>
      </w:pPr>
      <w:hyperlink w:anchor="__RefHeading___Toc4687737">
        <w:r>
          <w:rPr>
            <w:rStyle w:val="IndexLink"/>
            <w:lang w:val="en-GB" w:eastAsia="en-GB"/>
          </w:rPr>
          <w:t>ARTICLE 2.3 LE BUREAU</w:t>
          <w:tab/>
          <w:t>5</w:t>
        </w:r>
      </w:hyperlink>
    </w:p>
    <w:p>
      <w:pPr>
        <w:pStyle w:val="Contents2"/>
        <w:tabs>
          <w:tab w:val="right" w:pos="9420" w:leader="dot"/>
        </w:tabs>
        <w:rPr>
          <w:sz w:val="22"/>
          <w:szCs w:val="22"/>
          <w:lang w:val="fr-FR" w:eastAsia="en-GB" w:bidi="ar-SA"/>
        </w:rPr>
      </w:pPr>
      <w:hyperlink w:anchor="__RefHeading___Toc4687738">
        <w:r>
          <w:rPr>
            <w:rStyle w:val="IndexLink"/>
            <w:lang w:val="en-GB" w:eastAsia="en-GB"/>
          </w:rPr>
          <w:t>ARTICLE 2.4 REPRÉSENTANTS SYNDICAUX AU CSE</w:t>
          <w:tab/>
          <w:t>6</w:t>
        </w:r>
      </w:hyperlink>
    </w:p>
    <w:p>
      <w:pPr>
        <w:pStyle w:val="Contents1"/>
        <w:tabs>
          <w:tab w:val="right" w:pos="9420" w:leader="dot"/>
        </w:tabs>
        <w:rPr>
          <w:sz w:val="22"/>
          <w:szCs w:val="22"/>
          <w:lang w:val="fr-FR" w:eastAsia="en-GB" w:bidi="ar-SA"/>
        </w:rPr>
      </w:pPr>
      <w:hyperlink w:anchor="__RefHeading___Toc4687739">
        <w:r>
          <w:rPr>
            <w:rStyle w:val="IndexLink"/>
            <w:lang w:val="fr-FR" w:eastAsia="en-GB"/>
          </w:rPr>
          <w:t>ARTICLE 3. LES COMMISSIONS DU CSE</w:t>
        </w:r>
        <w:r>
          <w:rPr>
            <w:rStyle w:val="IndexLink"/>
            <w:lang w:val="en-GB" w:eastAsia="en-GB"/>
          </w:rPr>
          <w:tab/>
          <w:t>6</w:t>
        </w:r>
      </w:hyperlink>
    </w:p>
    <w:p>
      <w:pPr>
        <w:pStyle w:val="Contents2"/>
        <w:tabs>
          <w:tab w:val="right" w:pos="9420" w:leader="dot"/>
        </w:tabs>
        <w:rPr>
          <w:sz w:val="22"/>
          <w:szCs w:val="22"/>
          <w:lang w:val="fr-FR" w:eastAsia="en-GB" w:bidi="ar-SA"/>
        </w:rPr>
      </w:pPr>
      <w:hyperlink w:anchor="__RefHeading___Toc4687740">
        <w:r>
          <w:rPr>
            <w:rStyle w:val="IndexLink"/>
            <w:lang w:val="en-GB" w:eastAsia="en-GB"/>
          </w:rPr>
          <w:t>ARTICLE 3.1. LA COMMISSION SANTE, SECURITE ET CONDITIONS DE TRAVAIL</w:t>
          <w:tab/>
          <w:t>6</w:t>
        </w:r>
      </w:hyperlink>
    </w:p>
    <w:p>
      <w:pPr>
        <w:pStyle w:val="Contents2"/>
        <w:tabs>
          <w:tab w:val="right" w:pos="9420" w:leader="dot"/>
        </w:tabs>
        <w:rPr>
          <w:sz w:val="22"/>
          <w:szCs w:val="22"/>
          <w:lang w:val="fr-FR" w:eastAsia="en-GB" w:bidi="ar-SA"/>
        </w:rPr>
      </w:pPr>
      <w:hyperlink w:anchor="__RefHeading___Toc4687741">
        <w:r>
          <w:rPr>
            <w:rStyle w:val="IndexLink"/>
            <w:lang w:val="en-GB" w:eastAsia="en-GB"/>
          </w:rPr>
          <w:t>ARTICLE 3.2. COMMISSION DE SUIVI DE L'ACCORD SUR LA REDUCTION DU TEMPS DE TRAVAIL</w:t>
          <w:tab/>
          <w:t>6</w:t>
        </w:r>
      </w:hyperlink>
    </w:p>
    <w:p>
      <w:pPr>
        <w:pStyle w:val="Contents2"/>
        <w:tabs>
          <w:tab w:val="right" w:pos="9420" w:leader="dot"/>
        </w:tabs>
        <w:rPr>
          <w:sz w:val="22"/>
          <w:szCs w:val="22"/>
          <w:lang w:val="fr-FR" w:eastAsia="en-GB" w:bidi="ar-SA"/>
        </w:rPr>
      </w:pPr>
      <w:hyperlink w:anchor="__RefHeading___Toc4687742">
        <w:r>
          <w:rPr>
            <w:rStyle w:val="IndexLink"/>
            <w:lang w:val="en-GB" w:eastAsia="en-GB"/>
          </w:rPr>
          <w:t>ARTICLE 3.3. COMMISSION DE SUIVI DU PSE</w:t>
          <w:tab/>
          <w:t>6</w:t>
        </w:r>
      </w:hyperlink>
    </w:p>
    <w:p>
      <w:pPr>
        <w:pStyle w:val="Contents2"/>
        <w:tabs>
          <w:tab w:val="right" w:pos="9420" w:leader="dot"/>
        </w:tabs>
        <w:rPr>
          <w:sz w:val="22"/>
          <w:szCs w:val="22"/>
          <w:lang w:val="fr-FR" w:eastAsia="en-GB" w:bidi="ar-SA"/>
        </w:rPr>
      </w:pPr>
      <w:hyperlink w:anchor="__RefHeading___Toc4687743">
        <w:r>
          <w:rPr>
            <w:rStyle w:val="IndexLink"/>
            <w:lang w:val="en-GB" w:eastAsia="en-GB"/>
          </w:rPr>
          <w:t>ARTICLE 3.4. COMMISSION ŒUVRES SOCIALES</w:t>
          <w:tab/>
          <w:t>7</w:t>
        </w:r>
      </w:hyperlink>
    </w:p>
    <w:p>
      <w:pPr>
        <w:pStyle w:val="Contents2"/>
        <w:tabs>
          <w:tab w:val="right" w:pos="9420" w:leader="dot"/>
        </w:tabs>
        <w:rPr>
          <w:sz w:val="22"/>
          <w:szCs w:val="22"/>
          <w:lang w:val="fr-FR" w:eastAsia="en-GB" w:bidi="ar-SA"/>
        </w:rPr>
      </w:pPr>
      <w:hyperlink w:anchor="__RefHeading___Toc4687744">
        <w:r>
          <w:rPr>
            <w:rStyle w:val="IndexLink"/>
            <w:lang w:val="en-GB" w:eastAsia="en-GB"/>
          </w:rPr>
          <w:t>ARTICLE 3.5. COMMISSION EPARGNE SALARIALE</w:t>
          <w:tab/>
          <w:t>7</w:t>
        </w:r>
      </w:hyperlink>
    </w:p>
    <w:p>
      <w:pPr>
        <w:pStyle w:val="Contents2"/>
        <w:tabs>
          <w:tab w:val="right" w:pos="9420" w:leader="dot"/>
        </w:tabs>
        <w:rPr>
          <w:sz w:val="22"/>
          <w:szCs w:val="22"/>
          <w:lang w:val="fr-FR" w:eastAsia="en-GB" w:bidi="ar-SA"/>
        </w:rPr>
      </w:pPr>
      <w:hyperlink w:anchor="__RefHeading___Toc4687745">
        <w:r>
          <w:rPr>
            <w:rStyle w:val="IndexLink"/>
            <w:lang w:val="en-GB" w:eastAsia="en-GB"/>
          </w:rPr>
          <w:t>ARTICLE 3.6. COMMISSION SOCIALE</w:t>
          <w:tab/>
          <w:t>7</w:t>
        </w:r>
      </w:hyperlink>
    </w:p>
    <w:p>
      <w:pPr>
        <w:pStyle w:val="Contents1"/>
        <w:tabs>
          <w:tab w:val="right" w:pos="9420" w:leader="dot"/>
        </w:tabs>
        <w:rPr>
          <w:sz w:val="22"/>
          <w:szCs w:val="22"/>
          <w:lang w:val="fr-FR" w:eastAsia="en-GB" w:bidi="ar-SA"/>
        </w:rPr>
      </w:pPr>
      <w:hyperlink w:anchor="__RefHeading___Toc4687746">
        <w:r>
          <w:rPr>
            <w:rStyle w:val="IndexLink"/>
            <w:lang w:val="fr-FR" w:eastAsia="en-GB"/>
          </w:rPr>
          <w:t>ARTICLE 4. REUNIONS DU CSE ET CONSULTATIONS PERIODIQUES</w:t>
        </w:r>
        <w:r>
          <w:rPr>
            <w:rStyle w:val="IndexLink"/>
            <w:lang w:val="en-GB" w:eastAsia="en-GB"/>
          </w:rPr>
          <w:tab/>
          <w:t>8</w:t>
        </w:r>
      </w:hyperlink>
    </w:p>
    <w:p>
      <w:pPr>
        <w:pStyle w:val="Contents2"/>
        <w:tabs>
          <w:tab w:val="right" w:pos="9420" w:leader="dot"/>
        </w:tabs>
        <w:rPr>
          <w:sz w:val="22"/>
          <w:szCs w:val="22"/>
          <w:lang w:val="fr-FR" w:eastAsia="en-GB" w:bidi="ar-SA"/>
        </w:rPr>
      </w:pPr>
      <w:hyperlink w:anchor="__RefHeading___Toc4687747">
        <w:r>
          <w:rPr>
            <w:rStyle w:val="IndexLink"/>
            <w:lang w:val="en-GB" w:eastAsia="en-GB"/>
          </w:rPr>
          <w:t>ARTICLE 4.1. RÉUNIONS MENSUELLES</w:t>
          <w:tab/>
          <w:t>8</w:t>
        </w:r>
      </w:hyperlink>
    </w:p>
    <w:p>
      <w:pPr>
        <w:pStyle w:val="Contents2"/>
        <w:tabs>
          <w:tab w:val="right" w:pos="9420" w:leader="dot"/>
        </w:tabs>
        <w:rPr>
          <w:sz w:val="22"/>
          <w:szCs w:val="22"/>
          <w:lang w:val="fr-FR" w:eastAsia="en-GB" w:bidi="ar-SA"/>
        </w:rPr>
      </w:pPr>
      <w:hyperlink w:anchor="__RefHeading___Toc4687748">
        <w:r>
          <w:rPr>
            <w:rStyle w:val="IndexLink"/>
            <w:lang w:val="en-GB" w:eastAsia="en-GB"/>
          </w:rPr>
          <w:t>ARTICLE 4.2. CONSULTATIONS PÉRIODIQUES</w:t>
          <w:tab/>
          <w:t>8</w:t>
        </w:r>
      </w:hyperlink>
    </w:p>
    <w:p>
      <w:pPr>
        <w:pStyle w:val="Contents2"/>
        <w:tabs>
          <w:tab w:val="right" w:pos="9420" w:leader="dot"/>
        </w:tabs>
        <w:rPr>
          <w:sz w:val="22"/>
          <w:szCs w:val="22"/>
          <w:lang w:val="fr-FR" w:eastAsia="en-GB" w:bidi="ar-SA"/>
        </w:rPr>
      </w:pPr>
      <w:hyperlink w:anchor="__RefHeading___Toc4687749">
        <w:r>
          <w:rPr>
            <w:rStyle w:val="IndexLink"/>
            <w:lang w:val="en-GB" w:eastAsia="en-GB"/>
          </w:rPr>
          <w:t>ARTICLE 4.2.1. ORIENTATIONS STRATÉGIQUES DE L’ENTREPRISE</w:t>
          <w:tab/>
          <w:t>8</w:t>
        </w:r>
      </w:hyperlink>
    </w:p>
    <w:p>
      <w:pPr>
        <w:pStyle w:val="Contents2"/>
        <w:tabs>
          <w:tab w:val="right" w:pos="9420" w:leader="dot"/>
        </w:tabs>
        <w:rPr>
          <w:sz w:val="22"/>
          <w:szCs w:val="22"/>
          <w:lang w:val="fr-FR" w:eastAsia="en-GB" w:bidi="ar-SA"/>
        </w:rPr>
      </w:pPr>
      <w:hyperlink w:anchor="__RefHeading___Toc4687750">
        <w:r>
          <w:rPr>
            <w:rStyle w:val="IndexLink"/>
            <w:lang w:val="en-GB" w:eastAsia="en-GB"/>
          </w:rPr>
          <w:t>ARTICLE 4.2.2. SITUATION ÉCONOMIQUE ET FINANCIÈRE DE L’ENTREPRISE</w:t>
          <w:tab/>
          <w:t>8</w:t>
        </w:r>
      </w:hyperlink>
    </w:p>
    <w:p>
      <w:pPr>
        <w:pStyle w:val="Contents2"/>
        <w:tabs>
          <w:tab w:val="right" w:pos="9420" w:leader="dot"/>
        </w:tabs>
        <w:rPr>
          <w:sz w:val="22"/>
          <w:szCs w:val="22"/>
          <w:lang w:val="fr-FR" w:eastAsia="en-GB" w:bidi="ar-SA"/>
        </w:rPr>
      </w:pPr>
      <w:hyperlink w:anchor="__RefHeading___Toc4687751">
        <w:r>
          <w:rPr>
            <w:rStyle w:val="IndexLink"/>
            <w:lang w:val="en-GB" w:eastAsia="en-GB"/>
          </w:rPr>
          <w:t>ARTICLE 4.2.3. POLITIQUE SOCIALE DE L’ENTREPRISE</w:t>
          <w:tab/>
          <w:t>9</w:t>
        </w:r>
      </w:hyperlink>
    </w:p>
    <w:p>
      <w:pPr>
        <w:pStyle w:val="Contents1"/>
        <w:tabs>
          <w:tab w:val="right" w:pos="9420" w:leader="dot"/>
        </w:tabs>
        <w:rPr>
          <w:sz w:val="22"/>
          <w:szCs w:val="22"/>
          <w:lang w:val="fr-FR" w:eastAsia="en-GB" w:bidi="ar-SA"/>
        </w:rPr>
      </w:pPr>
      <w:hyperlink w:anchor="__RefHeading___Toc4687752">
        <w:r>
          <w:rPr>
            <w:rStyle w:val="IndexLink"/>
            <w:lang w:val="fr-FR" w:eastAsia="en-GB"/>
          </w:rPr>
          <w:t>ARTICLE 5. SUBVENTIONS ET MOYENS DU CSE</w:t>
        </w:r>
        <w:r>
          <w:rPr>
            <w:rStyle w:val="IndexLink"/>
            <w:lang w:val="en-GB" w:eastAsia="en-GB"/>
          </w:rPr>
          <w:tab/>
          <w:t>9</w:t>
        </w:r>
      </w:hyperlink>
    </w:p>
    <w:p>
      <w:pPr>
        <w:pStyle w:val="Contents2"/>
        <w:tabs>
          <w:tab w:val="right" w:pos="9420" w:leader="dot"/>
        </w:tabs>
        <w:rPr>
          <w:sz w:val="22"/>
          <w:szCs w:val="22"/>
          <w:lang w:val="fr-FR" w:eastAsia="en-GB" w:bidi="ar-SA"/>
        </w:rPr>
      </w:pPr>
      <w:hyperlink w:anchor="__RefHeading___Toc4687753">
        <w:r>
          <w:rPr>
            <w:rStyle w:val="IndexLink"/>
            <w:lang w:val="en-GB" w:eastAsia="en-GB"/>
          </w:rPr>
          <w:t>ARTICLE 5.1. SUBVENTIONS</w:t>
          <w:tab/>
          <w:t>9</w:t>
        </w:r>
      </w:hyperlink>
    </w:p>
    <w:p>
      <w:pPr>
        <w:pStyle w:val="Contents2"/>
        <w:tabs>
          <w:tab w:val="right" w:pos="9420" w:leader="dot"/>
        </w:tabs>
        <w:rPr>
          <w:sz w:val="22"/>
          <w:szCs w:val="22"/>
          <w:lang w:val="fr-FR" w:eastAsia="en-GB" w:bidi="ar-SA"/>
        </w:rPr>
      </w:pPr>
      <w:hyperlink w:anchor="__RefHeading___Toc4687754">
        <w:r>
          <w:rPr>
            <w:rStyle w:val="IndexLink"/>
            <w:lang w:val="en-GB" w:eastAsia="en-GB"/>
          </w:rPr>
          <w:t>ARTICLE 5.2. MOYENS MATÉRIELS ET LOCAL A DISPOSITION</w:t>
          <w:tab/>
          <w:t>9</w:t>
        </w:r>
      </w:hyperlink>
    </w:p>
    <w:p>
      <w:pPr>
        <w:pStyle w:val="Contents2"/>
        <w:tabs>
          <w:tab w:val="right" w:pos="9420" w:leader="dot"/>
        </w:tabs>
        <w:rPr>
          <w:sz w:val="22"/>
          <w:szCs w:val="22"/>
          <w:lang w:val="fr-FR" w:eastAsia="en-GB" w:bidi="ar-SA"/>
        </w:rPr>
      </w:pPr>
      <w:hyperlink w:anchor="__RefHeading___Toc4687755">
        <w:r>
          <w:rPr>
            <w:rStyle w:val="IndexLink"/>
            <w:lang w:val="en-GB" w:eastAsia="en-GB"/>
          </w:rPr>
          <w:t>ARTICLE 5.</w:t>
        </w:r>
        <w:r>
          <w:rPr>
            <w:rStyle w:val="IndexLink"/>
            <w:lang w:val="fr-FR" w:eastAsia="en-GB"/>
          </w:rPr>
          <w:t>3</w:t>
        </w:r>
        <w:r>
          <w:rPr>
            <w:rStyle w:val="IndexLink"/>
            <w:lang w:val="en-GB" w:eastAsia="en-GB"/>
          </w:rPr>
          <w:t xml:space="preserve">. </w:t>
        </w:r>
        <w:r>
          <w:rPr>
            <w:rStyle w:val="IndexLink"/>
            <w:lang w:val="fr-FR" w:eastAsia="en-GB"/>
          </w:rPr>
          <w:t>TRANSFERT DES AVOIRS FINANCIERS ET MATERIELS DU CE AU CSE</w:t>
        </w:r>
        <w:r>
          <w:rPr>
            <w:rStyle w:val="IndexLink"/>
            <w:lang w:val="en-GB" w:eastAsia="en-GB"/>
          </w:rPr>
          <w:tab/>
          <w:t>10</w:t>
        </w:r>
      </w:hyperlink>
    </w:p>
    <w:p>
      <w:pPr>
        <w:pStyle w:val="Contents1"/>
        <w:tabs>
          <w:tab w:val="right" w:pos="9420" w:leader="dot"/>
        </w:tabs>
        <w:rPr>
          <w:sz w:val="22"/>
          <w:szCs w:val="22"/>
          <w:lang w:val="fr-FR" w:eastAsia="en-GB" w:bidi="ar-SA"/>
        </w:rPr>
      </w:pPr>
      <w:hyperlink w:anchor="__RefHeading___Toc4687756">
        <w:r>
          <w:rPr>
            <w:rStyle w:val="IndexLink"/>
            <w:lang w:val="fr-FR" w:eastAsia="en-GB"/>
          </w:rPr>
          <w:t>ARTICLE 6. FORMATIONS DU CSE</w:t>
        </w:r>
        <w:r>
          <w:rPr>
            <w:rStyle w:val="IndexLink"/>
            <w:lang w:val="en-GB" w:eastAsia="en-GB"/>
          </w:rPr>
          <w:tab/>
          <w:t>10</w:t>
        </w:r>
      </w:hyperlink>
    </w:p>
    <w:p>
      <w:pPr>
        <w:pStyle w:val="Contents1"/>
        <w:tabs>
          <w:tab w:val="right" w:pos="9420" w:leader="dot"/>
        </w:tabs>
        <w:rPr>
          <w:sz w:val="22"/>
          <w:szCs w:val="22"/>
          <w:lang w:val="fr-FR" w:eastAsia="en-GB" w:bidi="ar-SA"/>
        </w:rPr>
      </w:pPr>
      <w:hyperlink w:anchor="__RefHeading___Toc4687757">
        <w:r>
          <w:rPr>
            <w:rStyle w:val="IndexLink"/>
            <w:lang w:val="fr-FR" w:eastAsia="en-GB"/>
          </w:rPr>
          <w:t>ARTICLE 7. ORDRE DU JOUR, PROCES-VERBAUX</w:t>
        </w:r>
        <w:r>
          <w:rPr>
            <w:rStyle w:val="IndexLink"/>
            <w:lang w:val="en-GB" w:eastAsia="en-GB"/>
          </w:rPr>
          <w:tab/>
          <w:t>10</w:t>
        </w:r>
      </w:hyperlink>
    </w:p>
    <w:p>
      <w:pPr>
        <w:pStyle w:val="Contents2"/>
        <w:tabs>
          <w:tab w:val="right" w:pos="9420" w:leader="dot"/>
        </w:tabs>
        <w:rPr>
          <w:sz w:val="22"/>
          <w:szCs w:val="22"/>
          <w:lang w:val="fr-FR" w:eastAsia="en-GB" w:bidi="ar-SA"/>
        </w:rPr>
      </w:pPr>
      <w:hyperlink w:anchor="__RefHeading___Toc4687758">
        <w:r>
          <w:rPr>
            <w:rStyle w:val="IndexLink"/>
            <w:lang w:val="en-GB" w:eastAsia="en-GB"/>
          </w:rPr>
          <w:t>ARTICLE 7.1. ORDRE DU JOUR ET CONVOCATION</w:t>
          <w:tab/>
          <w:t>10</w:t>
        </w:r>
      </w:hyperlink>
    </w:p>
    <w:p>
      <w:pPr>
        <w:pStyle w:val="Contents2"/>
        <w:tabs>
          <w:tab w:val="right" w:pos="9420" w:leader="dot"/>
        </w:tabs>
        <w:rPr>
          <w:sz w:val="22"/>
          <w:szCs w:val="22"/>
          <w:lang w:val="fr-FR" w:eastAsia="en-GB" w:bidi="ar-SA"/>
        </w:rPr>
      </w:pPr>
      <w:hyperlink w:anchor="__RefHeading___Toc4687759">
        <w:r>
          <w:rPr>
            <w:rStyle w:val="IndexLink"/>
            <w:lang w:val="en-GB" w:eastAsia="en-GB"/>
          </w:rPr>
          <w:t>ARTICLE 7.2. PROCÈS-VERBAUX</w:t>
          <w:tab/>
          <w:t>10</w:t>
        </w:r>
      </w:hyperlink>
    </w:p>
    <w:p>
      <w:pPr>
        <w:pStyle w:val="Contents2"/>
        <w:tabs>
          <w:tab w:val="right" w:pos="9420" w:leader="dot"/>
        </w:tabs>
        <w:rPr>
          <w:sz w:val="22"/>
          <w:szCs w:val="22"/>
          <w:lang w:val="fr-FR" w:eastAsia="en-GB" w:bidi="ar-SA"/>
        </w:rPr>
      </w:pPr>
      <w:hyperlink w:anchor="__RefHeading___Toc4687760">
        <w:r>
          <w:rPr>
            <w:rStyle w:val="IndexLink"/>
            <w:lang w:val="en-GB" w:eastAsia="en-GB"/>
          </w:rPr>
          <w:t>ARTICLE 7.2. RÈGLEMENT INTERIEUR</w:t>
          <w:tab/>
          <w:t>10</w:t>
        </w:r>
      </w:hyperlink>
    </w:p>
    <w:p>
      <w:pPr>
        <w:pStyle w:val="Contents1"/>
        <w:tabs>
          <w:tab w:val="right" w:pos="9420" w:leader="dot"/>
        </w:tabs>
        <w:rPr>
          <w:sz w:val="22"/>
          <w:szCs w:val="22"/>
          <w:lang w:val="fr-FR" w:eastAsia="en-GB" w:bidi="ar-SA"/>
        </w:rPr>
      </w:pPr>
      <w:hyperlink w:anchor="__RefHeading___Toc4687761">
        <w:r>
          <w:rPr>
            <w:rStyle w:val="IndexLink"/>
            <w:lang w:val="fr-FR" w:eastAsia="en-GB"/>
          </w:rPr>
          <w:t>ARTICLE 8. BDES</w:t>
        </w:r>
        <w:r>
          <w:rPr>
            <w:rStyle w:val="IndexLink"/>
            <w:lang w:val="en-GB" w:eastAsia="en-GB"/>
          </w:rPr>
          <w:tab/>
          <w:t>11</w:t>
        </w:r>
      </w:hyperlink>
    </w:p>
    <w:p>
      <w:pPr>
        <w:pStyle w:val="Contents1"/>
        <w:tabs>
          <w:tab w:val="right" w:pos="9420" w:leader="dot"/>
        </w:tabs>
        <w:rPr>
          <w:sz w:val="22"/>
          <w:szCs w:val="22"/>
          <w:lang w:val="fr-FR" w:eastAsia="en-GB" w:bidi="ar-SA"/>
        </w:rPr>
      </w:pPr>
      <w:hyperlink w:anchor="__RefHeading___Toc4687762">
        <w:r>
          <w:rPr>
            <w:rStyle w:val="IndexLink"/>
            <w:lang w:val="fr-FR" w:eastAsia="en-GB"/>
          </w:rPr>
          <w:t>ARTICLE 9. REPRESENTANTS DE PROXIMITE</w:t>
        </w:r>
        <w:r>
          <w:rPr>
            <w:rStyle w:val="IndexLink"/>
            <w:lang w:val="en-GB" w:eastAsia="en-GB"/>
          </w:rPr>
          <w:tab/>
          <w:t>11</w:t>
        </w:r>
      </w:hyperlink>
    </w:p>
    <w:p>
      <w:pPr>
        <w:pStyle w:val="Contents2"/>
        <w:tabs>
          <w:tab w:val="right" w:pos="9420" w:leader="dot"/>
        </w:tabs>
        <w:rPr>
          <w:sz w:val="22"/>
          <w:szCs w:val="22"/>
          <w:lang w:val="fr-FR" w:eastAsia="en-GB" w:bidi="ar-SA"/>
        </w:rPr>
      </w:pPr>
      <w:hyperlink w:anchor="__RefHeading___Toc4687763">
        <w:r>
          <w:rPr>
            <w:rStyle w:val="IndexLink"/>
            <w:lang w:val="en-GB" w:eastAsia="en-GB"/>
          </w:rPr>
          <w:t>9.1 NOMBRE D’ÉLUS ET CRÉDITS D’HEURES</w:t>
          <w:tab/>
          <w:t>11</w:t>
        </w:r>
      </w:hyperlink>
    </w:p>
    <w:p>
      <w:pPr>
        <w:pStyle w:val="Contents2"/>
        <w:tabs>
          <w:tab w:val="right" w:pos="9420" w:leader="dot"/>
        </w:tabs>
        <w:rPr>
          <w:sz w:val="22"/>
          <w:szCs w:val="22"/>
          <w:lang w:val="fr-FR" w:eastAsia="en-GB" w:bidi="ar-SA"/>
        </w:rPr>
      </w:pPr>
      <w:hyperlink w:anchor="__RefHeading___Toc4687764">
        <w:r>
          <w:rPr>
            <w:rStyle w:val="IndexLink"/>
            <w:lang w:val="en-GB" w:eastAsia="en-GB"/>
          </w:rPr>
          <w:t>9.2 PÉRIMÈTRE D'APPLICATION ET REPARTITION PAR SITE GEOGRAPHIQUE</w:t>
          <w:tab/>
          <w:t>12</w:t>
        </w:r>
      </w:hyperlink>
    </w:p>
    <w:p>
      <w:pPr>
        <w:pStyle w:val="Contents2"/>
        <w:tabs>
          <w:tab w:val="right" w:pos="9420" w:leader="dot"/>
        </w:tabs>
        <w:rPr>
          <w:sz w:val="22"/>
          <w:szCs w:val="22"/>
          <w:lang w:val="fr-FR" w:eastAsia="en-GB" w:bidi="ar-SA"/>
        </w:rPr>
      </w:pPr>
      <w:hyperlink w:anchor="__RefHeading___Toc4687765">
        <w:r>
          <w:rPr>
            <w:rStyle w:val="IndexLink"/>
            <w:lang w:val="en-GB" w:eastAsia="en-GB"/>
          </w:rPr>
          <w:t>9.3 ATTRIBUTIONS</w:t>
          <w:tab/>
          <w:t>13</w:t>
        </w:r>
      </w:hyperlink>
    </w:p>
    <w:p>
      <w:pPr>
        <w:pStyle w:val="Contents2"/>
        <w:tabs>
          <w:tab w:val="right" w:pos="9420" w:leader="dot"/>
        </w:tabs>
        <w:rPr>
          <w:sz w:val="22"/>
          <w:szCs w:val="22"/>
          <w:lang w:val="fr-FR" w:eastAsia="en-GB" w:bidi="ar-SA"/>
        </w:rPr>
      </w:pPr>
      <w:hyperlink w:anchor="__RefHeading___Toc4687766">
        <w:r>
          <w:rPr>
            <w:rStyle w:val="IndexLink"/>
            <w:lang w:val="en-GB" w:eastAsia="en-GB"/>
          </w:rPr>
          <w:t>9.4 MODALITÉS DE FONCTIONNEMENT</w:t>
          <w:tab/>
          <w:t>13</w:t>
        </w:r>
      </w:hyperlink>
    </w:p>
    <w:p>
      <w:pPr>
        <w:pStyle w:val="Contents2"/>
        <w:tabs>
          <w:tab w:val="right" w:pos="9420" w:leader="dot"/>
        </w:tabs>
        <w:rPr>
          <w:sz w:val="22"/>
          <w:szCs w:val="22"/>
          <w:lang w:val="fr-FR" w:eastAsia="en-GB" w:bidi="ar-SA"/>
        </w:rPr>
      </w:pPr>
      <w:hyperlink w:anchor="__RefHeading___Toc4687767">
        <w:r>
          <w:rPr>
            <w:rStyle w:val="IndexLink"/>
            <w:lang w:val="en-GB" w:eastAsia="en-GB"/>
          </w:rPr>
          <w:t>9.5 MOYENS MATÉRIELS</w:t>
          <w:tab/>
          <w:t>14</w:t>
        </w:r>
      </w:hyperlink>
    </w:p>
    <w:p>
      <w:pPr>
        <w:pStyle w:val="Contents2"/>
        <w:tabs>
          <w:tab w:val="right" w:pos="9420" w:leader="dot"/>
        </w:tabs>
        <w:rPr>
          <w:sz w:val="22"/>
          <w:szCs w:val="22"/>
          <w:lang w:val="fr-FR" w:eastAsia="en-GB" w:bidi="ar-SA"/>
        </w:rPr>
      </w:pPr>
      <w:hyperlink w:anchor="__RefHeading___Toc4687768">
        <w:r>
          <w:rPr>
            <w:rStyle w:val="IndexLink"/>
            <w:lang w:val="en-GB" w:eastAsia="en-GB"/>
          </w:rPr>
          <w:t>9.6 FORMATION DES REPRESENTANTS</w:t>
          <w:tab/>
          <w:t>14</w:t>
        </w:r>
      </w:hyperlink>
    </w:p>
    <w:p>
      <w:pPr>
        <w:pStyle w:val="Contents1"/>
        <w:tabs>
          <w:tab w:val="right" w:pos="9420" w:leader="dot"/>
        </w:tabs>
        <w:rPr>
          <w:sz w:val="22"/>
          <w:szCs w:val="22"/>
          <w:lang w:val="fr-FR" w:eastAsia="en-GB" w:bidi="ar-SA"/>
        </w:rPr>
      </w:pPr>
      <w:hyperlink w:anchor="__RefHeading___Toc4687769">
        <w:r>
          <w:rPr>
            <w:rStyle w:val="IndexLink"/>
            <w:lang w:val="fr-FR" w:eastAsia="en-GB"/>
          </w:rPr>
          <w:t>ARTICLE 10. EXERCICE DU DROIT SYNDICAL</w:t>
        </w:r>
        <w:r>
          <w:rPr>
            <w:rStyle w:val="IndexLink"/>
            <w:lang w:val="en-GB" w:eastAsia="en-GB"/>
          </w:rPr>
          <w:tab/>
          <w:t>14</w:t>
        </w:r>
      </w:hyperlink>
    </w:p>
    <w:p>
      <w:pPr>
        <w:pStyle w:val="Contents2"/>
        <w:tabs>
          <w:tab w:val="right" w:pos="9420" w:leader="dot"/>
        </w:tabs>
        <w:rPr>
          <w:sz w:val="22"/>
          <w:szCs w:val="22"/>
          <w:lang w:val="fr-FR" w:eastAsia="en-GB" w:bidi="ar-SA"/>
        </w:rPr>
      </w:pPr>
      <w:hyperlink w:anchor="__RefHeading___Toc4687770">
        <w:r>
          <w:rPr>
            <w:rStyle w:val="IndexLink"/>
            <w:lang w:val="en-GB" w:eastAsia="en-GB"/>
          </w:rPr>
          <w:t xml:space="preserve">ARTICLE </w:t>
        </w:r>
        <w:r>
          <w:rPr>
            <w:rStyle w:val="IndexLink"/>
            <w:lang w:val="fr-FR" w:eastAsia="en-GB"/>
          </w:rPr>
          <w:t>10.1</w:t>
        </w:r>
        <w:r>
          <w:rPr>
            <w:rStyle w:val="IndexLink"/>
            <w:lang w:val="en-GB" w:eastAsia="en-GB"/>
          </w:rPr>
          <w:t xml:space="preserve">. </w:t>
        </w:r>
        <w:r>
          <w:rPr>
            <w:rStyle w:val="IndexLink"/>
            <w:lang w:val="fr-FR" w:eastAsia="en-GB"/>
          </w:rPr>
          <w:t>LES DELEGUES SYNDICAUX</w:t>
        </w:r>
        <w:r>
          <w:rPr>
            <w:rStyle w:val="IndexLink"/>
            <w:lang w:val="en-GB" w:eastAsia="en-GB"/>
          </w:rPr>
          <w:tab/>
          <w:t>14</w:t>
        </w:r>
      </w:hyperlink>
    </w:p>
    <w:p>
      <w:pPr>
        <w:pStyle w:val="Contents2"/>
        <w:tabs>
          <w:tab w:val="right" w:pos="9420" w:leader="dot"/>
        </w:tabs>
        <w:rPr>
          <w:sz w:val="22"/>
          <w:szCs w:val="22"/>
          <w:lang w:val="fr-FR" w:eastAsia="en-GB" w:bidi="ar-SA"/>
        </w:rPr>
      </w:pPr>
      <w:hyperlink w:anchor="__RefHeading___Toc4687771">
        <w:r>
          <w:rPr>
            <w:rStyle w:val="IndexLink"/>
            <w:rFonts w:cs="Minion-Regular;Cambria"/>
            <w:lang w:val="fr-FR" w:eastAsia="en-GB"/>
          </w:rPr>
          <w:t>ARTICLE 10.2. LES RELAIS SYNDICAUX</w:t>
        </w:r>
        <w:r>
          <w:rPr>
            <w:rStyle w:val="IndexLink"/>
            <w:lang w:val="en-GB" w:eastAsia="en-GB"/>
          </w:rPr>
          <w:tab/>
          <w:t>15</w:t>
        </w:r>
      </w:hyperlink>
    </w:p>
    <w:p>
      <w:pPr>
        <w:pStyle w:val="Contents1"/>
        <w:tabs>
          <w:tab w:val="right" w:pos="9420" w:leader="dot"/>
        </w:tabs>
        <w:rPr>
          <w:sz w:val="22"/>
          <w:szCs w:val="22"/>
          <w:lang w:val="fr-FR" w:eastAsia="en-GB" w:bidi="ar-SA"/>
        </w:rPr>
      </w:pPr>
      <w:hyperlink w:anchor="__RefHeading___Toc4687772">
        <w:r>
          <w:rPr>
            <w:rStyle w:val="IndexLink"/>
            <w:lang w:val="fr-FR" w:eastAsia="en-GB"/>
          </w:rPr>
          <w:t>ARTICLE 11. DECOMPTE DES HEURES DE DELEGATION ET CREDIT D'HEURES</w:t>
        </w:r>
        <w:r>
          <w:rPr>
            <w:rStyle w:val="IndexLink"/>
            <w:lang w:val="en-GB" w:eastAsia="en-GB"/>
          </w:rPr>
          <w:tab/>
          <w:t>16</w:t>
        </w:r>
      </w:hyperlink>
    </w:p>
    <w:p>
      <w:pPr>
        <w:pStyle w:val="Contents2"/>
        <w:tabs>
          <w:tab w:val="right" w:pos="9420" w:leader="dot"/>
        </w:tabs>
        <w:rPr>
          <w:sz w:val="22"/>
          <w:szCs w:val="22"/>
          <w:lang w:val="fr-FR" w:eastAsia="en-GB" w:bidi="ar-SA"/>
        </w:rPr>
      </w:pPr>
      <w:hyperlink w:anchor="__RefHeading___Toc4687773">
        <w:r>
          <w:rPr>
            <w:rStyle w:val="IndexLink"/>
            <w:lang w:val="en-GB" w:eastAsia="en-GB"/>
          </w:rPr>
          <w:t>ARTICLE 1</w:t>
        </w:r>
        <w:r>
          <w:rPr>
            <w:rStyle w:val="IndexLink"/>
            <w:lang w:val="fr-FR" w:eastAsia="en-GB"/>
          </w:rPr>
          <w:t>1</w:t>
        </w:r>
        <w:r>
          <w:rPr>
            <w:rStyle w:val="IndexLink"/>
            <w:lang w:val="en-GB" w:eastAsia="en-GB"/>
          </w:rPr>
          <w:t>.1. RÈGLES DE GESTION</w:t>
          <w:tab/>
          <w:t>16</w:t>
        </w:r>
      </w:hyperlink>
    </w:p>
    <w:p>
      <w:pPr>
        <w:pStyle w:val="Contents2"/>
        <w:tabs>
          <w:tab w:val="right" w:pos="9420" w:leader="dot"/>
        </w:tabs>
        <w:rPr>
          <w:sz w:val="22"/>
          <w:szCs w:val="22"/>
          <w:lang w:val="fr-FR" w:eastAsia="en-GB" w:bidi="ar-SA"/>
        </w:rPr>
      </w:pPr>
      <w:hyperlink w:anchor="__RefHeading___Toc4687774">
        <w:r>
          <w:rPr>
            <w:rStyle w:val="IndexLink"/>
            <w:lang w:val="en-GB" w:eastAsia="en-GB"/>
          </w:rPr>
          <w:t>ARTICLE 1</w:t>
        </w:r>
        <w:r>
          <w:rPr>
            <w:rStyle w:val="IndexLink"/>
            <w:lang w:val="fr-FR" w:eastAsia="en-GB"/>
          </w:rPr>
          <w:t>1</w:t>
        </w:r>
        <w:r>
          <w:rPr>
            <w:rStyle w:val="IndexLink"/>
            <w:lang w:val="en-GB" w:eastAsia="en-GB"/>
          </w:rPr>
          <w:t>.2. MODULATION ET MUTUALISATION</w:t>
          <w:tab/>
          <w:t>16</w:t>
        </w:r>
      </w:hyperlink>
    </w:p>
    <w:p>
      <w:pPr>
        <w:pStyle w:val="Contents2"/>
        <w:tabs>
          <w:tab w:val="right" w:pos="9420" w:leader="dot"/>
        </w:tabs>
        <w:rPr>
          <w:sz w:val="22"/>
          <w:szCs w:val="22"/>
          <w:lang w:val="fr-FR" w:eastAsia="en-GB" w:bidi="ar-SA"/>
        </w:rPr>
      </w:pPr>
      <w:hyperlink w:anchor="__RefHeading___Toc4687775">
        <w:r>
          <w:rPr>
            <w:rStyle w:val="IndexLink"/>
            <w:lang w:val="en-GB" w:eastAsia="en-GB"/>
          </w:rPr>
          <w:t xml:space="preserve">ARTICLE </w:t>
        </w:r>
        <w:r>
          <w:rPr>
            <w:rStyle w:val="IndexLink"/>
            <w:lang w:val="fr-FR" w:eastAsia="en-GB"/>
          </w:rPr>
          <w:t>11</w:t>
        </w:r>
        <w:r>
          <w:rPr>
            <w:rStyle w:val="IndexLink"/>
            <w:lang w:val="en-GB" w:eastAsia="en-GB"/>
          </w:rPr>
          <w:t>.</w:t>
        </w:r>
        <w:r>
          <w:rPr>
            <w:rStyle w:val="IndexLink"/>
            <w:lang w:val="fr-FR" w:eastAsia="en-GB"/>
          </w:rPr>
          <w:t>3.</w:t>
        </w:r>
        <w:r>
          <w:rPr>
            <w:rStyle w:val="IndexLink"/>
            <w:lang w:val="en-GB" w:eastAsia="en-GB"/>
          </w:rPr>
          <w:t xml:space="preserve"> BONS DE DÉLÉGATION</w:t>
          <w:tab/>
          <w:t>17</w:t>
        </w:r>
      </w:hyperlink>
    </w:p>
    <w:p>
      <w:pPr>
        <w:pStyle w:val="Contents1"/>
        <w:tabs>
          <w:tab w:val="right" w:pos="9420" w:leader="dot"/>
        </w:tabs>
        <w:rPr>
          <w:sz w:val="22"/>
          <w:szCs w:val="22"/>
          <w:lang w:val="fr-FR" w:eastAsia="en-GB" w:bidi="ar-SA"/>
        </w:rPr>
      </w:pPr>
      <w:hyperlink w:anchor="__RefHeading___Toc4687776">
        <w:r>
          <w:rPr>
            <w:rStyle w:val="IndexLink"/>
            <w:lang w:val="fr-FR" w:eastAsia="en-GB"/>
          </w:rPr>
          <w:t>ARTICLE 12. DUREE DE L’ACCORD</w:t>
        </w:r>
        <w:r>
          <w:rPr>
            <w:rStyle w:val="IndexLink"/>
            <w:lang w:val="en-GB" w:eastAsia="en-GB"/>
          </w:rPr>
          <w:tab/>
          <w:t>17</w:t>
        </w:r>
      </w:hyperlink>
    </w:p>
    <w:p>
      <w:pPr>
        <w:pStyle w:val="Contents1"/>
        <w:tabs>
          <w:tab w:val="right" w:pos="9420" w:leader="dot"/>
        </w:tabs>
        <w:rPr>
          <w:sz w:val="22"/>
          <w:szCs w:val="22"/>
          <w:lang w:val="fr-FR" w:eastAsia="en-GB" w:bidi="ar-SA"/>
        </w:rPr>
      </w:pPr>
      <w:hyperlink w:anchor="__RefHeading___Toc4687777">
        <w:r>
          <w:rPr>
            <w:rStyle w:val="IndexLink"/>
            <w:lang w:val="fr-FR" w:eastAsia="en-GB"/>
          </w:rPr>
          <w:t>ARTICLE 13. REVISION DE L’ACCORD</w:t>
        </w:r>
        <w:r>
          <w:rPr>
            <w:rStyle w:val="IndexLink"/>
            <w:lang w:val="en-GB" w:eastAsia="en-GB"/>
          </w:rPr>
          <w:tab/>
          <w:t>17</w:t>
        </w:r>
      </w:hyperlink>
    </w:p>
    <w:p>
      <w:pPr>
        <w:pStyle w:val="Contents1"/>
        <w:tabs>
          <w:tab w:val="right" w:pos="9420" w:leader="dot"/>
        </w:tabs>
        <w:rPr>
          <w:sz w:val="22"/>
          <w:szCs w:val="22"/>
          <w:lang w:val="fr-FR" w:eastAsia="en-GB" w:bidi="ar-SA"/>
        </w:rPr>
      </w:pPr>
      <w:hyperlink w:anchor="__RefHeading___Toc4687778">
        <w:r>
          <w:rPr>
            <w:rStyle w:val="IndexLink"/>
            <w:lang w:val="fr-FR" w:eastAsia="en-GB"/>
          </w:rPr>
          <w:t>ARTICLE 14. COMMUNICATION DE L’ACCORD</w:t>
        </w:r>
        <w:r>
          <w:rPr>
            <w:rStyle w:val="IndexLink"/>
            <w:lang w:val="en-GB" w:eastAsia="en-GB"/>
          </w:rPr>
          <w:tab/>
          <w:t>17</w:t>
        </w:r>
      </w:hyperlink>
    </w:p>
    <w:p>
      <w:pPr>
        <w:pStyle w:val="Contents1"/>
        <w:tabs>
          <w:tab w:val="right" w:pos="9420" w:leader="dot"/>
        </w:tabs>
        <w:rPr>
          <w:sz w:val="22"/>
          <w:szCs w:val="22"/>
          <w:lang w:val="fr-FR" w:eastAsia="en-GB" w:bidi="ar-SA"/>
        </w:rPr>
      </w:pPr>
      <w:hyperlink w:anchor="__RefHeading___Toc4687779">
        <w:r>
          <w:rPr>
            <w:rStyle w:val="IndexLink"/>
            <w:lang w:val="fr-FR" w:eastAsia="en-GB"/>
          </w:rPr>
          <w:t>ARTICLE 15. PUBLICITE ET DEPOT DE L’ACCORD</w:t>
        </w:r>
        <w:r>
          <w:rPr>
            <w:rStyle w:val="IndexLink"/>
            <w:lang w:val="en-GB" w:eastAsia="en-GB"/>
          </w:rPr>
          <w:tab/>
          <w:t>18</w:t>
        </w:r>
      </w:hyperlink>
      <w:r>
        <w:fldChar w:fldCharType="end"/>
      </w:r>
    </w:p>
    <w:p>
      <w:pPr>
        <w:pStyle w:val="Normal"/>
        <w:rPr>
          <w:sz w:val="22"/>
          <w:szCs w:val="22"/>
          <w:lang w:val="fr-FR" w:eastAsia="en-GB" w:bidi="ar-SA"/>
        </w:rPr>
      </w:pPr>
      <w:r>
        <w:rPr>
          <w:sz w:val="22"/>
          <w:szCs w:val="22"/>
          <w:lang w:val="fr-FR" w:eastAsia="en-GB" w:bidi="ar-SA"/>
        </w:rPr>
      </w:r>
    </w:p>
    <w:p>
      <w:pPr>
        <w:pStyle w:val="Heading"/>
        <w:ind w:left="142" w:hanging="0"/>
        <w:rPr>
          <w:sz w:val="24"/>
          <w:szCs w:val="24"/>
          <w:lang w:val="fr-FR"/>
        </w:rPr>
      </w:pPr>
      <w:r>
        <w:rPr>
          <w:sz w:val="24"/>
          <w:szCs w:val="24"/>
          <w:lang w:val="fr-FR"/>
        </w:rPr>
        <w:t>PREAMBULE</w:t>
      </w:r>
    </w:p>
    <w:p>
      <w:pPr>
        <w:pStyle w:val="TextBody"/>
        <w:spacing w:before="7" w:after="200"/>
        <w:rPr>
          <w:b/>
          <w:b/>
          <w:sz w:val="26"/>
          <w:szCs w:val="24"/>
          <w:lang w:val="fr-FR"/>
        </w:rPr>
      </w:pPr>
      <w:r>
        <w:rPr>
          <w:b/>
          <w:sz w:val="26"/>
          <w:szCs w:val="24"/>
          <w:lang w:val="fr-FR"/>
        </w:rPr>
      </w:r>
    </w:p>
    <w:p>
      <w:pPr>
        <w:pStyle w:val="TextBody"/>
        <w:ind w:left="216" w:hanging="0"/>
        <w:jc w:val="both"/>
        <w:rPr>
          <w:rFonts w:ascii="Century Gothic" w:hAnsi="Century Gothic" w:cs="Minion-Regular;Cambria"/>
          <w:sz w:val="20"/>
          <w:szCs w:val="20"/>
        </w:rPr>
      </w:pPr>
      <w:r>
        <w:rPr>
          <w:rFonts w:cs="Minion-Regular;Cambria" w:ascii="Century Gothic" w:hAnsi="Century Gothic"/>
          <w:sz w:val="20"/>
          <w:szCs w:val="20"/>
        </w:rPr>
        <w:t>Le présent accord a pour ambition de mettre en œuvre de façon concrète les évolutions structurantes portées par les ordonnances n°2017-1386 du 22 septembre 2017 relatives à la nouvelle organisation du dialogue social et économique dans l’entreprise et n°2017-1718 du 20 décembre 2017 ainsi que la loi de ratification n°2018-217 du 29 mars 2018. Les mandats de l’ensemble des représentants du personnel de la société Hubbard SAS arrivant à échéance le 12 juin 2018, il a été décidé, en application des dispositions de l'article 9 de l'ordonnance susmentionnée et par consultation du Comité d’Entreprise le 23 février 2018, de repousser les prochaines élections jusqu’au 11 juin 2019.</w:t>
      </w:r>
    </w:p>
    <w:p>
      <w:pPr>
        <w:pStyle w:val="TextBody"/>
        <w:ind w:left="216" w:hanging="0"/>
        <w:jc w:val="both"/>
        <w:rPr>
          <w:rFonts w:ascii="Century Gothic" w:hAnsi="Century Gothic" w:cs="Minion-Regular;Cambria"/>
          <w:sz w:val="20"/>
          <w:szCs w:val="20"/>
        </w:rPr>
      </w:pPr>
      <w:r>
        <w:rPr>
          <w:rFonts w:cs="Minion-Regular;Cambria" w:ascii="Century Gothic" w:hAnsi="Century Gothic"/>
          <w:sz w:val="20"/>
          <w:szCs w:val="20"/>
        </w:rPr>
      </w:r>
    </w:p>
    <w:p>
      <w:pPr>
        <w:pStyle w:val="TextBody"/>
        <w:ind w:left="216" w:hanging="0"/>
        <w:jc w:val="both"/>
        <w:rPr>
          <w:rFonts w:ascii="Century Gothic" w:hAnsi="Century Gothic" w:cs="Minion-Regular;Cambria"/>
          <w:sz w:val="20"/>
          <w:szCs w:val="20"/>
        </w:rPr>
      </w:pPr>
      <w:r>
        <w:rPr>
          <w:rFonts w:cs="Minion-Regular;Cambria" w:ascii="Century Gothic" w:hAnsi="Century Gothic"/>
          <w:sz w:val="20"/>
          <w:szCs w:val="20"/>
        </w:rPr>
        <w:t>C’est ainsi qu’après s’être réunies les 29 novembre, 20 décembre 2018, 10, 24 janvier, 21 et 28 février 2019, les Parties signataires sont convenues des dispositions suivantes, concernant la mise en place du Comité Social et Economique au sein de la société Hubbard SAS en vue des élections professionnelles à intervenir en 2019.</w:t>
      </w:r>
    </w:p>
    <w:p>
      <w:pPr>
        <w:pStyle w:val="TextBody"/>
        <w:ind w:left="216" w:hanging="0"/>
        <w:jc w:val="both"/>
        <w:rPr>
          <w:rFonts w:ascii="Century Gothic" w:hAnsi="Century Gothic" w:cs="Minion-Regular;Cambria"/>
          <w:sz w:val="20"/>
          <w:szCs w:val="20"/>
        </w:rPr>
      </w:pPr>
      <w:r>
        <w:rPr>
          <w:rFonts w:cs="Minion-Regular;Cambria" w:ascii="Century Gothic" w:hAnsi="Century Gothic"/>
          <w:sz w:val="20"/>
          <w:szCs w:val="20"/>
        </w:rPr>
      </w:r>
    </w:p>
    <w:p>
      <w:pPr>
        <w:pStyle w:val="TextBody"/>
        <w:ind w:left="216" w:hanging="0"/>
        <w:jc w:val="both"/>
        <w:rPr>
          <w:rFonts w:ascii="Century Gothic" w:hAnsi="Century Gothic" w:cs="Minion-Regular;Cambria"/>
          <w:sz w:val="20"/>
          <w:szCs w:val="20"/>
        </w:rPr>
      </w:pPr>
      <w:r>
        <w:rPr>
          <w:rFonts w:cs="Minion-Regular;Cambria" w:ascii="Century Gothic" w:hAnsi="Century Gothic"/>
          <w:sz w:val="20"/>
          <w:szCs w:val="20"/>
        </w:rPr>
        <w:t>L’objectif partagé par les parties lors de la MEP du fonctionnement de ce CSE a été de placer le dialogue social au cœur de l’opérationnel afin d’assurer de concert la mise en pratique pérenne de la stratégie et des plans d’actions de l’entreprise. Ainsi, ce nouveau fonctionnement doit être compris par toutes et tous, comme un outil pour aider à l’amélioration du fonctionnement d’une ferme, du couvoir, d’un service, ayant pour but final d’améliorer l’efficacité de l’entreprise, au service de ses salariés et de ses clients. »</w:t>
      </w:r>
    </w:p>
    <w:p>
      <w:pPr>
        <w:pStyle w:val="TextBody"/>
        <w:spacing w:lineRule="auto" w:line="266"/>
        <w:ind w:right="130" w:hanging="0"/>
        <w:jc w:val="both"/>
        <w:rPr>
          <w:rFonts w:ascii="Century Gothic" w:hAnsi="Century Gothic" w:cs="Minion-Regular;Cambria"/>
          <w:sz w:val="20"/>
          <w:szCs w:val="20"/>
        </w:rPr>
      </w:pPr>
      <w:r>
        <w:rPr>
          <w:rFonts w:cs="Minion-Regular;Cambria" w:ascii="Century Gothic" w:hAnsi="Century Gothic"/>
          <w:sz w:val="20"/>
          <w:szCs w:val="20"/>
        </w:rPr>
      </w:r>
      <w:r>
        <w:br w:type="page"/>
      </w:r>
    </w:p>
    <w:p>
      <w:pPr>
        <w:pStyle w:val="TextBody"/>
        <w:spacing w:lineRule="auto" w:line="266"/>
        <w:ind w:right="130" w:hanging="0"/>
        <w:jc w:val="both"/>
        <w:rPr>
          <w:rFonts w:ascii="Century Gothic" w:hAnsi="Century Gothic" w:cs="Minion-Regular;Cambria"/>
          <w:sz w:val="20"/>
          <w:szCs w:val="20"/>
        </w:rPr>
      </w:pPr>
      <w:r>
        <w:rPr>
          <w:rFonts w:cs="Minion-Regular;Cambria" w:ascii="Century Gothic" w:hAnsi="Century Gothic"/>
          <w:sz w:val="20"/>
          <w:szCs w:val="20"/>
        </w:rPr>
      </w:r>
    </w:p>
    <w:p>
      <w:pPr>
        <w:pStyle w:val="Heading1"/>
        <w:numPr>
          <w:ilvl w:val="0"/>
          <w:numId w:val="1"/>
        </w:numPr>
        <w:tabs>
          <w:tab w:val="left" w:pos="2910" w:leader="none"/>
          <w:tab w:val="left" w:pos="3750" w:leader="none"/>
        </w:tabs>
        <w:rPr>
          <w:rFonts w:cs="Arial"/>
          <w:bCs w:val="false"/>
          <w:sz w:val="20"/>
          <w:szCs w:val="20"/>
          <w:lang w:val="fr-FR" w:eastAsia="en-GB" w:bidi="ar-SA"/>
        </w:rPr>
      </w:pPr>
      <w:bookmarkStart w:id="2" w:name="__RefHeading___Toc4687731"/>
      <w:bookmarkStart w:id="3" w:name="_bookmark2"/>
      <w:bookmarkEnd w:id="3"/>
      <w:r>
        <w:rPr>
          <w:rFonts w:cs="Arial"/>
          <w:bCs w:val="false"/>
          <w:sz w:val="20"/>
          <w:szCs w:val="20"/>
          <w:lang w:val="fr-FR" w:eastAsia="en-GB" w:bidi="ar-SA"/>
        </w:rPr>
        <w:t>ARTICLE 1. PERIMETRE DE L’ACCORD</w:t>
      </w:r>
      <w:bookmarkEnd w:id="2"/>
      <w:r>
        <w:rPr>
          <w:rFonts w:cs="Arial"/>
          <w:bCs w:val="false"/>
          <w:sz w:val="20"/>
          <w:szCs w:val="20"/>
          <w:lang w:val="fr-FR" w:eastAsia="en-GB" w:bidi="ar-SA"/>
        </w:rPr>
        <w:tab/>
        <w:tab/>
      </w:r>
    </w:p>
    <w:p>
      <w:pPr>
        <w:pStyle w:val="Heading2"/>
        <w:numPr>
          <w:ilvl w:val="1"/>
          <w:numId w:val="1"/>
        </w:numPr>
        <w:rPr>
          <w:lang w:val="fr-FR" w:eastAsia="en-GB" w:bidi="ar-SA"/>
        </w:rPr>
      </w:pPr>
      <w:bookmarkStart w:id="4" w:name="__RefHeading___Toc4687732"/>
      <w:bookmarkEnd w:id="4"/>
      <w:r>
        <w:rPr>
          <w:lang w:val="en-GB" w:eastAsia="en-GB" w:bidi="ar-SA"/>
        </w:rPr>
        <w:t xml:space="preserve">1.1 Périmètre de mise en place </w:t>
      </w:r>
      <w:r>
        <w:rPr>
          <w:lang w:val="fr-FR" w:eastAsia="en-GB" w:bidi="ar-SA"/>
        </w:rPr>
        <w:t>de l’accord</w:t>
      </w:r>
    </w:p>
    <w:p>
      <w:pPr>
        <w:pStyle w:val="Normal"/>
        <w:ind w:right="-1" w:hanging="0"/>
        <w:rPr>
          <w:rFonts w:ascii="Century Gothic" w:hAnsi="Century Gothic" w:cs="Minion-Regular;Cambria"/>
          <w:lang w:val="fr-FR"/>
        </w:rPr>
      </w:pPr>
      <w:r>
        <w:rPr>
          <w:rFonts w:cs="Minion-Regular;Cambria" w:ascii="Century Gothic" w:hAnsi="Century Gothic"/>
          <w:lang w:val="fr-FR"/>
        </w:rPr>
        <w:t>Le présent accord est mis en place sur le périmètre Hubbard SAS dans son ensemble, c’est-à-dire à l’ensemble de ses sites :</w:t>
      </w:r>
    </w:p>
    <w:p>
      <w:pPr>
        <w:pStyle w:val="Standard"/>
        <w:spacing w:lineRule="auto" w:line="240" w:before="0" w:after="0"/>
        <w:ind w:left="360" w:right="283" w:hanging="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t>- HUBBARD – Mauguerand 22800 LE FOEIL</w:t>
      </w:r>
    </w:p>
    <w:p>
      <w:pPr>
        <w:pStyle w:val="Standard"/>
        <w:spacing w:lineRule="auto" w:line="240" w:before="0" w:after="0"/>
        <w:ind w:left="360" w:right="283" w:hanging="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t xml:space="preserve">- HUBBARD – La Pohardière 35220 CHATEAUBOURG </w:t>
      </w:r>
    </w:p>
    <w:p>
      <w:pPr>
        <w:pStyle w:val="Standard"/>
        <w:spacing w:lineRule="auto" w:line="240" w:before="0" w:after="0"/>
        <w:ind w:left="360" w:right="283" w:hanging="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t>- HUBBARD – La Berjaterie 89330 ST LOUP D’ORDON</w:t>
      </w:r>
    </w:p>
    <w:p>
      <w:pPr>
        <w:pStyle w:val="Standard"/>
        <w:spacing w:lineRule="auto" w:line="240" w:before="0" w:after="0"/>
        <w:ind w:left="360" w:right="283" w:hanging="0"/>
        <w:rPr/>
      </w:pPr>
      <w:r>
        <w:rPr>
          <w:rFonts w:cs="Minion-Regular;Cambria" w:ascii="Century Gothic" w:hAnsi="Century Gothic"/>
          <w:sz w:val="20"/>
          <w:szCs w:val="20"/>
          <w:lang w:val="fr-FR" w:eastAsia="en-US" w:bidi="en-US"/>
        </w:rPr>
        <w:t xml:space="preserve">- HUBBARD – La Valleray 53950 LOUVERNE </w:t>
      </w:r>
    </w:p>
    <w:p>
      <w:pPr>
        <w:pStyle w:val="Normal"/>
        <w:ind w:right="-1" w:hanging="0"/>
        <w:jc w:val="both"/>
        <w:rPr/>
      </w:pPr>
      <w:r>
        <w:rPr>
          <w:rFonts w:cs="Minion-Regular;Cambria" w:ascii="Century Gothic" w:hAnsi="Century Gothic"/>
          <w:lang w:val="fr-FR"/>
        </w:rPr>
        <w:t>Les parties conviennent que les sites précités ne constituent pas des établissements distincts au sens de l</w:t>
      </w:r>
      <w:r>
        <w:rPr>
          <w:lang w:val="fr-FR"/>
        </w:rPr>
        <w:t>’</w:t>
      </w:r>
      <w:r>
        <w:rPr>
          <w:rFonts w:cs="Minion-Regular;Cambria" w:ascii="Century Gothic" w:hAnsi="Century Gothic"/>
          <w:lang w:val="fr-FR"/>
        </w:rPr>
        <w:t xml:space="preserve">article L. 2313-4 du code du travail. </w:t>
      </w:r>
    </w:p>
    <w:p>
      <w:pPr>
        <w:pStyle w:val="Normal"/>
        <w:ind w:right="-1" w:hanging="0"/>
        <w:jc w:val="both"/>
        <w:rPr/>
      </w:pPr>
      <w:r>
        <w:rPr>
          <w:rFonts w:cs="Minion-Regular;Cambria" w:ascii="Century Gothic" w:hAnsi="Century Gothic"/>
          <w:lang w:val="fr-FR"/>
        </w:rPr>
        <w:t>Par conséquent, un CSE sera mis en place au niveau d’Hubbard SAS pour l’ensemble de ses implantations.</w:t>
      </w:r>
    </w:p>
    <w:p>
      <w:pPr>
        <w:pStyle w:val="Heading1"/>
        <w:numPr>
          <w:ilvl w:val="0"/>
          <w:numId w:val="1"/>
        </w:numPr>
        <w:rPr>
          <w:rFonts w:cs="Arial"/>
          <w:bCs w:val="false"/>
          <w:sz w:val="20"/>
          <w:szCs w:val="20"/>
          <w:lang w:val="fr-FR" w:eastAsia="en-GB" w:bidi="ar-SA"/>
        </w:rPr>
      </w:pPr>
      <w:bookmarkStart w:id="5" w:name="__RefHeading___Toc4687733"/>
      <w:bookmarkStart w:id="6" w:name="_bookmark3"/>
      <w:bookmarkEnd w:id="5"/>
      <w:bookmarkEnd w:id="6"/>
      <w:r>
        <w:rPr>
          <w:rFonts w:cs="Arial"/>
          <w:bCs w:val="false"/>
          <w:sz w:val="20"/>
          <w:szCs w:val="20"/>
          <w:lang w:val="fr-FR" w:eastAsia="en-GB" w:bidi="ar-SA"/>
        </w:rPr>
        <w:t>ARTICLE 2. COMPOSITION DU CSE</w:t>
      </w:r>
    </w:p>
    <w:p>
      <w:pPr>
        <w:pStyle w:val="Heading2"/>
        <w:numPr>
          <w:ilvl w:val="1"/>
          <w:numId w:val="1"/>
        </w:numPr>
        <w:rPr>
          <w:lang w:val="en-GB" w:eastAsia="en-GB" w:bidi="ar-SA"/>
        </w:rPr>
      </w:pPr>
      <w:bookmarkStart w:id="7" w:name="__RefHeading___Toc4687734"/>
      <w:bookmarkStart w:id="8" w:name="_bookmark4"/>
      <w:bookmarkEnd w:id="7"/>
      <w:bookmarkEnd w:id="8"/>
      <w:r>
        <w:rPr>
          <w:lang w:val="en-GB" w:eastAsia="en-GB" w:bidi="ar-SA"/>
        </w:rPr>
        <w:t>Article 2.1. Présidence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CSE est présidé par l’employeur ou son représentant, assisté éventuellement de trois salariés.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L’employeur ou son représentant peut, selon les sujets inscrits à l’ordre du jour, convier un ou plusieurs salariés de l’entreprise afin d’éclairer l’instance.</w:t>
      </w:r>
    </w:p>
    <w:p>
      <w:pPr>
        <w:pStyle w:val="Heading2"/>
        <w:numPr>
          <w:ilvl w:val="1"/>
          <w:numId w:val="1"/>
        </w:numPr>
        <w:rPr>
          <w:lang w:val="en-GB" w:eastAsia="en-GB" w:bidi="ar-SA"/>
        </w:rPr>
      </w:pPr>
      <w:bookmarkStart w:id="9" w:name="__RefHeading___Toc4687735"/>
      <w:bookmarkStart w:id="10" w:name="_bookmark5"/>
      <w:bookmarkEnd w:id="9"/>
      <w:bookmarkEnd w:id="10"/>
      <w:r>
        <w:rPr>
          <w:lang w:val="en-GB" w:eastAsia="en-GB" w:bidi="ar-SA"/>
        </w:rPr>
        <w:t>Article 2.2. Délégation élue du personnel et durée du mandat</w:t>
      </w:r>
    </w:p>
    <w:p>
      <w:pPr>
        <w:pStyle w:val="Normal"/>
        <w:rPr>
          <w:rFonts w:ascii="Century Gothic" w:hAnsi="Century Gothic" w:cs="Minion-Regular;Cambria"/>
          <w:lang w:val="fr-FR"/>
        </w:rPr>
      </w:pPr>
      <w:r>
        <w:rPr>
          <w:rFonts w:cs="Minion-Regular;Cambria" w:ascii="Century Gothic" w:hAnsi="Century Gothic"/>
          <w:lang w:val="fr-FR"/>
        </w:rPr>
        <w:t xml:space="preserve">Les membres du Comité Social et Economique sont élus pour 4 ans. </w:t>
      </w:r>
    </w:p>
    <w:p>
      <w:pPr>
        <w:pStyle w:val="Heading2"/>
        <w:numPr>
          <w:ilvl w:val="1"/>
          <w:numId w:val="1"/>
        </w:numPr>
        <w:rPr>
          <w:lang w:val="en-GB" w:eastAsia="en-GB" w:bidi="ar-SA"/>
        </w:rPr>
      </w:pPr>
      <w:bookmarkStart w:id="11" w:name="__RefHeading___Toc4687736"/>
      <w:bookmarkStart w:id="12" w:name="_bookmark7"/>
      <w:bookmarkStart w:id="13" w:name="_bookmark6"/>
      <w:bookmarkEnd w:id="11"/>
      <w:bookmarkEnd w:id="12"/>
      <w:bookmarkEnd w:id="13"/>
      <w:r>
        <w:rPr>
          <w:lang w:val="en-GB" w:eastAsia="en-GB" w:bidi="ar-SA"/>
        </w:rPr>
        <w:t>Article 2.2.2. Remplacement des élus titulaires</w:t>
      </w:r>
    </w:p>
    <w:p>
      <w:pPr>
        <w:pStyle w:val="TextBody"/>
        <w:spacing w:lineRule="auto" w:line="268" w:before="83" w:after="200"/>
        <w:jc w:val="both"/>
        <w:rPr>
          <w:rFonts w:ascii="Century Gothic" w:hAnsi="Century Gothic" w:cs="Minion-Regular;Cambria"/>
          <w:sz w:val="20"/>
          <w:szCs w:val="20"/>
        </w:rPr>
      </w:pPr>
      <w:r>
        <w:rPr>
          <w:rFonts w:cs="Minion-Regular;Cambria" w:ascii="Century Gothic" w:hAnsi="Century Gothic"/>
          <w:sz w:val="20"/>
          <w:szCs w:val="20"/>
        </w:rPr>
        <w:t>En cas d’absence à une réunion, chaque élu titulaire, le cas échéant en lien avec son organisation syndicale, organise son remplacement au plus tard avant le commencement de celle-ci.</w:t>
      </w:r>
    </w:p>
    <w:p>
      <w:pPr>
        <w:pStyle w:val="TextBody"/>
        <w:spacing w:lineRule="auto" w:line="268" w:before="60" w:after="200"/>
        <w:ind w:right="133" w:hanging="0"/>
        <w:jc w:val="both"/>
        <w:rPr>
          <w:rFonts w:ascii="Century Gothic" w:hAnsi="Century Gothic" w:cs="Minion-Regular;Cambria"/>
          <w:sz w:val="20"/>
          <w:szCs w:val="20"/>
        </w:rPr>
      </w:pPr>
      <w:r>
        <w:rPr>
          <w:rFonts w:cs="Minion-Regular;Cambria" w:ascii="Century Gothic" w:hAnsi="Century Gothic"/>
          <w:sz w:val="20"/>
          <w:szCs w:val="20"/>
        </w:rPr>
        <w:t>Lorsqu’un élu titulaire cesse ses fonctions pour l’une des causes prévues par les dispositions légales (démission, rupture du contrat de travail, révocation, etc.) ou est momentanément absent pour une cause quelconque, il est remplacé selon les règles prévues à l’article L. 2314-37 du Code du travail.</w:t>
      </w:r>
    </w:p>
    <w:p>
      <w:pPr>
        <w:pStyle w:val="Heading2"/>
        <w:numPr>
          <w:ilvl w:val="1"/>
          <w:numId w:val="1"/>
        </w:numPr>
        <w:rPr/>
      </w:pPr>
      <w:bookmarkStart w:id="14" w:name="__RefHeading___Toc4687737"/>
      <w:r>
        <w:rPr>
          <w:lang w:val="en-GB" w:eastAsia="en-GB" w:bidi="ar-SA"/>
        </w:rPr>
        <w:t>Article 2.3 Le bureau</w:t>
      </w:r>
      <w:bookmarkEnd w:id="14"/>
      <w:r>
        <w:rPr>
          <w:lang w:val="en-GB" w:eastAsia="en-GB" w:bidi="ar-SA"/>
        </w:rPr>
        <w:t xml:space="preserve"> </w:t>
      </w:r>
    </w:p>
    <w:p>
      <w:pPr>
        <w:pStyle w:val="TextBody"/>
        <w:spacing w:before="0" w:after="0"/>
        <w:rPr>
          <w:b/>
          <w:b/>
          <w:sz w:val="22"/>
          <w:lang w:val="en-GB" w:eastAsia="en-GB" w:bidi="ar-SA"/>
        </w:rPr>
      </w:pPr>
      <w:r>
        <w:rPr>
          <w:b/>
          <w:sz w:val="22"/>
          <w:lang w:val="en-GB" w:eastAsia="en-GB" w:bidi="ar-SA"/>
        </w:rPr>
      </w:r>
    </w:p>
    <w:p>
      <w:pPr>
        <w:pStyle w:val="TextBody"/>
        <w:spacing w:before="0" w:after="0"/>
        <w:rPr>
          <w:rFonts w:ascii="Century Gothic" w:hAnsi="Century Gothic" w:cs="Minion-Regular;Cambria"/>
          <w:sz w:val="20"/>
          <w:szCs w:val="20"/>
        </w:rPr>
      </w:pPr>
      <w:r>
        <w:rPr>
          <w:rFonts w:cs="Minion-Regular;Cambria" w:ascii="Century Gothic" w:hAnsi="Century Gothic"/>
          <w:sz w:val="20"/>
          <w:szCs w:val="20"/>
        </w:rPr>
        <w:t>Le Bureau du CSE est composé d’un :</w:t>
      </w:r>
    </w:p>
    <w:p>
      <w:pPr>
        <w:pStyle w:val="Paragraphedeliste"/>
        <w:numPr>
          <w:ilvl w:val="1"/>
          <w:numId w:val="6"/>
        </w:numPr>
        <w:tabs>
          <w:tab w:val="left" w:pos="936" w:leader="none"/>
          <w:tab w:val="left" w:pos="937" w:leader="none"/>
        </w:tabs>
        <w:spacing w:before="0" w:after="0"/>
        <w:contextualSpacing/>
        <w:rPr>
          <w:rFonts w:ascii="Century Gothic" w:hAnsi="Century Gothic" w:cs="Minion-Regular;Cambria"/>
          <w:lang w:val="fr-FR"/>
        </w:rPr>
      </w:pPr>
      <w:r>
        <w:rPr>
          <w:rFonts w:cs="Minion-Regular;Cambria" w:ascii="Century Gothic" w:hAnsi="Century Gothic"/>
          <w:lang w:val="fr-FR"/>
        </w:rPr>
        <w:t xml:space="preserve">Secrétaire </w:t>
      </w:r>
    </w:p>
    <w:p>
      <w:pPr>
        <w:pStyle w:val="Paragraphedeliste"/>
        <w:numPr>
          <w:ilvl w:val="1"/>
          <w:numId w:val="6"/>
        </w:numPr>
        <w:tabs>
          <w:tab w:val="left" w:pos="936" w:leader="none"/>
          <w:tab w:val="left" w:pos="937" w:leader="none"/>
        </w:tabs>
        <w:spacing w:before="0" w:after="0"/>
        <w:contextualSpacing/>
        <w:rPr/>
      </w:pPr>
      <w:r>
        <w:rPr>
          <w:rFonts w:cs="Minion-Regular;Cambria" w:ascii="Century Gothic" w:hAnsi="Century Gothic"/>
          <w:lang w:val="fr-FR"/>
        </w:rPr>
        <w:t>Secrétaire-Adjoint</w:t>
      </w:r>
    </w:p>
    <w:p>
      <w:pPr>
        <w:pStyle w:val="Paragraphedeliste"/>
        <w:numPr>
          <w:ilvl w:val="1"/>
          <w:numId w:val="6"/>
        </w:numPr>
        <w:tabs>
          <w:tab w:val="left" w:pos="936" w:leader="none"/>
          <w:tab w:val="left" w:pos="937" w:leader="none"/>
        </w:tabs>
        <w:spacing w:before="0" w:after="0"/>
        <w:contextualSpacing/>
        <w:rPr>
          <w:rFonts w:ascii="Century Gothic" w:hAnsi="Century Gothic" w:cs="Minion-Regular;Cambria"/>
          <w:lang w:val="fr-FR"/>
        </w:rPr>
      </w:pPr>
      <w:r>
        <w:rPr>
          <w:rFonts w:cs="Minion-Regular;Cambria" w:ascii="Century Gothic" w:hAnsi="Century Gothic"/>
          <w:lang w:val="fr-FR"/>
        </w:rPr>
        <w:t>Trésorier</w:t>
      </w:r>
    </w:p>
    <w:p>
      <w:pPr>
        <w:pStyle w:val="Paragraphedeliste"/>
        <w:numPr>
          <w:ilvl w:val="1"/>
          <w:numId w:val="6"/>
        </w:numPr>
        <w:tabs>
          <w:tab w:val="left" w:pos="936" w:leader="none"/>
          <w:tab w:val="left" w:pos="937" w:leader="none"/>
        </w:tabs>
        <w:spacing w:before="0" w:after="0"/>
        <w:contextualSpacing/>
        <w:rPr>
          <w:rFonts w:ascii="Century Gothic" w:hAnsi="Century Gothic" w:cs="Minion-Regular;Cambria"/>
          <w:lang w:val="fr-FR"/>
        </w:rPr>
      </w:pPr>
      <w:r>
        <w:rPr>
          <w:rFonts w:cs="Minion-Regular;Cambria" w:ascii="Century Gothic" w:hAnsi="Century Gothic"/>
          <w:lang w:val="fr-FR"/>
        </w:rPr>
        <w:t>Trésorier-Adjoint</w:t>
      </w:r>
    </w:p>
    <w:p>
      <w:pPr>
        <w:pStyle w:val="Paragraphedeliste"/>
        <w:tabs>
          <w:tab w:val="left" w:pos="936" w:leader="none"/>
          <w:tab w:val="left" w:pos="937" w:leader="none"/>
        </w:tabs>
        <w:spacing w:before="0" w:after="0"/>
        <w:ind w:left="936" w:hanging="0"/>
        <w:contextualSpacing/>
        <w:rPr>
          <w:rFonts w:ascii="Century Gothic" w:hAnsi="Century Gothic" w:cs="Minion-Regular;Cambria"/>
          <w:lang w:val="fr-FR"/>
        </w:rPr>
      </w:pPr>
      <w:r>
        <w:rPr>
          <w:rFonts w:cs="Minion-Regular;Cambria" w:ascii="Century Gothic" w:hAnsi="Century Gothic"/>
          <w:lang w:val="fr-FR"/>
        </w:rPr>
      </w:r>
    </w:p>
    <w:p>
      <w:pPr>
        <w:pStyle w:val="TextBody"/>
        <w:spacing w:before="0" w:after="0"/>
        <w:rPr>
          <w:rFonts w:ascii="Century Gothic" w:hAnsi="Century Gothic" w:cs="Minion-Regular;Cambria"/>
          <w:sz w:val="20"/>
          <w:szCs w:val="20"/>
        </w:rPr>
      </w:pPr>
      <w:r>
        <w:rPr>
          <w:rFonts w:cs="Minion-Regular;Cambria" w:ascii="Century Gothic" w:hAnsi="Century Gothic"/>
          <w:sz w:val="20"/>
          <w:szCs w:val="20"/>
        </w:rPr>
        <w:t>Les membres du Bureau sont désignés parmi les membres du CSE et ne bénéficient pas de crédit d’heures complémentaires.</w:t>
      </w:r>
    </w:p>
    <w:p>
      <w:pPr>
        <w:pStyle w:val="Heading2"/>
        <w:numPr>
          <w:ilvl w:val="1"/>
          <w:numId w:val="1"/>
        </w:numPr>
        <w:rPr>
          <w:lang w:val="en-GB" w:eastAsia="en-GB" w:bidi="ar-SA"/>
        </w:rPr>
      </w:pPr>
      <w:bookmarkStart w:id="15" w:name="__RefHeading___Toc4687738"/>
      <w:bookmarkEnd w:id="15"/>
      <w:r>
        <w:rPr>
          <w:lang w:val="en-GB" w:eastAsia="en-GB" w:bidi="ar-SA"/>
        </w:rPr>
        <w:t>Article 2.4 Représentants syndicaux AU CSE</w:t>
      </w:r>
    </w:p>
    <w:p>
      <w:pPr>
        <w:pStyle w:val="TextBody"/>
        <w:spacing w:lineRule="auto" w:line="266" w:before="83" w:after="200"/>
        <w:jc w:val="both"/>
        <w:rPr>
          <w:rFonts w:ascii="Century Gothic" w:hAnsi="Century Gothic" w:cs="Minion-Regular;Cambria"/>
          <w:sz w:val="20"/>
          <w:szCs w:val="20"/>
        </w:rPr>
      </w:pPr>
      <w:r>
        <w:rPr>
          <w:rFonts w:cs="Minion-Regular;Cambria" w:ascii="Century Gothic" w:hAnsi="Century Gothic"/>
          <w:sz w:val="20"/>
          <w:szCs w:val="20"/>
        </w:rPr>
        <w:t xml:space="preserve">Chaque organisation syndicale représentative peut désigner un représentant syndical au CSE selon les conditions légales en vigueur. Il assiste aux séances avec voix consultative. </w:t>
      </w:r>
    </w:p>
    <w:p>
      <w:pPr>
        <w:pStyle w:val="TextBody"/>
        <w:spacing w:lineRule="auto" w:line="268" w:before="0" w:after="0"/>
        <w:ind w:left="216" w:right="128" w:hanging="0"/>
        <w:rPr>
          <w:rFonts w:ascii="Century Gothic" w:hAnsi="Century Gothic" w:cs="Minion-Regular;Cambria"/>
          <w:sz w:val="20"/>
          <w:szCs w:val="20"/>
        </w:rPr>
      </w:pPr>
      <w:bookmarkStart w:id="16" w:name="_bookmark9"/>
      <w:bookmarkStart w:id="17" w:name="_bookmark9"/>
      <w:bookmarkEnd w:id="17"/>
      <w:r>
        <w:rPr>
          <w:rFonts w:cs="Minion-Regular;Cambria" w:ascii="Century Gothic" w:hAnsi="Century Gothic"/>
          <w:sz w:val="20"/>
          <w:szCs w:val="20"/>
        </w:rPr>
      </w:r>
    </w:p>
    <w:p>
      <w:pPr>
        <w:pStyle w:val="Heading1"/>
        <w:numPr>
          <w:ilvl w:val="0"/>
          <w:numId w:val="1"/>
        </w:numPr>
        <w:rPr>
          <w:sz w:val="20"/>
          <w:szCs w:val="20"/>
          <w:lang w:val="fr-FR"/>
        </w:rPr>
      </w:pPr>
      <w:bookmarkStart w:id="18" w:name="__RefHeading___Toc4687739"/>
      <w:bookmarkStart w:id="19" w:name="_bookmark10"/>
      <w:bookmarkEnd w:id="18"/>
      <w:bookmarkEnd w:id="19"/>
      <w:r>
        <w:rPr>
          <w:sz w:val="20"/>
          <w:szCs w:val="20"/>
          <w:lang w:val="fr-FR"/>
        </w:rPr>
        <w:t>ARTICLE 3. LES COMMISSIONS DU CSE</w:t>
      </w:r>
    </w:p>
    <w:p>
      <w:pPr>
        <w:pStyle w:val="Normal"/>
        <w:rPr>
          <w:rFonts w:ascii="Century Gothic" w:hAnsi="Century Gothic" w:cs="Minion-Regular;Cambria"/>
          <w:lang w:val="fr-FR" w:eastAsia="fr-FR" w:bidi="fr-FR"/>
        </w:rPr>
      </w:pPr>
      <w:r>
        <w:rPr>
          <w:rFonts w:cs="Minion-Regular;Cambria" w:ascii="Century Gothic" w:hAnsi="Century Gothic"/>
          <w:lang w:val="fr-FR" w:eastAsia="fr-FR" w:bidi="fr-FR"/>
        </w:rPr>
        <w:t>La mise en place des commissions a pour objectifs de :</w:t>
      </w:r>
    </w:p>
    <w:p>
      <w:pPr>
        <w:pStyle w:val="Normal"/>
        <w:rPr>
          <w:rFonts w:ascii="Century Gothic" w:hAnsi="Century Gothic" w:cs="Minion-Regular;Cambria"/>
          <w:lang w:val="fr-FR" w:eastAsia="fr-FR" w:bidi="fr-FR"/>
        </w:rPr>
      </w:pPr>
      <w:r>
        <w:rPr>
          <w:lang w:val="fr-FR"/>
        </w:rPr>
        <w:t xml:space="preserve">-  </w:t>
      </w:r>
      <w:r>
        <w:rPr>
          <w:rFonts w:cs="Minion-Regular;Cambria" w:ascii="Century Gothic" w:hAnsi="Century Gothic"/>
          <w:lang w:val="fr-FR" w:eastAsia="fr-FR" w:bidi="fr-FR"/>
        </w:rPr>
        <w:t>travailler sur des problématiques précises, identifiées en amont des réunions avec le CSE ;</w:t>
      </w:r>
    </w:p>
    <w:p>
      <w:pPr>
        <w:pStyle w:val="Normal"/>
        <w:rPr>
          <w:rFonts w:ascii="Century Gothic" w:hAnsi="Century Gothic" w:cs="Minion-Regular;Cambria"/>
          <w:lang w:val="fr-FR" w:eastAsia="fr-FR" w:bidi="fr-FR"/>
        </w:rPr>
      </w:pPr>
      <w:r>
        <w:rPr>
          <w:rFonts w:cs="Minion-Regular;Cambria" w:ascii="Century Gothic" w:hAnsi="Century Gothic"/>
          <w:lang w:val="fr-FR" w:eastAsia="fr-FR" w:bidi="fr-FR"/>
        </w:rPr>
        <w:t>- désigner des référents parmi les membres CSE, experts sur leur domaine de compétences ;</w:t>
      </w:r>
    </w:p>
    <w:p>
      <w:pPr>
        <w:pStyle w:val="Normal"/>
        <w:rPr/>
      </w:pPr>
      <w:r>
        <w:rPr>
          <w:rFonts w:cs="Minion-Regular;Cambria" w:ascii="Century Gothic" w:hAnsi="Century Gothic"/>
          <w:lang w:val="fr-FR" w:eastAsia="fr-FR" w:bidi="fr-FR"/>
        </w:rPr>
        <w:t>- préconiser des améliorations dans l'organisation du travail pour être plus efficace.</w:t>
      </w:r>
    </w:p>
    <w:p>
      <w:pPr>
        <w:pStyle w:val="Heading2"/>
        <w:numPr>
          <w:ilvl w:val="1"/>
          <w:numId w:val="1"/>
        </w:numPr>
        <w:rPr>
          <w:lang w:val="en-GB" w:eastAsia="en-GB" w:bidi="ar-SA"/>
        </w:rPr>
      </w:pPr>
      <w:bookmarkStart w:id="20" w:name="__RefHeading___Toc4687740"/>
      <w:bookmarkEnd w:id="20"/>
      <w:r>
        <w:rPr>
          <w:lang w:val="en-GB" w:eastAsia="en-GB" w:bidi="ar-SA"/>
        </w:rPr>
        <w:t>Article 3.1. LA COMMISSION SANTE, SECURITE et conditions de travail</w:t>
      </w:r>
    </w:p>
    <w:p>
      <w:pPr>
        <w:pStyle w:val="TextBody"/>
        <w:spacing w:before="0" w:after="0"/>
        <w:jc w:val="both"/>
        <w:rPr>
          <w:rFonts w:ascii="Century Gothic" w:hAnsi="Century Gothic" w:cs="Minion-Regular;Cambria"/>
          <w:sz w:val="20"/>
          <w:szCs w:val="20"/>
          <w:lang w:val="en-GB" w:eastAsia="en-GB" w:bidi="ar-SA"/>
        </w:rPr>
      </w:pPr>
      <w:r>
        <w:rPr>
          <w:rFonts w:cs="Minion-Regular;Cambria" w:ascii="Century Gothic" w:hAnsi="Century Gothic"/>
          <w:sz w:val="20"/>
          <w:szCs w:val="20"/>
          <w:lang w:val="en-GB" w:eastAsia="en-GB" w:bidi="ar-SA"/>
        </w:rPr>
      </w:r>
    </w:p>
    <w:p>
      <w:pPr>
        <w:pStyle w:val="TextBody"/>
        <w:spacing w:before="0" w:after="0"/>
        <w:jc w:val="both"/>
        <w:rPr>
          <w:rFonts w:ascii="Century Gothic" w:hAnsi="Century Gothic" w:cs="Minion-Regular;Cambria"/>
          <w:sz w:val="20"/>
          <w:szCs w:val="20"/>
        </w:rPr>
      </w:pPr>
      <w:r>
        <w:rPr>
          <w:rFonts w:cs="Minion-Regular;Cambria" w:ascii="Century Gothic" w:hAnsi="Century Gothic"/>
          <w:sz w:val="20"/>
          <w:szCs w:val="20"/>
        </w:rPr>
        <w:t>Les entreprises comptant moins de 300 salariés ne sont pas tenues de mettre en place une Commission Santé, Sécurité et Conditions de travail (CSSCT).</w:t>
      </w:r>
    </w:p>
    <w:p>
      <w:pPr>
        <w:pStyle w:val="TextBody"/>
        <w:spacing w:before="0" w:after="0"/>
        <w:jc w:val="both"/>
        <w:rPr>
          <w:rFonts w:ascii="Century Gothic" w:hAnsi="Century Gothic" w:cs="Minion-Regular;Cambria"/>
          <w:sz w:val="20"/>
          <w:szCs w:val="20"/>
        </w:rPr>
      </w:pPr>
      <w:r>
        <w:rPr>
          <w:rFonts w:cs="Minion-Regular;Cambria" w:ascii="Century Gothic" w:hAnsi="Century Gothic"/>
          <w:sz w:val="20"/>
          <w:szCs w:val="20"/>
        </w:rPr>
      </w:r>
    </w:p>
    <w:p>
      <w:pPr>
        <w:pStyle w:val="TextBody"/>
        <w:spacing w:before="0" w:after="0"/>
        <w:jc w:val="both"/>
        <w:rPr/>
      </w:pPr>
      <w:r>
        <w:rPr>
          <w:rFonts w:cs="Minion-Regular;Cambria" w:ascii="Century Gothic" w:hAnsi="Century Gothic"/>
          <w:sz w:val="20"/>
          <w:szCs w:val="20"/>
        </w:rPr>
        <w:t>Dans ces conditions et dans un souci d’efficacité, les parties sont convenues de ne pas mettre en place de CSSCT. Certaines des questions ayant trait à la santé, à la sécurité et aux conditions de travail (à l'exception du recours à un expert et des attributions consultatives du comité) sont transférées aux représentants de proximité, tels que définis à l’article 9 du présent accord.</w:t>
      </w:r>
    </w:p>
    <w:p>
      <w:pPr>
        <w:pStyle w:val="TextBody"/>
        <w:spacing w:before="0" w:after="0"/>
        <w:jc w:val="both"/>
        <w:rPr>
          <w:rFonts w:ascii="Century Gothic" w:hAnsi="Century Gothic" w:cs="Minion-Regular;Cambria"/>
          <w:sz w:val="20"/>
          <w:szCs w:val="20"/>
        </w:rPr>
      </w:pPr>
      <w:r>
        <w:rPr>
          <w:rFonts w:cs="Minion-Regular;Cambria" w:ascii="Century Gothic" w:hAnsi="Century Gothic"/>
          <w:sz w:val="20"/>
          <w:szCs w:val="20"/>
        </w:rPr>
      </w:r>
    </w:p>
    <w:p>
      <w:pPr>
        <w:pStyle w:val="Heading2"/>
        <w:numPr>
          <w:ilvl w:val="1"/>
          <w:numId w:val="1"/>
        </w:numPr>
        <w:rPr>
          <w:lang w:val="en-GB" w:eastAsia="en-GB" w:bidi="ar-SA"/>
        </w:rPr>
      </w:pPr>
      <w:bookmarkStart w:id="21" w:name="__RefHeading___Toc4687741"/>
      <w:bookmarkStart w:id="22" w:name="_bookmark19"/>
      <w:bookmarkStart w:id="23" w:name="_bookmark17"/>
      <w:bookmarkStart w:id="24" w:name="_bookmark16"/>
      <w:bookmarkStart w:id="25" w:name="_bookmark15"/>
      <w:bookmarkStart w:id="26" w:name="_bookmark11"/>
      <w:bookmarkStart w:id="27" w:name="_bookmark8"/>
      <w:bookmarkEnd w:id="21"/>
      <w:bookmarkEnd w:id="22"/>
      <w:bookmarkEnd w:id="23"/>
      <w:bookmarkEnd w:id="24"/>
      <w:bookmarkEnd w:id="25"/>
      <w:bookmarkEnd w:id="26"/>
      <w:bookmarkEnd w:id="27"/>
      <w:r>
        <w:rPr>
          <w:lang w:val="en-GB" w:eastAsia="en-GB" w:bidi="ar-SA"/>
        </w:rPr>
        <w:t>Article 3.2. Commission de Suivi de l'accord sur la reduction du temps de travail</w:t>
      </w:r>
    </w:p>
    <w:p>
      <w:pPr>
        <w:pStyle w:val="TextBody"/>
        <w:spacing w:before="9" w:after="200"/>
        <w:rPr>
          <w:rFonts w:ascii="Century Gothic" w:hAnsi="Century Gothic" w:cs="Minion-Regular;Cambria"/>
          <w:sz w:val="20"/>
          <w:szCs w:val="20"/>
          <w:lang w:val="en-GB" w:eastAsia="en-GB" w:bidi="ar-SA"/>
        </w:rPr>
      </w:pPr>
      <w:r>
        <w:rPr>
          <w:rFonts w:cs="Minion-Regular;Cambria" w:ascii="Century Gothic" w:hAnsi="Century Gothic"/>
          <w:sz w:val="20"/>
          <w:szCs w:val="20"/>
          <w:lang w:val="en-GB" w:eastAsia="en-GB" w:bidi="ar-SA"/>
        </w:rPr>
      </w:r>
    </w:p>
    <w:p>
      <w:pPr>
        <w:pStyle w:val="TextBody"/>
        <w:spacing w:before="9" w:after="200"/>
        <w:jc w:val="both"/>
        <w:rPr/>
      </w:pPr>
      <w:r>
        <w:rPr>
          <w:rFonts w:cs="Minion-Regular;Cambria" w:ascii="Century Gothic" w:hAnsi="Century Gothic"/>
          <w:sz w:val="20"/>
          <w:szCs w:val="20"/>
        </w:rPr>
        <w:t xml:space="preserve">Le rôle de cette commission est de veiller à la bonne application de nos accords en vigueur dans l'entreprise sur l'organisation et le temps de travail. Elle sera composée de deux membres et elle présentera un bilan annuel aux membres du CSE. </w:t>
      </w:r>
    </w:p>
    <w:p>
      <w:pPr>
        <w:pStyle w:val="TextBody"/>
        <w:spacing w:before="9" w:after="200"/>
        <w:jc w:val="both"/>
        <w:rPr/>
      </w:pPr>
      <w:r>
        <w:rPr>
          <w:rFonts w:cs="Minion-Regular;Cambria" w:ascii="Century Gothic" w:hAnsi="Century Gothic"/>
          <w:sz w:val="20"/>
          <w:szCs w:val="20"/>
        </w:rPr>
        <w:t>Ce sont les membres de la Commission qui détermineront les documents dont elle a besoin pour fonctionner.</w:t>
      </w:r>
    </w:p>
    <w:p>
      <w:pPr>
        <w:pStyle w:val="TextBody"/>
        <w:spacing w:before="9" w:after="200"/>
        <w:jc w:val="both"/>
        <w:rPr>
          <w:rFonts w:ascii="Century Gothic" w:hAnsi="Century Gothic" w:cs="Minion-Regular;Cambria"/>
          <w:sz w:val="20"/>
          <w:szCs w:val="20"/>
        </w:rPr>
      </w:pPr>
      <w:r>
        <w:rPr>
          <w:rFonts w:cs="Minion-Regular;Cambria" w:ascii="Century Gothic" w:hAnsi="Century Gothic"/>
          <w:sz w:val="20"/>
          <w:szCs w:val="20"/>
        </w:rPr>
        <w:t>Cette réunion annuelle se déroulera sur le temps de travail et en présence de la Direction.</w:t>
      </w:r>
    </w:p>
    <w:p>
      <w:pPr>
        <w:pStyle w:val="Heading2"/>
        <w:numPr>
          <w:ilvl w:val="1"/>
          <w:numId w:val="1"/>
        </w:numPr>
        <w:rPr>
          <w:sz w:val="20"/>
          <w:szCs w:val="20"/>
        </w:rPr>
      </w:pPr>
      <w:bookmarkStart w:id="28" w:name="_bookmark20"/>
      <w:bookmarkEnd w:id="28"/>
      <w:r>
        <w:rPr>
          <w:rFonts w:eastAsia="Century Gothic"/>
          <w:b/>
          <w:spacing w:val="-60"/>
        </w:rPr>
        <w:t xml:space="preserve"> </w:t>
      </w:r>
      <w:bookmarkStart w:id="29" w:name="__RefHeading___Toc4687742"/>
      <w:bookmarkEnd w:id="29"/>
      <w:r>
        <w:rPr>
          <w:lang w:val="en-GB" w:eastAsia="en-GB" w:bidi="ar-SA"/>
        </w:rPr>
        <w:t>Article 3.3. Commission de SUIVI DU PSE</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t>Une commission de suivi a été créée en juillet 2018 en application des dispositions de l'accord majoritaire en date du 27 juillet 2018 établi en application de l'article L.1233-24-1 du Code du Travail sur un projet de licenciement collectif pour motif économique et de plan de sauvegarde de l'emploi.</w:t>
      </w:r>
    </w:p>
    <w:p>
      <w:pPr>
        <w:pStyle w:val="TextBody"/>
        <w:spacing w:lineRule="auto" w:line="266" w:before="83" w:after="200"/>
        <w:ind w:right="139" w:hanging="0"/>
        <w:jc w:val="both"/>
        <w:rPr/>
      </w:pPr>
      <w:r>
        <w:rPr>
          <w:rFonts w:cs="Minion-Regular;Cambria" w:ascii="Century Gothic" w:hAnsi="Century Gothic"/>
          <w:sz w:val="20"/>
          <w:szCs w:val="20"/>
        </w:rPr>
        <w:t>Son rôle est de veiller à la bonne application des mesures du Plan de Sauvegarde de l'Emploi et de suivre régulièrement la situation réelle des reclassements, ainsi que les résultats de l'ensemble des mesures d'aide aux salariés qui auront fait l'objet d'un licenciement.</w:t>
      </w:r>
    </w:p>
    <w:p>
      <w:pPr>
        <w:pStyle w:val="TextBody"/>
        <w:spacing w:lineRule="auto" w:line="266" w:before="83" w:after="200"/>
        <w:ind w:right="139" w:hanging="0"/>
        <w:jc w:val="both"/>
        <w:rPr/>
      </w:pPr>
      <w:r>
        <w:rPr>
          <w:rFonts w:cs="Minion-Regular;Cambria" w:ascii="Century Gothic" w:hAnsi="Century Gothic"/>
          <w:sz w:val="20"/>
          <w:szCs w:val="20"/>
        </w:rPr>
        <w:t>Cette commission de suivi est composée de représentants de la Direction et du Personnel et plus précisément :</w:t>
      </w:r>
    </w:p>
    <w:p>
      <w:pPr>
        <w:pStyle w:val="TextBody"/>
        <w:spacing w:lineRule="auto" w:line="266" w:before="83" w:after="200"/>
        <w:ind w:left="216" w:right="139" w:hanging="0"/>
        <w:jc w:val="both"/>
        <w:rPr>
          <w:rFonts w:ascii="Century Gothic" w:hAnsi="Century Gothic" w:cs="Minion-Regular;Cambria"/>
          <w:sz w:val="20"/>
          <w:szCs w:val="20"/>
        </w:rPr>
      </w:pPr>
      <w:r>
        <w:rPr>
          <w:rFonts w:cs="Minion-Regular;Cambria" w:ascii="Century Gothic" w:hAnsi="Century Gothic"/>
          <w:sz w:val="20"/>
          <w:szCs w:val="20"/>
        </w:rPr>
        <w:t xml:space="preserve">- de 2 membres titulaires et 2 membres suppléants parmi les membres du Comité d'Entreprise. A la suite des élections professionnelles, une nouvelle désignation parmi les membres du nouveau CSE devra être organisée dès la première réunion. </w:t>
      </w:r>
    </w:p>
    <w:p>
      <w:pPr>
        <w:pStyle w:val="TextBody"/>
        <w:spacing w:lineRule="auto" w:line="266" w:before="83" w:after="200"/>
        <w:ind w:left="216" w:right="139" w:hanging="0"/>
        <w:jc w:val="both"/>
        <w:rPr/>
      </w:pPr>
      <w:r>
        <w:rPr>
          <w:rFonts w:cs="Minion-Regular;Cambria" w:ascii="Century Gothic" w:hAnsi="Century Gothic"/>
          <w:sz w:val="20"/>
          <w:szCs w:val="20"/>
        </w:rPr>
        <w:t>- de 2 membres dont un Président représentant la direction et 1 suppléant.</w:t>
      </w:r>
    </w:p>
    <w:p>
      <w:pPr>
        <w:pStyle w:val="TextBody"/>
        <w:spacing w:lineRule="auto" w:line="266" w:before="83" w:after="200"/>
        <w:ind w:left="216" w:right="139" w:hanging="0"/>
        <w:jc w:val="both"/>
        <w:rPr>
          <w:rFonts w:ascii="Century Gothic" w:hAnsi="Century Gothic" w:cs="Minion-Regular;Cambria"/>
          <w:sz w:val="20"/>
          <w:szCs w:val="20"/>
        </w:rPr>
      </w:pPr>
      <w:r>
        <w:rPr>
          <w:rFonts w:cs="Minion-Regular;Cambria" w:ascii="Century Gothic" w:hAnsi="Century Gothic"/>
          <w:sz w:val="20"/>
          <w:szCs w:val="20"/>
        </w:rPr>
        <w:t xml:space="preserve">- de 1 représentant de la Cellule d'Accompagnement. </w:t>
      </w:r>
    </w:p>
    <w:p>
      <w:pPr>
        <w:pStyle w:val="TextBody"/>
        <w:spacing w:lineRule="auto" w:line="266" w:before="83" w:after="200"/>
        <w:ind w:left="216" w:right="139" w:hanging="0"/>
        <w:jc w:val="both"/>
        <w:rPr>
          <w:rFonts w:ascii="Century Gothic" w:hAnsi="Century Gothic" w:cs="Minion-Regular;Cambria"/>
          <w:sz w:val="20"/>
          <w:szCs w:val="20"/>
        </w:rPr>
      </w:pPr>
      <w:r>
        <w:rPr>
          <w:rFonts w:cs="Minion-Regular;Cambria" w:ascii="Century Gothic" w:hAnsi="Century Gothic"/>
          <w:sz w:val="20"/>
          <w:szCs w:val="20"/>
        </w:rPr>
        <w:t>- de 1 représentant de la DIRECCTE compétente.</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t>Cette commission se réunit une fois par mois dans les locaux de la Société, à l'initiative de la Direction, pendant les 4 premiers mois de la mise en œuvre du plan, puis une fois tous les deux mois. Ces réunions et les temps de trajets se déroulent sur le temps de travail. Les autres dispositions de l’accord du 27 juillet 2018 restent inchangées.</w:t>
      </w:r>
    </w:p>
    <w:p>
      <w:pPr>
        <w:pStyle w:val="Heading2"/>
        <w:numPr>
          <w:ilvl w:val="1"/>
          <w:numId w:val="1"/>
        </w:numPr>
        <w:rPr>
          <w:lang w:val="en-GB" w:eastAsia="en-GB" w:bidi="ar-SA"/>
        </w:rPr>
      </w:pPr>
      <w:bookmarkStart w:id="30" w:name="__RefHeading___Toc4687743"/>
      <w:bookmarkStart w:id="31" w:name="_bookmark21"/>
      <w:bookmarkEnd w:id="30"/>
      <w:bookmarkEnd w:id="31"/>
      <w:r>
        <w:rPr>
          <w:lang w:val="en-GB" w:eastAsia="en-GB" w:bidi="ar-SA"/>
        </w:rPr>
        <w:t>Article 3.4. Commission œuvres SOCIALES</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t xml:space="preserve">Une commission destinée aux œuvres sociales sera créée, et son rôle sera de veiller à la bonne gestion du budget relatif aux œuvres sociales et culturelles et de faire de nouvelles propositions. </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t>Un bilan sera présenté à l'occasion d'une réunion ordinaire du CSE.</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t xml:space="preserve">Cette commission sera composée de trois membres issus du Comité Social et Economique dont le Trésorier. </w:t>
      </w:r>
    </w:p>
    <w:p>
      <w:pPr>
        <w:pStyle w:val="TextBody"/>
        <w:spacing w:lineRule="auto" w:line="266" w:before="83" w:after="200"/>
        <w:ind w:right="139" w:hanging="0"/>
        <w:jc w:val="both"/>
        <w:rPr/>
      </w:pPr>
      <w:r>
        <w:rPr>
          <w:rFonts w:cs="Minion-Regular;Cambria" w:ascii="Century Gothic" w:hAnsi="Century Gothic"/>
          <w:sz w:val="20"/>
          <w:szCs w:val="20"/>
        </w:rPr>
        <w:t xml:space="preserve">Le temps passé en commission sera pris sur les heures de délégation. </w:t>
      </w:r>
    </w:p>
    <w:p>
      <w:pPr>
        <w:pStyle w:val="TextBody"/>
        <w:spacing w:lineRule="auto" w:line="266" w:before="83" w:after="200"/>
        <w:ind w:right="139" w:hanging="0"/>
        <w:jc w:val="both"/>
        <w:rPr>
          <w:rFonts w:ascii="Century Gothic" w:hAnsi="Century Gothic" w:cs="Minion-Regular;Cambria"/>
          <w:sz w:val="20"/>
          <w:szCs w:val="20"/>
        </w:rPr>
      </w:pPr>
      <w:r>
        <w:rPr>
          <w:rFonts w:cs="Minion-Regular;Cambria" w:ascii="Century Gothic" w:hAnsi="Century Gothic"/>
          <w:sz w:val="20"/>
          <w:szCs w:val="20"/>
        </w:rPr>
      </w:r>
    </w:p>
    <w:p>
      <w:pPr>
        <w:pStyle w:val="Heading2"/>
        <w:numPr>
          <w:ilvl w:val="1"/>
          <w:numId w:val="1"/>
        </w:numPr>
        <w:rPr>
          <w:lang w:val="en-GB" w:eastAsia="en-GB" w:bidi="ar-SA"/>
        </w:rPr>
      </w:pPr>
      <w:bookmarkStart w:id="32" w:name="__RefHeading___Toc4687744"/>
      <w:bookmarkStart w:id="33" w:name="_bookmark22"/>
      <w:bookmarkEnd w:id="32"/>
      <w:bookmarkEnd w:id="33"/>
      <w:r>
        <w:rPr>
          <w:lang w:val="en-GB" w:eastAsia="en-GB" w:bidi="ar-SA"/>
        </w:rPr>
        <w:t>Article 3.5. Commission Epargne salariale</w:t>
      </w:r>
    </w:p>
    <w:p>
      <w:pPr>
        <w:pStyle w:val="Normal"/>
        <w:jc w:val="both"/>
        <w:rPr>
          <w:rFonts w:ascii="Century Gothic" w:hAnsi="Century Gothic" w:cs="Minion-Regular;Cambria"/>
          <w:lang w:val="fr-FR"/>
        </w:rPr>
      </w:pPr>
      <w:r>
        <w:rPr>
          <w:rFonts w:cs="Minion-Regular;Cambria" w:ascii="Century Gothic" w:hAnsi="Century Gothic"/>
          <w:lang w:val="fr-FR"/>
        </w:rPr>
        <w:t>Une commission destinée à l'épargne salariale sera créée, et son rôle sera d'étudier et de vérifier, à raison d'une fois par an, les enveloppes financières dédiées à l'intéressement et la participation ainsi que les modalités de répartition.</w:t>
      </w:r>
    </w:p>
    <w:p>
      <w:pPr>
        <w:pStyle w:val="Normal"/>
        <w:jc w:val="both"/>
        <w:rPr>
          <w:rFonts w:ascii="Century Gothic" w:hAnsi="Century Gothic" w:cs="Minion-Regular;Cambria"/>
          <w:lang w:val="fr-FR"/>
        </w:rPr>
      </w:pPr>
      <w:r>
        <w:rPr>
          <w:rFonts w:cs="Minion-Regular;Cambria" w:ascii="Century Gothic" w:hAnsi="Century Gothic"/>
          <w:lang w:val="fr-FR"/>
        </w:rPr>
        <w:t>Deux membres seront désignés parmi les membres du CSE. Ils auront notamment pour missions de transmettre un compte rendu au CSE pour faciliter sa consultation.</w:t>
      </w:r>
    </w:p>
    <w:p>
      <w:pPr>
        <w:pStyle w:val="TextBody"/>
        <w:spacing w:before="9" w:after="200"/>
        <w:jc w:val="both"/>
        <w:rPr>
          <w:rFonts w:ascii="Century Gothic" w:hAnsi="Century Gothic" w:cs="Minion-Regular;Cambria"/>
          <w:sz w:val="20"/>
          <w:szCs w:val="20"/>
        </w:rPr>
      </w:pPr>
      <w:r>
        <w:rPr>
          <w:rFonts w:cs="Minion-Regular;Cambria" w:ascii="Century Gothic" w:hAnsi="Century Gothic"/>
          <w:sz w:val="20"/>
          <w:szCs w:val="20"/>
        </w:rPr>
        <w:t xml:space="preserve">Le temps de réunion de cette commission sera comptabilisé sur le temps de travail. </w:t>
      </w:r>
    </w:p>
    <w:p>
      <w:pPr>
        <w:pStyle w:val="Normal"/>
        <w:jc w:val="both"/>
        <w:rPr>
          <w:rFonts w:ascii="Century Gothic" w:hAnsi="Century Gothic" w:cs="Minion-Regular;Cambria"/>
          <w:sz w:val="20"/>
          <w:szCs w:val="20"/>
          <w:lang w:val="fr-FR"/>
        </w:rPr>
      </w:pPr>
      <w:r>
        <w:rPr>
          <w:rFonts w:cs="Minion-Regular;Cambria" w:ascii="Century Gothic" w:hAnsi="Century Gothic"/>
          <w:sz w:val="20"/>
          <w:szCs w:val="20"/>
          <w:lang w:val="fr-FR"/>
        </w:rPr>
      </w:r>
    </w:p>
    <w:p>
      <w:pPr>
        <w:pStyle w:val="Heading2"/>
        <w:numPr>
          <w:ilvl w:val="1"/>
          <w:numId w:val="1"/>
        </w:numPr>
        <w:rPr>
          <w:lang w:val="en-GB" w:eastAsia="en-GB" w:bidi="ar-SA"/>
        </w:rPr>
      </w:pPr>
      <w:bookmarkStart w:id="34" w:name="__RefHeading___Toc4687745"/>
      <w:bookmarkEnd w:id="34"/>
      <w:r>
        <w:rPr>
          <w:lang w:val="en-GB" w:eastAsia="en-GB" w:bidi="ar-SA"/>
        </w:rPr>
        <w:t>Article 3.6. Commission SOCIALE</w:t>
      </w:r>
    </w:p>
    <w:p>
      <w:pPr>
        <w:pStyle w:val="Normal"/>
        <w:jc w:val="both"/>
        <w:rPr>
          <w:rFonts w:ascii="Century Gothic" w:hAnsi="Century Gothic" w:cs="Minion-Regular;Cambria"/>
          <w:lang w:val="fr-FR"/>
        </w:rPr>
      </w:pPr>
      <w:r>
        <w:rPr>
          <w:rFonts w:cs="Minion-Regular;Cambria" w:ascii="Century Gothic" w:hAnsi="Century Gothic"/>
          <w:lang w:val="fr-FR"/>
        </w:rPr>
        <w:t>Une commission sociale regroupant l'ensemble des sujets relatifs à la politique sociale de l'entreprise (formation, égalité hommes/femmes…) sera créée.</w:t>
      </w:r>
    </w:p>
    <w:p>
      <w:pPr>
        <w:pStyle w:val="Normal"/>
        <w:jc w:val="both"/>
        <w:rPr>
          <w:rFonts w:ascii="Century Gothic" w:hAnsi="Century Gothic" w:cs="Minion-Regular;Cambria"/>
          <w:lang w:val="fr-FR"/>
        </w:rPr>
      </w:pPr>
      <w:r>
        <w:rPr>
          <w:rFonts w:cs="Minion-Regular;Cambria" w:ascii="Century Gothic" w:hAnsi="Century Gothic"/>
          <w:lang w:val="fr-FR"/>
        </w:rPr>
        <w:t>Elle sera composée de :</w:t>
      </w:r>
    </w:p>
    <w:p>
      <w:pPr>
        <w:pStyle w:val="Normal"/>
        <w:jc w:val="both"/>
        <w:rPr>
          <w:rFonts w:ascii="Century Gothic" w:hAnsi="Century Gothic" w:cs="Minion-Regular;Cambria"/>
          <w:lang w:val="fr-FR"/>
        </w:rPr>
      </w:pPr>
      <w:r>
        <w:rPr>
          <w:rFonts w:cs="Minion-Regular;Cambria" w:ascii="Century Gothic" w:hAnsi="Century Gothic"/>
          <w:lang w:val="fr-FR"/>
        </w:rPr>
        <w:t xml:space="preserve">- 2 membres titulaires désignés par le Comité Social et Economique dont le membre du CSE qui sera désigné en tant référent matière de lutte contre le harcèlement sexuel et les agissements sexistes. </w:t>
      </w:r>
    </w:p>
    <w:p>
      <w:pPr>
        <w:pStyle w:val="Normal"/>
        <w:jc w:val="both"/>
        <w:rPr>
          <w:rFonts w:ascii="Century Gothic" w:hAnsi="Century Gothic" w:cs="Minion-Regular;Cambria"/>
          <w:lang w:val="fr-FR"/>
        </w:rPr>
      </w:pPr>
      <w:r>
        <w:rPr>
          <w:rFonts w:cs="Minion-Regular;Cambria" w:ascii="Century Gothic" w:hAnsi="Century Gothic"/>
          <w:lang w:val="fr-FR"/>
        </w:rPr>
        <w:t>La mission de ce référent sera plus particulièrement de lutter contre les violences sexistes et sexuelles dans l'entreprise. En cas d'alerte, ce référent peut être libéré rapidement pour mener l'enquête. Dans ce cadre, une demande de déplafonnement des heures de délégation pourra être soumise auprès de la Direction.</w:t>
      </w:r>
    </w:p>
    <w:p>
      <w:pPr>
        <w:pStyle w:val="Normal"/>
        <w:jc w:val="both"/>
        <w:rPr>
          <w:rFonts w:ascii="Century Gothic" w:hAnsi="Century Gothic" w:cs="Minion-Regular;Cambria"/>
          <w:lang w:val="fr-FR"/>
        </w:rPr>
      </w:pPr>
      <w:r>
        <w:rPr>
          <w:rFonts w:cs="Minion-Regular;Cambria" w:ascii="Century Gothic" w:hAnsi="Century Gothic"/>
          <w:lang w:val="fr-FR"/>
        </w:rPr>
        <w:t xml:space="preserve">Cette commission se réunira sur le temps de délégation et présentera un bilan annuel au CSE afin de préparer la consultation sur la politique sociale de l'entreprise. </w:t>
      </w:r>
    </w:p>
    <w:p>
      <w:pPr>
        <w:pStyle w:val="Normal"/>
        <w:jc w:val="both"/>
        <w:rPr>
          <w:rFonts w:ascii="Century Gothic" w:hAnsi="Century Gothic" w:cs="Minion-Regular;Cambria"/>
          <w:lang w:val="fr-FR"/>
        </w:rPr>
      </w:pPr>
      <w:r>
        <w:rPr>
          <w:rFonts w:cs="Minion-Regular;Cambria" w:ascii="Century Gothic" w:hAnsi="Century Gothic"/>
          <w:lang w:val="fr-FR"/>
        </w:rPr>
      </w:r>
    </w:p>
    <w:p>
      <w:pPr>
        <w:pStyle w:val="Heading1"/>
        <w:numPr>
          <w:ilvl w:val="0"/>
          <w:numId w:val="1"/>
        </w:numPr>
        <w:rPr>
          <w:lang w:val="fr-FR"/>
        </w:rPr>
      </w:pPr>
      <w:bookmarkStart w:id="35" w:name="__RefHeading___Toc4687746"/>
      <w:bookmarkStart w:id="36" w:name="_bookmark25"/>
      <w:bookmarkStart w:id="37" w:name="_bookmark24"/>
      <w:bookmarkEnd w:id="35"/>
      <w:bookmarkEnd w:id="36"/>
      <w:bookmarkEnd w:id="37"/>
      <w:r>
        <w:rPr>
          <w:lang w:val="fr-FR"/>
        </w:rPr>
        <w:t>ARTICLE 4. REUNIONS DU CSE ET CONSULTATIONS PERIODIQUES</w:t>
      </w:r>
    </w:p>
    <w:p>
      <w:pPr>
        <w:pStyle w:val="Heading2"/>
        <w:numPr>
          <w:ilvl w:val="1"/>
          <w:numId w:val="1"/>
        </w:numPr>
        <w:rPr/>
      </w:pPr>
      <w:bookmarkStart w:id="38" w:name="__RefHeading___Toc4687747"/>
      <w:bookmarkStart w:id="39" w:name="_bookmark26"/>
      <w:bookmarkEnd w:id="38"/>
      <w:bookmarkEnd w:id="39"/>
      <w:r>
        <w:rPr/>
        <w:t>Article 4.1. Réunions mensuelles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CSE se réunit au minimum 10 fois par an sur convocation de l’employeur ou de son représentant, hors cas prévus par la règlementation.</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xml:space="preserve">Quatre fois dans l'année, une de ces réunions porte en tout ou partie sur les attributions du CSE en matière de santé, de sécurité et de conditions de travail, pendant laquelle la DIRECCTE et la médecine du travail sont invitées. </w:t>
      </w:r>
    </w:p>
    <w:p>
      <w:pPr>
        <w:pStyle w:val="Heading2"/>
        <w:numPr>
          <w:ilvl w:val="1"/>
          <w:numId w:val="1"/>
        </w:numPr>
        <w:rPr/>
      </w:pPr>
      <w:bookmarkStart w:id="40" w:name="__RefHeading___Toc4687748"/>
      <w:bookmarkStart w:id="41" w:name="_bookmark27"/>
      <w:bookmarkEnd w:id="40"/>
      <w:bookmarkEnd w:id="41"/>
      <w:r>
        <w:rPr/>
        <w:t>Article 4.2. Consultations périodiques</w:t>
      </w:r>
    </w:p>
    <w:p>
      <w:pPr>
        <w:pStyle w:val="Normal"/>
        <w:rPr>
          <w:sz w:val="16"/>
          <w:szCs w:val="16"/>
          <w:lang w:val="fr-FR"/>
        </w:rPr>
      </w:pPr>
      <w:r>
        <w:rPr>
          <w:sz w:val="16"/>
          <w:szCs w:val="16"/>
          <w:lang w:val="fr-FR"/>
        </w:rPr>
      </w:r>
    </w:p>
    <w:p>
      <w:pPr>
        <w:pStyle w:val="Heading2"/>
        <w:numPr>
          <w:ilvl w:val="1"/>
          <w:numId w:val="1"/>
        </w:numPr>
        <w:rPr/>
      </w:pPr>
      <w:bookmarkStart w:id="42" w:name="__RefHeading___Toc4687749"/>
      <w:bookmarkStart w:id="43" w:name="_bookmark28"/>
      <w:bookmarkEnd w:id="42"/>
      <w:bookmarkEnd w:id="43"/>
      <w:r>
        <w:rPr/>
        <w:t>Article 4.2.1. Orientations stratégiques de l’entreprise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CSE est consulté tous les trois ans sur les orientations stratégiques de l’entreprise selon les modalités légales en vigueur.</w:t>
      </w:r>
    </w:p>
    <w:p>
      <w:pPr>
        <w:pStyle w:val="Normal"/>
        <w:ind w:right="-1" w:hanging="0"/>
        <w:jc w:val="both"/>
        <w:rPr/>
      </w:pPr>
      <w:r>
        <w:rPr>
          <w:rFonts w:cs="Minion-Regular;Cambria" w:ascii="Century Gothic" w:hAnsi="Century Gothic"/>
          <w:lang w:val="fr-FR"/>
        </w:rPr>
        <w:t>Cette consultation porte sur :</w:t>
      </w:r>
    </w:p>
    <w:p>
      <w:pPr>
        <w:pStyle w:val="Normal"/>
        <w:numPr>
          <w:ilvl w:val="0"/>
          <w:numId w:val="5"/>
        </w:numPr>
        <w:ind w:left="720" w:right="-1" w:hanging="360"/>
        <w:jc w:val="both"/>
        <w:rPr>
          <w:rFonts w:ascii="Century Gothic" w:hAnsi="Century Gothic" w:cs="Minion-Regular;Cambria"/>
          <w:lang w:val="fr-FR"/>
        </w:rPr>
      </w:pPr>
      <w:r>
        <w:rPr>
          <w:rFonts w:cs="Minion-Regular;Cambria" w:ascii="Century Gothic" w:hAnsi="Century Gothic"/>
          <w:lang w:val="fr-FR"/>
        </w:rPr>
        <w:t>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w:t>
      </w:r>
    </w:p>
    <w:p>
      <w:pPr>
        <w:pStyle w:val="Normal"/>
        <w:numPr>
          <w:ilvl w:val="0"/>
          <w:numId w:val="5"/>
        </w:numPr>
        <w:ind w:left="720" w:right="-1" w:hanging="360"/>
        <w:jc w:val="both"/>
        <w:rPr>
          <w:rFonts w:ascii="Century Gothic" w:hAnsi="Century Gothic" w:cs="Minion-Regular;Cambria"/>
          <w:lang w:val="fr-FR"/>
        </w:rPr>
      </w:pPr>
      <w:r>
        <w:rPr>
          <w:rFonts w:cs="Minion-Regular;Cambria" w:ascii="Century Gothic" w:hAnsi="Century Gothic"/>
          <w:lang w:val="fr-FR"/>
        </w:rPr>
        <w:t xml:space="preserve">la gestion prévisionnelle des emplois et des compétences </w:t>
      </w:r>
    </w:p>
    <w:p>
      <w:pPr>
        <w:pStyle w:val="Normal"/>
        <w:numPr>
          <w:ilvl w:val="0"/>
          <w:numId w:val="5"/>
        </w:numPr>
        <w:ind w:left="720" w:right="-1" w:hanging="360"/>
        <w:jc w:val="both"/>
        <w:rPr>
          <w:rFonts w:ascii="Century Gothic" w:hAnsi="Century Gothic" w:cs="Minion-Regular;Cambria"/>
          <w:lang w:val="fr-FR"/>
        </w:rPr>
      </w:pPr>
      <w:r>
        <w:rPr>
          <w:rFonts w:cs="Minion-Regular;Cambria" w:ascii="Century Gothic" w:hAnsi="Century Gothic"/>
          <w:lang w:val="fr-FR"/>
        </w:rPr>
        <w:t>les orientations de la formation professionnelle.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xml:space="preserve">Les éventuelles actualisations du plan stratégique pourront être présentées annuellement, à titre informatif, au CSE, si la Direction l’estime nécessaire. </w:t>
      </w:r>
    </w:p>
    <w:p>
      <w:pPr>
        <w:pStyle w:val="Heading2"/>
        <w:numPr>
          <w:ilvl w:val="1"/>
          <w:numId w:val="1"/>
        </w:numPr>
        <w:rPr/>
      </w:pPr>
      <w:bookmarkStart w:id="44" w:name="_bookmark29"/>
      <w:bookmarkEnd w:id="44"/>
      <w:r>
        <w:rPr>
          <w:rFonts w:eastAsia="Century Gothic"/>
        </w:rPr>
        <w:t xml:space="preserve"> </w:t>
      </w:r>
      <w:bookmarkStart w:id="45" w:name="__RefHeading___Toc4687750"/>
      <w:bookmarkEnd w:id="45"/>
      <w:r>
        <w:rPr/>
        <w:t>Article 4.2.2. Situation économique et financière de l’entreprise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L'année fiscale s'étend du 1er juillet N-1 au 30 juin N, le CSE sera consulté tous les ans et au plus tard, le 31 octobre de l'année N, sur la situation économique et financière de l’entreprise.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i/>
          <w:i/>
        </w:rPr>
      </w:pPr>
      <w:bookmarkStart w:id="46" w:name="__RefHeading___Toc4687751"/>
      <w:bookmarkEnd w:id="46"/>
      <w:r>
        <w:rPr/>
        <w:t>Article 4.2.3. Politique sociale de l’entreprise</w:t>
      </w:r>
    </w:p>
    <w:p>
      <w:pPr>
        <w:pStyle w:val="TextBody"/>
        <w:spacing w:before="7" w:after="200"/>
        <w:rPr>
          <w:i/>
          <w:i/>
          <w:sz w:val="22"/>
        </w:rPr>
      </w:pPr>
      <w:r>
        <w:rPr>
          <w:i/>
          <w:sz w:val="22"/>
        </w:rPr>
      </w:r>
    </w:p>
    <w:p>
      <w:pPr>
        <w:pStyle w:val="TextBody"/>
        <w:spacing w:lineRule="auto" w:line="268" w:before="60" w:after="200"/>
        <w:ind w:right="130" w:hanging="0"/>
        <w:jc w:val="both"/>
        <w:rPr>
          <w:rFonts w:ascii="Century Gothic" w:hAnsi="Century Gothic" w:cs="Minion-Regular;Cambria"/>
          <w:sz w:val="20"/>
          <w:szCs w:val="20"/>
        </w:rPr>
      </w:pPr>
      <w:r>
        <w:rPr>
          <w:rFonts w:cs="Minion-Regular;Cambria" w:ascii="Century Gothic" w:hAnsi="Century Gothic"/>
          <w:sz w:val="20"/>
          <w:szCs w:val="20"/>
        </w:rPr>
        <w:t>Le CSE est consulté tous les ans sur la politique sociale de l’entreprise. Cette consultation comprend notamment :</w:t>
      </w:r>
    </w:p>
    <w:p>
      <w:pPr>
        <w:pStyle w:val="Normal"/>
        <w:spacing w:before="120" w:after="120"/>
        <w:ind w:left="215" w:hanging="0"/>
        <w:rPr>
          <w:rFonts w:ascii="Century Gothic" w:hAnsi="Century Gothic" w:cs="Minion-Regular;Cambria"/>
          <w:lang w:val="fr-FR" w:eastAsia="fr-FR" w:bidi="fr-FR"/>
        </w:rPr>
      </w:pPr>
      <w:r>
        <w:rPr>
          <w:rFonts w:cs="Minion-Regular;Cambria" w:ascii="Century Gothic" w:hAnsi="Century Gothic"/>
          <w:lang w:val="fr-FR" w:eastAsia="fr-FR" w:bidi="fr-FR"/>
        </w:rPr>
        <w:t xml:space="preserve">- Le programme pluriannuel de formation, les actions de formation envisagées par l'employeur, l'apprentissage, les conditions d'accueil en stage </w:t>
      </w:r>
    </w:p>
    <w:p>
      <w:pPr>
        <w:pStyle w:val="Normal"/>
        <w:spacing w:before="120" w:after="120"/>
        <w:ind w:left="215" w:hanging="0"/>
        <w:rPr>
          <w:rFonts w:ascii="Century Gothic" w:hAnsi="Century Gothic" w:cs="Minion-Regular;Cambria"/>
          <w:lang w:val="fr-FR" w:eastAsia="fr-FR" w:bidi="fr-FR"/>
        </w:rPr>
      </w:pPr>
      <w:r>
        <w:rPr>
          <w:rFonts w:cs="Minion-Regular;Cambria" w:ascii="Century Gothic" w:hAnsi="Century Gothic"/>
          <w:lang w:val="fr-FR" w:eastAsia="fr-FR" w:bidi="fr-FR"/>
        </w:rPr>
        <w:t xml:space="preserve">- les actions de prévention en matière de santé et de sécurité </w:t>
      </w:r>
    </w:p>
    <w:p>
      <w:pPr>
        <w:pStyle w:val="Normal"/>
        <w:spacing w:before="120" w:after="120"/>
        <w:ind w:left="215" w:hanging="0"/>
        <w:rPr/>
      </w:pPr>
      <w:r>
        <w:rPr>
          <w:rFonts w:cs="Minion-Regular;Cambria" w:ascii="Century Gothic" w:hAnsi="Century Gothic"/>
          <w:lang w:val="fr-FR" w:eastAsia="fr-FR" w:bidi="fr-FR"/>
        </w:rPr>
        <w:t>- Les conditions de travail</w:t>
      </w:r>
    </w:p>
    <w:p>
      <w:pPr>
        <w:pStyle w:val="Normal"/>
        <w:spacing w:before="120" w:after="120"/>
        <w:ind w:left="215" w:hanging="0"/>
        <w:rPr/>
      </w:pPr>
      <w:r>
        <w:rPr>
          <w:rFonts w:cs="Minion-Regular;Cambria" w:ascii="Century Gothic" w:hAnsi="Century Gothic"/>
          <w:lang w:val="fr-FR" w:eastAsia="fr-FR" w:bidi="fr-FR"/>
        </w:rPr>
        <w:t xml:space="preserve">- les congés et l'aménagement du temps de travail </w:t>
      </w:r>
    </w:p>
    <w:p>
      <w:pPr>
        <w:pStyle w:val="Normal"/>
        <w:spacing w:before="120" w:after="120"/>
        <w:ind w:left="215" w:hanging="0"/>
        <w:rPr/>
      </w:pPr>
      <w:r>
        <w:rPr>
          <w:rFonts w:cs="Minion-Regular;Cambria" w:ascii="Century Gothic" w:hAnsi="Century Gothic"/>
          <w:lang w:val="fr-FR" w:eastAsia="fr-FR" w:bidi="fr-FR"/>
        </w:rPr>
        <w:t>- La durée du travail</w:t>
      </w:r>
    </w:p>
    <w:p>
      <w:pPr>
        <w:pStyle w:val="Normal"/>
        <w:spacing w:before="120" w:after="120"/>
        <w:ind w:left="215" w:hanging="0"/>
        <w:rPr>
          <w:rFonts w:ascii="Century Gothic" w:hAnsi="Century Gothic" w:cs="Minion-Regular;Cambria"/>
          <w:lang w:val="fr-FR" w:eastAsia="fr-FR" w:bidi="fr-FR"/>
        </w:rPr>
      </w:pPr>
      <w:r>
        <w:rPr>
          <w:rFonts w:cs="Minion-Regular;Cambria" w:ascii="Century Gothic" w:hAnsi="Century Gothic"/>
          <w:lang w:val="fr-FR" w:eastAsia="fr-FR" w:bidi="fr-FR"/>
        </w:rPr>
        <w:t>- L'égalité professionnelle entre les hommes et les femmes</w:t>
      </w:r>
    </w:p>
    <w:p>
      <w:pPr>
        <w:pStyle w:val="TextBody"/>
        <w:spacing w:lineRule="auto" w:line="268"/>
        <w:rPr>
          <w:rFonts w:ascii="Century Gothic" w:hAnsi="Century Gothic" w:cs="Minion-Regular;Cambria"/>
          <w:sz w:val="20"/>
          <w:szCs w:val="20"/>
        </w:rPr>
      </w:pPr>
      <w:r>
        <w:rPr>
          <w:rFonts w:cs="Minion-Regular;Cambria" w:ascii="Century Gothic" w:hAnsi="Century Gothic"/>
          <w:sz w:val="20"/>
          <w:szCs w:val="20"/>
        </w:rPr>
        <w:t>Le CSE s’appuie sur l’analyse réalisée en amont par la commission sociale.</w:t>
      </w:r>
    </w:p>
    <w:p>
      <w:pPr>
        <w:pStyle w:val="TextBody"/>
        <w:spacing w:lineRule="auto" w:line="268" w:before="83" w:after="200"/>
        <w:ind w:right="140" w:hanging="0"/>
        <w:jc w:val="both"/>
        <w:rPr>
          <w:rFonts w:ascii="Century Gothic" w:hAnsi="Century Gothic" w:cs="Minion-Regular;Cambria"/>
          <w:sz w:val="20"/>
          <w:szCs w:val="20"/>
          <w:lang w:eastAsia="en-US" w:bidi="en-US"/>
        </w:rPr>
      </w:pPr>
      <w:bookmarkStart w:id="47" w:name="_bookmark34"/>
      <w:bookmarkStart w:id="48" w:name="_bookmark33"/>
      <w:bookmarkStart w:id="49" w:name="_bookmark32"/>
      <w:bookmarkStart w:id="50" w:name="_bookmark31"/>
      <w:bookmarkStart w:id="51" w:name="_bookmark34"/>
      <w:bookmarkStart w:id="52" w:name="_bookmark33"/>
      <w:bookmarkStart w:id="53" w:name="_bookmark32"/>
      <w:bookmarkStart w:id="54" w:name="_bookmark31"/>
      <w:bookmarkEnd w:id="51"/>
      <w:bookmarkEnd w:id="52"/>
      <w:bookmarkEnd w:id="53"/>
      <w:bookmarkEnd w:id="54"/>
      <w:r>
        <w:rPr>
          <w:rFonts w:cs="Minion-Regular;Cambria" w:ascii="Century Gothic" w:hAnsi="Century Gothic"/>
          <w:sz w:val="20"/>
          <w:szCs w:val="20"/>
          <w:lang w:eastAsia="en-US" w:bidi="en-US"/>
        </w:rPr>
      </w:r>
    </w:p>
    <w:p>
      <w:pPr>
        <w:pStyle w:val="Heading1"/>
        <w:numPr>
          <w:ilvl w:val="0"/>
          <w:numId w:val="1"/>
        </w:numPr>
        <w:rPr>
          <w:lang w:val="fr-FR"/>
        </w:rPr>
      </w:pPr>
      <w:bookmarkStart w:id="55" w:name="__RefHeading___Toc4687752"/>
      <w:bookmarkStart w:id="56" w:name="_bookmark35"/>
      <w:bookmarkEnd w:id="55"/>
      <w:bookmarkEnd w:id="56"/>
      <w:r>
        <w:rPr>
          <w:lang w:val="fr-FR"/>
        </w:rPr>
        <w:t>ARTICLE 5. SUBVENTIONS ET MOYENS DU CSE</w:t>
      </w:r>
    </w:p>
    <w:p>
      <w:pPr>
        <w:pStyle w:val="TextBody"/>
        <w:spacing w:before="1" w:after="200"/>
        <w:rPr>
          <w:b/>
          <w:b/>
          <w:sz w:val="23"/>
          <w:lang w:val="fr-FR"/>
        </w:rPr>
      </w:pPr>
      <w:r>
        <w:rPr>
          <w:b/>
          <w:sz w:val="23"/>
          <w:lang w:val="fr-FR"/>
        </w:rPr>
      </w:r>
    </w:p>
    <w:p>
      <w:pPr>
        <w:pStyle w:val="Heading2"/>
        <w:numPr>
          <w:ilvl w:val="1"/>
          <w:numId w:val="1"/>
        </w:numPr>
        <w:rPr/>
      </w:pPr>
      <w:bookmarkStart w:id="57" w:name="__RefHeading___Toc4687753"/>
      <w:bookmarkStart w:id="58" w:name="_bookmark36"/>
      <w:bookmarkEnd w:id="57"/>
      <w:bookmarkEnd w:id="58"/>
      <w:r>
        <w:rPr/>
        <w:t>Article 5.1. Subventions</w:t>
      </w:r>
    </w:p>
    <w:p>
      <w:pPr>
        <w:pStyle w:val="TextBody"/>
        <w:spacing w:lineRule="auto" w:line="266" w:before="83" w:after="200"/>
        <w:ind w:left="216" w:right="135"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 xml:space="preserve">L’employeur verse chaque année au CSE une </w:t>
      </w:r>
      <w:r>
        <w:rPr>
          <w:rFonts w:cs="Minion-Regular;Cambria" w:ascii="Century Gothic" w:hAnsi="Century Gothic"/>
          <w:b/>
          <w:sz w:val="20"/>
          <w:szCs w:val="20"/>
          <w:lang w:eastAsia="en-US" w:bidi="en-US"/>
        </w:rPr>
        <w:t>subvention de fonctionnement</w:t>
      </w:r>
      <w:r>
        <w:rPr>
          <w:rFonts w:cs="Minion-Regular;Cambria" w:ascii="Century Gothic" w:hAnsi="Century Gothic"/>
          <w:sz w:val="20"/>
          <w:szCs w:val="20"/>
          <w:lang w:eastAsia="en-US" w:bidi="en-US"/>
        </w:rPr>
        <w:t xml:space="preserve"> d’un montant équivalent à 0,2% de la masse salariale brute de l’entreprise telle que définie par les dispositions légales (article L. 2315-61 du Code du travail). </w:t>
      </w:r>
    </w:p>
    <w:p>
      <w:pPr>
        <w:pStyle w:val="TextBody"/>
        <w:spacing w:lineRule="auto" w:line="266"/>
        <w:ind w:left="216" w:right="137"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 xml:space="preserve">L’employeur verse chaque année au CSE une contribution destinée à financer les </w:t>
      </w:r>
      <w:r>
        <w:rPr>
          <w:rFonts w:cs="Minion-Regular;Cambria" w:ascii="Century Gothic" w:hAnsi="Century Gothic"/>
          <w:b/>
          <w:sz w:val="20"/>
          <w:szCs w:val="20"/>
          <w:lang w:eastAsia="en-US" w:bidi="en-US"/>
        </w:rPr>
        <w:t>activités sociales et culturelles</w:t>
      </w:r>
      <w:r>
        <w:rPr>
          <w:rFonts w:cs="Minion-Regular;Cambria" w:ascii="Century Gothic" w:hAnsi="Century Gothic"/>
          <w:sz w:val="20"/>
          <w:szCs w:val="20"/>
          <w:lang w:eastAsia="en-US" w:bidi="en-US"/>
        </w:rPr>
        <w:t xml:space="preserve"> d’un montant équivalent à 0.8% de la masse salariale brute de l’entreprise telle que définie par les dispositions légales (article L. 2312-83 du code du travail).</w:t>
      </w:r>
    </w:p>
    <w:p>
      <w:pPr>
        <w:pStyle w:val="TextBody"/>
        <w:spacing w:lineRule="auto" w:line="266"/>
        <w:ind w:left="216" w:right="137"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2"/>
        <w:numPr>
          <w:ilvl w:val="1"/>
          <w:numId w:val="1"/>
        </w:numPr>
        <w:rPr/>
      </w:pPr>
      <w:bookmarkStart w:id="59" w:name="__RefHeading___Toc4687754"/>
      <w:bookmarkEnd w:id="59"/>
      <w:r>
        <w:rPr/>
        <w:t>Article 5.2. Moyens matériels et Local a disposition</w:t>
      </w:r>
    </w:p>
    <w:p>
      <w:pPr>
        <w:pStyle w:val="TextBody"/>
        <w:spacing w:lineRule="auto" w:line="266"/>
        <w:ind w:left="216"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Il est convenu entre la direction et les membres CSE, la mise à disposition d'un local sécurisé leur permettant de se réunir et contenant un téléphone, un ordinateur, une imprimante et une connexion internet.</w:t>
      </w:r>
    </w:p>
    <w:p>
      <w:pPr>
        <w:pStyle w:val="TextBody"/>
        <w:spacing w:lineRule="auto" w:line="266"/>
        <w:ind w:left="216" w:right="133" w:hanging="0"/>
        <w:jc w:val="both"/>
        <w:rPr/>
      </w:pPr>
      <w:r>
        <w:rPr>
          <w:rFonts w:cs="Minion-Regular;Cambria" w:ascii="Century Gothic" w:hAnsi="Century Gothic"/>
          <w:sz w:val="20"/>
          <w:szCs w:val="20"/>
          <w:lang w:eastAsia="en-US" w:bidi="en-US"/>
        </w:rPr>
        <w:t>Lorsque les membres du CSE souhaiteront se réunir, ils auront accès à une salle de réunion à condition de l'avoir réservée.</w:t>
      </w:r>
    </w:p>
    <w:p>
      <w:pPr>
        <w:pStyle w:val="TextBody"/>
        <w:spacing w:lineRule="auto" w:line="266"/>
        <w:ind w:left="216" w:right="133" w:hanging="0"/>
        <w:jc w:val="both"/>
        <w:rPr>
          <w:rFonts w:ascii="Century Gothic" w:hAnsi="Century Gothic" w:cs="Minion-Regular;Cambria"/>
          <w:sz w:val="20"/>
          <w:szCs w:val="20"/>
          <w:lang w:eastAsia="en-US" w:bidi="en-US"/>
        </w:rPr>
      </w:pPr>
      <w:bookmarkStart w:id="60" w:name="_bookmark37"/>
      <w:bookmarkEnd w:id="60"/>
      <w:r>
        <w:rPr>
          <w:rFonts w:cs="Minion-Regular;Cambria" w:ascii="Century Gothic" w:hAnsi="Century Gothic"/>
          <w:sz w:val="20"/>
          <w:szCs w:val="20"/>
          <w:lang w:eastAsia="en-US" w:bidi="en-US"/>
        </w:rPr>
        <w:t>Pour faciliter la communication interne, une adresse e-mail professionnelle sera créée pour chaque membre du Comité Social et Economique.</w:t>
      </w:r>
    </w:p>
    <w:p>
      <w:pPr>
        <w:pStyle w:val="Heading2"/>
        <w:numPr>
          <w:ilvl w:val="1"/>
          <w:numId w:val="1"/>
        </w:numPr>
        <w:rPr/>
      </w:pPr>
      <w:bookmarkStart w:id="61" w:name="__RefHeading___Toc4687755"/>
      <w:bookmarkEnd w:id="61"/>
      <w:r>
        <w:rPr/>
        <w:t>Article 5.</w:t>
      </w:r>
      <w:r>
        <w:rPr>
          <w:lang w:val="fr-FR"/>
        </w:rPr>
        <w:t>3</w:t>
      </w:r>
      <w:r>
        <w:rPr/>
        <w:t xml:space="preserve">. </w:t>
      </w:r>
      <w:r>
        <w:rPr>
          <w:lang w:val="fr-FR"/>
        </w:rPr>
        <w:t>Transfert des avoirs financiers et materiels du CE au CSE</w:t>
      </w:r>
    </w:p>
    <w:p>
      <w:pPr>
        <w:pStyle w:val="TextBody"/>
        <w:spacing w:lineRule="auto" w:line="266"/>
        <w:ind w:left="216" w:right="133" w:hanging="0"/>
        <w:jc w:val="both"/>
        <w:rPr/>
      </w:pPr>
      <w:r>
        <w:rPr>
          <w:rFonts w:cs="Minion-Regular;Cambria" w:ascii="Century Gothic" w:hAnsi="Century Gothic"/>
          <w:sz w:val="20"/>
          <w:szCs w:val="20"/>
          <w:lang w:eastAsia="en-US" w:bidi="en-US"/>
        </w:rPr>
        <w:t xml:space="preserve">Il est convenu que les montants disponibles sur les comptes bancaires actuels du Comité d’Entreprise seront versés sur les nouveaux comptes bancaires du Conseil Social et Economique, dans les meilleurs délais, à la fin des mandats du CE. </w:t>
      </w:r>
    </w:p>
    <w:p>
      <w:pPr>
        <w:pStyle w:val="TextBody"/>
        <w:spacing w:lineRule="auto" w:line="266"/>
        <w:ind w:left="216"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Les biens corporels appartenant au Comité d'Entreprise deviendront automatiquement propriétés du CSE dès la promulgation des résultats des élections.</w:t>
      </w:r>
    </w:p>
    <w:p>
      <w:pPr>
        <w:pStyle w:val="TextBody"/>
        <w:spacing w:lineRule="auto" w:line="266"/>
        <w:ind w:left="216"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1"/>
        <w:numPr>
          <w:ilvl w:val="0"/>
          <w:numId w:val="1"/>
        </w:numPr>
        <w:rPr>
          <w:lang w:val="fr-FR"/>
        </w:rPr>
      </w:pPr>
      <w:bookmarkStart w:id="62" w:name="__RefHeading___Toc4687756"/>
      <w:bookmarkStart w:id="63" w:name="_bookmark38"/>
      <w:bookmarkEnd w:id="62"/>
      <w:bookmarkEnd w:id="63"/>
      <w:r>
        <w:rPr>
          <w:lang w:val="fr-FR"/>
        </w:rPr>
        <w:t>ARTICLE 6. FORMATIONS DU CSE</w:t>
      </w:r>
    </w:p>
    <w:p>
      <w:pPr>
        <w:pStyle w:val="TextBody"/>
        <w:spacing w:lineRule="auto" w:line="268" w:before="83" w:after="200"/>
        <w:ind w:left="216" w:right="137" w:hanging="0"/>
        <w:jc w:val="both"/>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r>
    </w:p>
    <w:p>
      <w:pPr>
        <w:pStyle w:val="TextBody"/>
        <w:spacing w:lineRule="auto" w:line="268" w:before="83" w:after="200"/>
        <w:ind w:left="216" w:right="137" w:hanging="0"/>
        <w:jc w:val="both"/>
        <w:rPr/>
      </w:pPr>
      <w:r>
        <w:rPr>
          <w:rFonts w:cs="Minion-Regular;Cambria" w:ascii="Century Gothic" w:hAnsi="Century Gothic"/>
          <w:sz w:val="20"/>
          <w:szCs w:val="20"/>
          <w:lang w:eastAsia="en-US" w:bidi="en-US"/>
        </w:rPr>
        <w:t>Afin de garantir un dialogue social de qualité, les parties conviennent de l’importance du maintien des connaissances et de la montée en compétences des représentants du personnel. Dans ce cadre, sont prévus les dispositifs suivants :</w:t>
      </w:r>
    </w:p>
    <w:p>
      <w:pPr>
        <w:pStyle w:val="TextBody"/>
        <w:spacing w:lineRule="auto" w:line="268" w:before="83" w:after="200"/>
        <w:ind w:left="216" w:right="137"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 Une formation économique d'une durée de 5 jours pour les titulaires et de 3 jours pour les suppléants.</w:t>
      </w:r>
    </w:p>
    <w:p>
      <w:pPr>
        <w:pStyle w:val="TextBody"/>
        <w:spacing w:lineRule="auto" w:line="268" w:before="83" w:after="200"/>
        <w:ind w:left="216" w:right="137"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 Une formation sur la sécurité, la santé et les conditions de travail d'une durée de 3 jours pour les membres titulaires et suppléants.</w:t>
      </w:r>
    </w:p>
    <w:p>
      <w:pPr>
        <w:pStyle w:val="TextBody"/>
        <w:spacing w:lineRule="auto" w:line="268" w:before="83" w:after="200"/>
        <w:ind w:left="216" w:right="137"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Les membres du CSE porteront une attention particulière sur l'optimisation de l'organisation de ces formations.</w:t>
      </w:r>
    </w:p>
    <w:p>
      <w:pPr>
        <w:pStyle w:val="TextBody"/>
        <w:spacing w:lineRule="auto" w:line="268" w:before="83" w:after="200"/>
        <w:ind w:left="216" w:right="137"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1"/>
        <w:numPr>
          <w:ilvl w:val="0"/>
          <w:numId w:val="1"/>
        </w:numPr>
        <w:rPr>
          <w:lang w:val="fr-FR"/>
        </w:rPr>
      </w:pPr>
      <w:bookmarkStart w:id="64" w:name="__RefHeading___Toc4687757"/>
      <w:bookmarkStart w:id="65" w:name="_bookmark41"/>
      <w:bookmarkEnd w:id="64"/>
      <w:bookmarkEnd w:id="65"/>
      <w:r>
        <w:rPr>
          <w:lang w:val="fr-FR"/>
        </w:rPr>
        <w:t>ARTICLE 7. ORDRE DU JOUR, PROCES-VERBAUX</w:t>
      </w:r>
    </w:p>
    <w:p>
      <w:pPr>
        <w:pStyle w:val="Heading2"/>
        <w:numPr>
          <w:ilvl w:val="1"/>
          <w:numId w:val="1"/>
        </w:numPr>
        <w:rPr/>
      </w:pPr>
      <w:bookmarkStart w:id="66" w:name="__RefHeading___Toc4687758"/>
      <w:bookmarkStart w:id="67" w:name="_bookmark42"/>
      <w:bookmarkEnd w:id="66"/>
      <w:bookmarkEnd w:id="67"/>
      <w:r>
        <w:rPr/>
        <w:t>Article 7.1. Ordre du jour et convocation</w:t>
      </w:r>
    </w:p>
    <w:p>
      <w:pPr>
        <w:pStyle w:val="TextBody"/>
        <w:spacing w:lineRule="auto" w:line="268" w:before="83" w:after="200"/>
        <w:ind w:left="216" w:right="141" w:hanging="0"/>
        <w:jc w:val="both"/>
        <w:rPr>
          <w:b/>
          <w:b/>
          <w:sz w:val="22"/>
        </w:rPr>
      </w:pPr>
      <w:r>
        <w:rPr>
          <w:b/>
          <w:sz w:val="22"/>
        </w:rPr>
      </w:r>
    </w:p>
    <w:p>
      <w:pPr>
        <w:pStyle w:val="TextBody"/>
        <w:spacing w:lineRule="auto" w:line="268" w:before="83" w:after="200"/>
        <w:ind w:left="216" w:right="141"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L’ordre du jour de chaque réunion du CSE est établi conjointement par le Président et le Secrétaire.</w:t>
      </w:r>
    </w:p>
    <w:p>
      <w:pPr>
        <w:pStyle w:val="TextBody"/>
        <w:spacing w:lineRule="auto" w:line="266" w:before="1" w:after="200"/>
        <w:ind w:left="216" w:right="139"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Les éventuels informations et documents associés à un ou plusieurs points prévus à l’ordre du jour sont mis à disposition dans la BDES en même temps que la convocation et l’ordre du jour.</w:t>
      </w:r>
    </w:p>
    <w:p>
      <w:pPr>
        <w:pStyle w:val="TextBody"/>
        <w:spacing w:lineRule="auto" w:line="268" w:before="1" w:after="0"/>
        <w:ind w:left="215" w:right="142"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2"/>
        <w:numPr>
          <w:ilvl w:val="1"/>
          <w:numId w:val="1"/>
        </w:numPr>
        <w:rPr/>
      </w:pPr>
      <w:bookmarkStart w:id="68" w:name="__RefHeading___Toc4687759"/>
      <w:bookmarkStart w:id="69" w:name="_bookmark43"/>
      <w:bookmarkEnd w:id="68"/>
      <w:bookmarkEnd w:id="69"/>
      <w:r>
        <w:rPr/>
        <w:t>Article 7.2. Procès-verbaux</w:t>
      </w:r>
    </w:p>
    <w:p>
      <w:pPr>
        <w:pStyle w:val="TextBody"/>
        <w:spacing w:lineRule="auto" w:line="268" w:before="82" w:after="200"/>
        <w:ind w:left="216"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Chaque séance de CSE donnera lieu à la rédaction d’un procès-verbal.</w:t>
      </w:r>
    </w:p>
    <w:p>
      <w:pPr>
        <w:pStyle w:val="Heading2"/>
        <w:numPr>
          <w:ilvl w:val="1"/>
          <w:numId w:val="1"/>
        </w:numPr>
        <w:rPr/>
      </w:pPr>
      <w:bookmarkStart w:id="70" w:name="__RefHeading___Toc4687760"/>
      <w:bookmarkEnd w:id="70"/>
      <w:r>
        <w:rPr/>
        <w:t>Article 7.2. Règlement interieur</w:t>
      </w:r>
    </w:p>
    <w:p>
      <w:pPr>
        <w:pStyle w:val="TextBody"/>
        <w:spacing w:lineRule="auto" w:line="268" w:before="82" w:after="200"/>
        <w:ind w:left="216"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 CSE étudiera l'adoption d'un règlement intérieur lors de sa première réunion.</w:t>
      </w:r>
    </w:p>
    <w:p>
      <w:pPr>
        <w:pStyle w:val="TextBody"/>
        <w:spacing w:lineRule="auto" w:line="268" w:before="82" w:after="200"/>
        <w:ind w:left="216"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TextBody"/>
        <w:spacing w:lineRule="auto" w:line="268" w:before="82" w:after="200"/>
        <w:ind w:left="216"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1"/>
        <w:numPr>
          <w:ilvl w:val="0"/>
          <w:numId w:val="1"/>
        </w:numPr>
        <w:rPr>
          <w:sz w:val="26"/>
          <w:lang w:val="fr-FR"/>
        </w:rPr>
      </w:pPr>
      <w:bookmarkStart w:id="71" w:name="__RefHeading___Toc4687761"/>
      <w:bookmarkStart w:id="72" w:name="_bookmark44"/>
      <w:bookmarkEnd w:id="71"/>
      <w:bookmarkEnd w:id="72"/>
      <w:r>
        <w:rPr>
          <w:sz w:val="26"/>
          <w:lang w:val="fr-FR"/>
        </w:rPr>
        <w:t>ARTICLE 8. BDES</w:t>
      </w:r>
    </w:p>
    <w:p>
      <w:pPr>
        <w:pStyle w:val="TextBody"/>
        <w:spacing w:before="1" w:after="200"/>
        <w:jc w:val="both"/>
        <w:rPr>
          <w:b/>
          <w:b/>
          <w:sz w:val="23"/>
          <w:lang w:val="fr-FR"/>
        </w:rPr>
      </w:pPr>
      <w:r>
        <w:rPr>
          <w:b/>
          <w:sz w:val="23"/>
          <w:lang w:val="fr-FR"/>
        </w:rPr>
      </w:r>
    </w:p>
    <w:p>
      <w:pPr>
        <w:pStyle w:val="TextBody"/>
        <w:spacing w:lineRule="auto" w:line="268" w:before="82" w:after="200"/>
        <w:ind w:left="216" w:hanging="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Conformément aux dispositions légales, une BDES est mise en place dans l’entreprise.</w:t>
      </w:r>
    </w:p>
    <w:p>
      <w:pPr>
        <w:pStyle w:val="TextBody"/>
        <w:spacing w:lineRule="auto" w:line="268" w:before="82" w:after="200"/>
        <w:ind w:left="216" w:hanging="0"/>
        <w:jc w:val="both"/>
        <w:rPr/>
      </w:pPr>
      <w:r>
        <w:rPr>
          <w:rFonts w:cs="Minion-Regular;Cambria" w:ascii="Century Gothic" w:hAnsi="Century Gothic"/>
          <w:color w:val="000000"/>
          <w:sz w:val="20"/>
          <w:szCs w:val="20"/>
          <w:lang w:eastAsia="en-US" w:bidi="en-US"/>
        </w:rPr>
        <w:t>A ce titre, le comité social et économique, en collaboration avec la direction, définit :</w:t>
      </w:r>
    </w:p>
    <w:p>
      <w:pPr>
        <w:pStyle w:val="TextBody"/>
        <w:spacing w:lineRule="auto" w:line="268" w:before="82" w:after="200"/>
        <w:ind w:left="216" w:hanging="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 xml:space="preserve">1° L’organisation, l’architecture et le contenu de la base de données économiques et sociales </w:t>
      </w:r>
    </w:p>
    <w:p>
      <w:pPr>
        <w:pStyle w:val="TextBody"/>
        <w:spacing w:lineRule="auto" w:line="268" w:before="82" w:after="200"/>
        <w:ind w:left="216" w:hanging="0"/>
        <w:jc w:val="both"/>
        <w:rPr/>
      </w:pPr>
      <w:r>
        <w:rPr>
          <w:rFonts w:cs="Minion-Regular;Cambria" w:ascii="Century Gothic" w:hAnsi="Century Gothic"/>
          <w:color w:val="000000"/>
          <w:sz w:val="20"/>
          <w:szCs w:val="20"/>
          <w:lang w:eastAsia="en-US" w:bidi="en-US"/>
        </w:rPr>
        <w:t>2° Les modalités de fonctionnement de la base de données économiques et sociales, notamment les droits d’accès et le niveau de mise en place de la base dans les entreprises comportant des établissements distincts, son support, ses modalités de consultation et d’utilisation.</w:t>
      </w:r>
    </w:p>
    <w:p>
      <w:pPr>
        <w:pStyle w:val="TextBody"/>
        <w:spacing w:lineRule="auto" w:line="268" w:before="82" w:after="200"/>
        <w:ind w:left="216" w:hanging="0"/>
        <w:jc w:val="both"/>
        <w:rPr/>
      </w:pPr>
      <w:r>
        <w:rPr>
          <w:rFonts w:cs="Minion-Regular;Cambria" w:ascii="Century Gothic" w:hAnsi="Century Gothic"/>
          <w:color w:val="000000"/>
          <w:sz w:val="20"/>
          <w:szCs w:val="20"/>
          <w:lang w:eastAsia="en-US" w:bidi="en-US"/>
        </w:rPr>
        <w:t xml:space="preserve">Pour rappel, la base de données comporte à minima les thèmes suivants : </w:t>
      </w:r>
    </w:p>
    <w:p>
      <w:pPr>
        <w:pStyle w:val="TextBody"/>
        <w:numPr>
          <w:ilvl w:val="0"/>
          <w:numId w:val="2"/>
        </w:numPr>
        <w:spacing w:lineRule="auto" w:line="268" w:before="82" w:after="20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L’investissement social,</w:t>
      </w:r>
    </w:p>
    <w:p>
      <w:pPr>
        <w:pStyle w:val="TextBody"/>
        <w:numPr>
          <w:ilvl w:val="0"/>
          <w:numId w:val="2"/>
        </w:numPr>
        <w:spacing w:lineRule="auto" w:line="268" w:before="82" w:after="20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 xml:space="preserve">L’investissement matériel et immatériel, </w:t>
      </w:r>
    </w:p>
    <w:p>
      <w:pPr>
        <w:pStyle w:val="TextBody"/>
        <w:numPr>
          <w:ilvl w:val="0"/>
          <w:numId w:val="2"/>
        </w:numPr>
        <w:spacing w:lineRule="auto" w:line="268" w:before="82" w:after="20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L’égalité professionnelle entre les femmes et les hommes au sein de l’entreprise,</w:t>
      </w:r>
    </w:p>
    <w:p>
      <w:pPr>
        <w:pStyle w:val="TextBody"/>
        <w:numPr>
          <w:ilvl w:val="0"/>
          <w:numId w:val="2"/>
        </w:numPr>
        <w:spacing w:lineRule="auto" w:line="268" w:before="82" w:after="200"/>
        <w:ind w:left="567" w:firstLine="9"/>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t>Les fonds propres, l’endettement, l’ensemble des éléments de la rémunération des salariés et dirigeants, les activités sociales et culturelles, la rémunération des financeurs, les flux financiers à destination de l'entreprise.</w:t>
      </w:r>
    </w:p>
    <w:p>
      <w:pPr>
        <w:pStyle w:val="TextBody"/>
        <w:spacing w:lineRule="auto" w:line="268" w:before="82" w:after="200"/>
        <w:ind w:left="216" w:hanging="0"/>
        <w:jc w:val="both"/>
        <w:rPr>
          <w:rFonts w:ascii="Century Gothic" w:hAnsi="Century Gothic" w:cs="Minion-Regular;Cambria"/>
          <w:color w:val="000000"/>
          <w:sz w:val="20"/>
          <w:szCs w:val="20"/>
          <w:lang w:eastAsia="en-US" w:bidi="en-US"/>
        </w:rPr>
      </w:pPr>
      <w:r>
        <w:rPr>
          <w:rFonts w:cs="Minion-Regular;Cambria" w:ascii="Century Gothic" w:hAnsi="Century Gothic"/>
          <w:color w:val="000000"/>
          <w:sz w:val="20"/>
          <w:szCs w:val="20"/>
          <w:lang w:eastAsia="en-US" w:bidi="en-US"/>
        </w:rPr>
      </w:r>
    </w:p>
    <w:p>
      <w:pPr>
        <w:pStyle w:val="TextBody"/>
        <w:spacing w:lineRule="auto" w:line="268" w:before="82" w:after="200"/>
        <w:ind w:left="216"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Il sera également mis à disposition dans la BDES les autres informations nécessaires aux informations et consultations récurrentes (documentation comptable et financière nécessaire à la consultation sur la situation économique et financière) et ponctuelles.</w:t>
      </w:r>
    </w:p>
    <w:p>
      <w:pPr>
        <w:pStyle w:val="TextBody"/>
        <w:spacing w:lineRule="auto" w:line="268" w:before="82" w:after="200"/>
        <w:ind w:left="216"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La publication d’éléments par l’employeur vaut communication à compter de l’envoi de ces informations par voie électronique aux destinataires.</w:t>
      </w:r>
    </w:p>
    <w:p>
      <w:pPr>
        <w:pStyle w:val="TextBody"/>
        <w:spacing w:lineRule="auto" w:line="268" w:before="82" w:after="200"/>
        <w:ind w:left="216"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Les bénéficiaires de la BDES sont tenus de respecter la confidentialité des informations affichées comme telles par l’employeur.</w:t>
      </w:r>
    </w:p>
    <w:p>
      <w:pPr>
        <w:pStyle w:val="TextBody"/>
        <w:spacing w:lineRule="auto" w:line="268" w:before="82" w:after="200"/>
        <w:ind w:left="216" w:hanging="0"/>
        <w:jc w:val="both"/>
        <w:rPr/>
      </w:pPr>
      <w:r>
        <w:rPr>
          <w:rFonts w:cs="Minion-Regular;Cambria" w:ascii="Century Gothic" w:hAnsi="Century Gothic"/>
          <w:color w:val="000000"/>
          <w:sz w:val="20"/>
          <w:szCs w:val="20"/>
          <w:lang w:eastAsia="en-US" w:bidi="en-US"/>
        </w:rPr>
        <w:t>La base de données est accessible en intégralité aux :</w:t>
      </w:r>
    </w:p>
    <w:p>
      <w:pPr>
        <w:pStyle w:val="TextBody"/>
        <w:numPr>
          <w:ilvl w:val="0"/>
          <w:numId w:val="2"/>
        </w:numPr>
        <w:spacing w:lineRule="auto" w:line="268" w:before="82" w:after="200"/>
        <w:jc w:val="both"/>
        <w:rPr/>
      </w:pPr>
      <w:r>
        <w:rPr>
          <w:rFonts w:cs="Minion-Regular;Cambria" w:ascii="Century Gothic" w:hAnsi="Century Gothic"/>
          <w:color w:val="000000"/>
          <w:sz w:val="20"/>
          <w:szCs w:val="20"/>
          <w:lang w:eastAsia="en-US" w:bidi="en-US"/>
        </w:rPr>
        <w:t>Membres de la délégation élue du personnel ;</w:t>
      </w:r>
    </w:p>
    <w:p>
      <w:pPr>
        <w:pStyle w:val="TextBody"/>
        <w:numPr>
          <w:ilvl w:val="0"/>
          <w:numId w:val="2"/>
        </w:numPr>
        <w:spacing w:lineRule="auto" w:line="268" w:before="82" w:after="200"/>
        <w:jc w:val="both"/>
        <w:rPr/>
      </w:pPr>
      <w:r>
        <w:rPr>
          <w:rFonts w:cs="Minion-Regular;Cambria" w:ascii="Century Gothic" w:hAnsi="Century Gothic"/>
          <w:color w:val="000000"/>
          <w:sz w:val="20"/>
          <w:szCs w:val="20"/>
          <w:lang w:eastAsia="en-US" w:bidi="en-US"/>
        </w:rPr>
        <w:t>Représentants syndicaux au CSE</w:t>
      </w:r>
    </w:p>
    <w:p>
      <w:pPr>
        <w:pStyle w:val="Heading1"/>
        <w:numPr>
          <w:ilvl w:val="0"/>
          <w:numId w:val="1"/>
        </w:numPr>
        <w:rPr>
          <w:lang w:val="fr-FR"/>
        </w:rPr>
      </w:pPr>
      <w:bookmarkStart w:id="73" w:name="__RefHeading___Toc4687762"/>
      <w:bookmarkEnd w:id="73"/>
      <w:r>
        <w:rPr>
          <w:lang w:val="fr-FR"/>
        </w:rPr>
        <w:t>ARTICLE 9. REPRESENTANTS DE PROXIMITE</w:t>
      </w:r>
    </w:p>
    <w:p>
      <w:pPr>
        <w:pStyle w:val="TextBody"/>
        <w:spacing w:before="4" w:after="200"/>
        <w:rPr>
          <w:b/>
          <w:b/>
          <w:sz w:val="16"/>
          <w:szCs w:val="16"/>
          <w:lang w:val="fr-FR"/>
        </w:rPr>
      </w:pPr>
      <w:r>
        <w:rPr>
          <w:b/>
          <w:sz w:val="16"/>
          <w:szCs w:val="16"/>
          <w:lang w:val="fr-FR"/>
        </w:rPr>
      </w:r>
    </w:p>
    <w:p>
      <w:pPr>
        <w:pStyle w:val="TextBody"/>
        <w:spacing w:before="4" w:after="200"/>
        <w:jc w:val="both"/>
        <w:rPr>
          <w:rFonts w:ascii="Century Gothic" w:hAnsi="Century Gothic" w:cs="Minion-Regular;Cambria"/>
          <w:sz w:val="20"/>
          <w:szCs w:val="20"/>
        </w:rPr>
      </w:pPr>
      <w:r>
        <w:rPr>
          <w:rFonts w:cs="Minion-Regular;Cambria" w:ascii="Century Gothic" w:hAnsi="Century Gothic"/>
          <w:sz w:val="20"/>
          <w:szCs w:val="20"/>
        </w:rPr>
        <w:t>La mise en place des représentants de proximité a vocation à rendre plus efficace le suivi des actions réalisées sur le terrain.</w:t>
      </w:r>
    </w:p>
    <w:p>
      <w:pPr>
        <w:pStyle w:val="Heading2"/>
        <w:numPr>
          <w:ilvl w:val="1"/>
          <w:numId w:val="1"/>
        </w:numPr>
        <w:rPr/>
      </w:pPr>
      <w:bookmarkStart w:id="74" w:name="__RefHeading___Toc4687763"/>
      <w:bookmarkEnd w:id="74"/>
      <w:r>
        <w:rPr/>
        <w:t>9.1 Nombre d’élus et crédits d’heures</w:t>
      </w:r>
    </w:p>
    <w:p>
      <w:pPr>
        <w:pStyle w:val="Normal"/>
        <w:jc w:val="both"/>
        <w:rPr/>
      </w:pPr>
      <w:r>
        <w:rPr>
          <w:rFonts w:cs="Minion-Regular;Cambria" w:ascii="Century Gothic" w:hAnsi="Century Gothic"/>
          <w:lang w:val="fr-FR" w:eastAsia="fr-FR" w:bidi="fr-FR"/>
        </w:rPr>
        <w:t xml:space="preserve">Dans un souci d'optimisation et de promotion du dialogue social, il est convenu de mettre en place 9 représentants de proximité sur l'ensemble des sites de la société Hubbard SAS. </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Un crédit d'heures mensuel correspondant à deux demi-journées leur est attribué. Ce crédit est forfaitaire et incessible. Il ne peut faire l’objet d’aucun report ni d’aucune mutualisation.</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r>
    </w:p>
    <w:p>
      <w:pPr>
        <w:pStyle w:val="Heading2"/>
        <w:numPr>
          <w:ilvl w:val="1"/>
          <w:numId w:val="1"/>
        </w:numPr>
        <w:rPr/>
      </w:pPr>
      <w:bookmarkStart w:id="75" w:name="__RefHeading___Toc4687764"/>
      <w:bookmarkEnd w:id="75"/>
      <w:r>
        <w:rPr/>
        <w:t>9.2 Périmètre d'APPLICATION et repartition par site geographique</w:t>
      </w:r>
    </w:p>
    <w:p>
      <w:pPr>
        <w:pStyle w:val="Normal"/>
        <w:ind w:right="-1" w:hanging="0"/>
        <w:jc w:val="both"/>
        <w:rPr/>
      </w:pPr>
      <w:r>
        <w:rPr>
          <w:rFonts w:cs="Minion-Regular;Cambria" w:ascii="Century Gothic" w:hAnsi="Century Gothic"/>
          <w:lang w:val="fr-FR"/>
        </w:rPr>
        <w:t>Chaque représentant de proximité sera référent sur le périmètre géographique défini ci-après :</w:t>
      </w:r>
    </w:p>
    <w:p>
      <w:pPr>
        <w:pStyle w:val="Normal"/>
        <w:rPr/>
      </w:pPr>
      <w:r>
        <w:rPr>
          <w:rFonts w:cs="Minion-Regular;Cambria" w:ascii="Century Gothic" w:hAnsi="Century Gothic"/>
          <w:lang w:val="fr-FR" w:eastAsia="fr-FR" w:bidi="fr-FR"/>
        </w:rPr>
        <w:t>- 1 représentant pour les services administratifs et le laboratoire - Site du Foeil (22),</w:t>
      </w:r>
    </w:p>
    <w:p>
      <w:pPr>
        <w:pStyle w:val="Normal"/>
        <w:rPr/>
      </w:pPr>
      <w:r>
        <w:rPr>
          <w:rFonts w:cs="Minion-Regular;Cambria" w:ascii="Century Gothic" w:hAnsi="Century Gothic"/>
          <w:lang w:val="fr-FR" w:eastAsia="fr-FR" w:bidi="fr-FR"/>
        </w:rPr>
        <w:t>- 2 représentants pour le couvoir du moulin - Site du Foeil (22),</w:t>
      </w:r>
    </w:p>
    <w:p>
      <w:pPr>
        <w:pStyle w:val="Normal"/>
        <w:rPr/>
      </w:pPr>
      <w:r>
        <w:rPr>
          <w:rFonts w:cs="Minion-Regular;Cambria" w:ascii="Century Gothic" w:hAnsi="Century Gothic"/>
          <w:lang w:val="fr-FR" w:eastAsia="fr-FR" w:bidi="fr-FR"/>
        </w:rPr>
        <w:t>- 2 représentants pour les élevages rattachés au site du Foeil (22),</w:t>
      </w:r>
    </w:p>
    <w:p>
      <w:pPr>
        <w:pStyle w:val="Normal"/>
        <w:rPr/>
      </w:pPr>
      <w:r>
        <w:rPr>
          <w:rFonts w:cs="Minion-Regular;Cambria" w:ascii="Century Gothic" w:hAnsi="Century Gothic"/>
          <w:lang w:val="fr-FR" w:eastAsia="fr-FR" w:bidi="fr-FR"/>
        </w:rPr>
        <w:t>- 2 représentants pour le centre de sélection R&amp;D sur le périmètre de Châteaubourg et sites rattachés (35 &amp; 53),</w:t>
      </w:r>
    </w:p>
    <w:p>
      <w:pPr>
        <w:pStyle w:val="Normal"/>
        <w:rPr/>
      </w:pPr>
      <w:r>
        <w:rPr>
          <w:rFonts w:cs="Minion-Regular;Cambria" w:ascii="Century Gothic" w:hAnsi="Century Gothic"/>
          <w:lang w:val="fr-FR" w:eastAsia="fr-FR" w:bidi="fr-FR"/>
        </w:rPr>
        <w:t>- 2 représentants pour le site de Saint-Loup d'Ordon (45 &amp; 89).</w:t>
      </w:r>
    </w:p>
    <w:p>
      <w:pPr>
        <w:pStyle w:val="Normal"/>
        <w:jc w:val="both"/>
        <w:rPr/>
      </w:pPr>
      <w:r>
        <w:rPr>
          <w:rFonts w:cs="Minion-Regular;Cambria" w:ascii="Century Gothic" w:hAnsi="Century Gothic"/>
          <w:lang w:val="fr-FR" w:eastAsia="fr-FR" w:bidi="fr-FR"/>
        </w:rPr>
        <w:t>Ils sont désignés par les membres du CSE à bulletin secret :</w:t>
      </w:r>
    </w:p>
    <w:p>
      <w:pPr>
        <w:pStyle w:val="Normal"/>
        <w:numPr>
          <w:ilvl w:val="0"/>
          <w:numId w:val="4"/>
        </w:numPr>
        <w:jc w:val="both"/>
        <w:rPr>
          <w:rFonts w:ascii="Century Gothic" w:hAnsi="Century Gothic" w:cs="Minion-Regular;Cambria"/>
          <w:lang w:val="fr-FR" w:eastAsia="fr-FR" w:bidi="fr-FR"/>
        </w:rPr>
      </w:pPr>
      <w:r>
        <w:rPr>
          <w:rFonts w:cs="Minion-Regular;Cambria" w:ascii="Century Gothic" w:hAnsi="Century Gothic"/>
          <w:lang w:val="fr-FR" w:eastAsia="fr-FR" w:bidi="fr-FR"/>
        </w:rPr>
        <w:t xml:space="preserve">en priorité parmi les membres du Comité Social et Economique exerçant leur travail sur le site sur lequel ils seront désignés représentant de proximité. </w:t>
      </w:r>
    </w:p>
    <w:p>
      <w:pPr>
        <w:pStyle w:val="Normal"/>
        <w:numPr>
          <w:ilvl w:val="0"/>
          <w:numId w:val="4"/>
        </w:numPr>
        <w:jc w:val="both"/>
        <w:rPr>
          <w:rFonts w:ascii="Century Gothic" w:hAnsi="Century Gothic" w:cs="Minion-Regular;Cambria"/>
          <w:lang w:val="fr-FR" w:eastAsia="fr-FR" w:bidi="fr-FR"/>
        </w:rPr>
      </w:pPr>
      <w:r>
        <w:rPr>
          <w:rFonts w:cs="Minion-Regular;Cambria" w:ascii="Century Gothic" w:hAnsi="Century Gothic"/>
          <w:lang w:val="fr-FR" w:eastAsia="fr-FR" w:bidi="fr-FR"/>
        </w:rPr>
        <w:t>Par exception, en l’absence de membres du CSE sur un des sites ci-dessus, les membres du CSE désigneront comme représentant de proximité un salarié non membre du CSE mais appartenant obligatoirement au site concerné.</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Seuls participent au vote les présents ayant une voix délibérative, à savoir les titulaires de la délégation du personnel au Comité social et économique, ou les suppléants s’ils remplacent un titulaire absent.</w:t>
      </w:r>
    </w:p>
    <w:p>
      <w:pPr>
        <w:pStyle w:val="Normal"/>
        <w:jc w:val="both"/>
        <w:rPr/>
      </w:pPr>
      <w:r>
        <w:rPr>
          <w:rFonts w:cs="Minion-Regular;Cambria" w:ascii="Century Gothic" w:hAnsi="Century Gothic"/>
          <w:lang w:val="fr-FR" w:eastAsia="fr-FR" w:bidi="fr-FR"/>
        </w:rPr>
        <w:t xml:space="preserve">Un appel à candidature sera effectué par le CSE par voie d’affichage, dans un délai de 8 jours suivant son élection. </w:t>
      </w:r>
      <w:r>
        <w:rPr>
          <w:rFonts w:cs="Arial" w:ascii="Century Gothic" w:hAnsi="Century Gothic"/>
          <w:lang w:val="fr-FR"/>
        </w:rPr>
        <w:t>Pour pouvoir être désigné représentant de proximité, les salariés devront disposer d’une ancienneté minimum d’un an à la date de leur désignation par le CSE.</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Les candidatures seront notifiées par courrier recommandé avec accusé de réception ou remis en main propre contre décharge ou envoyé par courrier électronique avec accusé de réception à l’attention du Président du CSE. A l’issue de la période de candidature, il sera procédé au cours de la réunion suivante du CSE à la désignation du représentant de proximité.</w:t>
      </w:r>
    </w:p>
    <w:p>
      <w:pPr>
        <w:pStyle w:val="Normal"/>
        <w:jc w:val="both"/>
        <w:rPr/>
      </w:pPr>
      <w:r>
        <w:rPr>
          <w:rFonts w:cs="Minion-Regular;Cambria" w:ascii="Century Gothic" w:hAnsi="Century Gothic"/>
          <w:lang w:val="fr-FR" w:eastAsia="fr-FR" w:bidi="fr-FR"/>
        </w:rPr>
        <w:t>En cas de partage des voix, conformément aux règles habituelles du droit électoral et sans qu’il soit porté atteinte au principe de non-discrimination en raison de l’âge, la désignation se fera au profit du candidat le plus âgé.</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Les représentants de proximité sont désignés pour une durée qui prend fin au plus tard à l’échéance du mandat des membres élus du Comité social et économique.</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Lorsque le représentant de proximité est membre du CSE, son mandat de représentant de proximité prend fin avec son mandat de membre du CSE.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salarié occupant les missions de représentant de proximité aura le statut de salarié protégé.</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t>En cas de perte de mandat d’un représentant de proximité due à un départ de l’entreprise ou à une mobilité géographique sur un autre site, une nouvelle désignation d’un RP sera réalisée en CSE. Cette désignation aura lieu dans les 2 mois après la perte de mandat.</w:t>
      </w:r>
    </w:p>
    <w:p>
      <w:pPr>
        <w:pStyle w:val="Normal"/>
        <w:jc w:val="both"/>
        <w:rPr>
          <w:rFonts w:ascii="Century Gothic" w:hAnsi="Century Gothic" w:cs="Minion-Regular;Cambria"/>
          <w:lang w:val="fr-FR" w:eastAsia="fr-FR" w:bidi="fr-FR"/>
        </w:rPr>
      </w:pPr>
      <w:r>
        <w:rPr>
          <w:rFonts w:cs="Minion-Regular;Cambria" w:ascii="Century Gothic" w:hAnsi="Century Gothic"/>
          <w:lang w:val="fr-FR" w:eastAsia="fr-FR" w:bidi="fr-FR"/>
        </w:rPr>
      </w:r>
    </w:p>
    <w:p>
      <w:pPr>
        <w:pStyle w:val="Heading2"/>
        <w:numPr>
          <w:ilvl w:val="1"/>
          <w:numId w:val="1"/>
        </w:numPr>
        <w:rPr/>
      </w:pPr>
      <w:bookmarkStart w:id="76" w:name="__RefHeading___Toc4687765"/>
      <w:bookmarkEnd w:id="76"/>
      <w:r>
        <w:rPr/>
        <w:t>9.3 Attributions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Les représentants de proximité ne disposent ni de la personnalité juridique ni d’un budget dédié.</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Les représentants de proximité sont chargés, par délégation du CSE, de toutes questions relevant de l’application du code du travail et des accords d’entreprise, nécessitant un traitement local ou de proximité, y compris en matière de santé, sécurité et conditions de travail, dans leur champ de compétence territorial.</w:t>
      </w:r>
    </w:p>
    <w:p>
      <w:pPr>
        <w:pStyle w:val="Normal"/>
        <w:ind w:right="-1" w:hanging="0"/>
        <w:jc w:val="both"/>
        <w:rPr/>
      </w:pPr>
      <w:r>
        <w:rPr>
          <w:rFonts w:cs="Minion-Regular;Cambria" w:ascii="Century Gothic" w:hAnsi="Century Gothic"/>
          <w:lang w:val="fr-FR"/>
        </w:rPr>
        <w:t>Les représentants de proximité auront pour missions principales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d'assurer un rôle de relais d'information auprès du CSE en amont des réunions prévues avec la direction,</w:t>
      </w:r>
    </w:p>
    <w:p>
      <w:pPr>
        <w:pStyle w:val="Normal"/>
        <w:ind w:right="-1" w:hanging="0"/>
        <w:jc w:val="both"/>
        <w:rPr/>
      </w:pPr>
      <w:r>
        <w:rPr>
          <w:rFonts w:cs="Minion-Regular;Cambria" w:ascii="Century Gothic" w:hAnsi="Century Gothic"/>
          <w:lang w:val="fr-FR"/>
        </w:rPr>
        <w:t xml:space="preserve">- de traiter l'ensemble des réclamations individuelles et collectives en termes de conditions de travail et de rémunération,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de se réunir avec les responsables de site pour résoudre les problématiques terrains,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d'assurer un rôle en matière de santé, de sécurité et de conditions de travail à travers la réalisation d'enquêtes en cas d'accidents du travail</w:t>
      </w:r>
      <w:r>
        <w:rPr>
          <w:lang w:val="fr-FR"/>
        </w:rPr>
        <w:t xml:space="preserve"> </w:t>
      </w:r>
      <w:r>
        <w:rPr>
          <w:rFonts w:cs="Minion-Regular;Cambria" w:ascii="Century Gothic" w:hAnsi="Century Gothic"/>
          <w:lang w:val="fr-FR"/>
        </w:rPr>
        <w:t>ou de maladies professionnelles ou à caractère professionnel ainsi qu’aux inspections, lorsqu’elles ont lieu dans son périmètre. Dans ce cadre, il peut formuler et communiquer au CSE et à l’employeur toute proposition de nature à améliorer les conditions de travail, d'emploi et de formation professionnelle des salariés de son périmètre.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En aucune manière, les représentants de proximité ne peuvent rendre un avis ou désigner un expert en lieu et place du CSE, y compris dans le cadre de l’exercice de leurs attributions.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pPr>
      <w:bookmarkStart w:id="77" w:name="__RefHeading___Toc4687766"/>
      <w:r>
        <w:rPr/>
        <w:t>9.4 Modalités de fonctionnement</w:t>
      </w:r>
      <w:bookmarkEnd w:id="77"/>
      <w:r>
        <w:rPr/>
        <w:t xml:space="preserve"> </w:t>
      </w:r>
    </w:p>
    <w:p>
      <w:pPr>
        <w:pStyle w:val="Normal"/>
        <w:ind w:right="-1" w:hanging="0"/>
        <w:jc w:val="both"/>
        <w:rPr/>
      </w:pPr>
      <w:r>
        <w:rPr>
          <w:rFonts w:cs="Minion-Regular;Cambria" w:ascii="Century Gothic" w:hAnsi="Century Gothic"/>
          <w:lang w:val="fr-FR"/>
        </w:rPr>
        <w:t>Une réunion toutes les six semaines sera organisée dans chaque secteur géographique (départements 22, 35/53 et 45/89) en présence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d'un représentant de proximité accompagné d'un membre titulaire du CSE,</w:t>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rPr>
        <w:t xml:space="preserve">- </w:t>
      </w:r>
      <w:r>
        <w:rPr>
          <w:rFonts w:cs="Minion-Regular;Cambria" w:ascii="Century Gothic" w:hAnsi="Century Gothic"/>
          <w:sz w:val="20"/>
          <w:szCs w:val="20"/>
          <w:lang w:eastAsia="en-US" w:bidi="en-US"/>
        </w:rPr>
        <w:t xml:space="preserve">du responsable de site accompagné du Directeur de Production ou du Directeur R&amp;D, de la Directrice des Ressources Humaines ou Directrice Administrative &amp; Financière ou d'un salarié du service QSE en fonction des questions et des thématiques précisées en amont de la réunion. </w:t>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Dans un souci de simplification et d'optimisation des échanges entre les partenaires sociaux et les représentants de la direction, il est convenu de tenir un plan d'actions dont la forme sera définie ultérieurement.  Ce document sera le lien entre les représentants de proximité et le CSE. Il permettra de s’assurer du bon suivi des dossiers sur le terrain et servira d’indicateur de qualité et d’efficacité des réunions. En effet, ces réunions doivent aboutir à des décisions d’action (remplacement de matériel, amélioration des conditions de travail, etc) qui doivent être mises en place dans un délai défini. Le plan d’action transmis aux membres du CSE mettra en évidence l’état d’avancement de chaque sujet et éventuellement les points de blocage.</w:t>
      </w:r>
    </w:p>
    <w:p>
      <w:pPr>
        <w:pStyle w:val="TextBody"/>
        <w:spacing w:before="2" w:after="200"/>
        <w:jc w:val="both"/>
        <w:rPr/>
      </w:pPr>
      <w:r>
        <w:rPr>
          <w:rFonts w:cs="Minion-Regular;Cambria" w:ascii="Century Gothic" w:hAnsi="Century Gothic"/>
          <w:sz w:val="20"/>
          <w:szCs w:val="20"/>
          <w:lang w:eastAsia="en-US" w:bidi="en-US"/>
        </w:rPr>
        <w:t>Les problématiques non réglées sur le site remonteront directement au Comité Social et Economique sous forme de note décisionnelle. Les problématiques réglées sur le site seront, quant à elles, retranscrites sous la forme de note informative.</w:t>
      </w:r>
    </w:p>
    <w:p>
      <w:pPr>
        <w:pStyle w:val="Normal"/>
        <w:ind w:right="-1" w:hanging="0"/>
        <w:jc w:val="both"/>
        <w:rPr/>
      </w:pPr>
      <w:r>
        <w:rPr>
          <w:rFonts w:cs="Minion-Regular;Cambria" w:ascii="Century Gothic" w:hAnsi="Century Gothic"/>
          <w:lang w:val="fr-FR"/>
        </w:rPr>
        <w:t>Une réunion préparatoire sera effectuée sur les heures de délégation avant chaque réunion.</w:t>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 temps passé pour ces réunions est rémunéré comme du temps de travail effectif. Il n'est pas déduit de ces heures de délégation.</w:t>
      </w:r>
    </w:p>
    <w:p>
      <w:pPr>
        <w:pStyle w:val="Heading2"/>
        <w:numPr>
          <w:ilvl w:val="1"/>
          <w:numId w:val="1"/>
        </w:numPr>
        <w:rPr/>
      </w:pPr>
      <w:bookmarkStart w:id="78" w:name="__RefHeading___Toc4687767"/>
      <w:r>
        <w:rPr/>
        <w:t>9.5 Moyens matériels</w:t>
      </w:r>
      <w:bookmarkEnd w:id="78"/>
      <w:r>
        <w:rPr/>
        <w:t xml:space="preserve"> </w:t>
      </w:r>
    </w:p>
    <w:p>
      <w:pPr>
        <w:pStyle w:val="TextBody"/>
        <w:spacing w:before="2" w:after="200"/>
        <w:rPr>
          <w:rFonts w:ascii="Century Gothic" w:hAnsi="Century Gothic" w:cs="Minion-Regular;Cambria"/>
          <w:sz w:val="16"/>
          <w:szCs w:val="16"/>
          <w:lang w:eastAsia="en-US" w:bidi="en-US"/>
        </w:rPr>
      </w:pPr>
      <w:r>
        <w:rPr>
          <w:rFonts w:cs="Minion-Regular;Cambria" w:ascii="Century Gothic" w:hAnsi="Century Gothic"/>
          <w:sz w:val="16"/>
          <w:szCs w:val="16"/>
          <w:lang w:eastAsia="en-US" w:bidi="en-US"/>
        </w:rPr>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Il est convenu d'utiliser le même local mis à disposition des membres du CSE pour leurs réunions. Ce local sera équipé d'un ordinateur, d'une imprimante, d'une connexion internet et d'un téléphone.</w:t>
      </w:r>
    </w:p>
    <w:p>
      <w:pPr>
        <w:pStyle w:val="TextBody"/>
        <w:spacing w:before="2" w:after="200"/>
        <w:jc w:val="both"/>
        <w:rPr/>
      </w:pPr>
      <w:r>
        <w:rPr>
          <w:rFonts w:cs="Minion-Regular;Cambria" w:ascii="Century Gothic" w:hAnsi="Century Gothic"/>
          <w:sz w:val="20"/>
          <w:szCs w:val="20"/>
          <w:lang w:eastAsia="en-US" w:bidi="en-US"/>
        </w:rPr>
        <w:t>En cas de nécessité, un véhicule sera mis à disposition des représentants de proximité sur chacun des établissements. Les modalités d'utilisation seront définies ultérieurement en fonction des membres désignés et leur localisation.</w:t>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2"/>
        <w:numPr>
          <w:ilvl w:val="1"/>
          <w:numId w:val="1"/>
        </w:numPr>
        <w:rPr/>
      </w:pPr>
      <w:bookmarkStart w:id="79" w:name="__RefHeading___Toc4687768"/>
      <w:bookmarkEnd w:id="79"/>
      <w:r>
        <w:rPr/>
        <w:t>9.6 FORMATION des representants</w:t>
      </w:r>
    </w:p>
    <w:p>
      <w:pPr>
        <w:pStyle w:val="TextBody"/>
        <w:spacing w:before="2" w:after="20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TextBody"/>
        <w:spacing w:before="2" w:after="200"/>
        <w:jc w:val="both"/>
        <w:rPr/>
      </w:pPr>
      <w:r>
        <w:rPr>
          <w:rFonts w:cs="Minion-Regular;Cambria" w:ascii="Century Gothic" w:hAnsi="Century Gothic"/>
          <w:sz w:val="20"/>
          <w:szCs w:val="20"/>
          <w:lang w:eastAsia="en-US" w:bidi="en-US"/>
        </w:rPr>
        <w:t>Compte tenu de l'ensemble des attributions confiées aux représentants de proximité, il est convenu de former l'ensemble des membres aux aspects santé, sécurité et conditions de travail exceptés pour les salariés déjà membres du CSE.</w:t>
      </w:r>
    </w:p>
    <w:p>
      <w:pPr>
        <w:pStyle w:val="TextBody"/>
        <w:spacing w:lineRule="auto" w:line="268" w:before="83" w:after="200"/>
        <w:ind w:right="137"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Il s’agira d’une formation sur la sécurité, la santé et les conditions de travail d'une durée de 3 jours.</w:t>
      </w:r>
    </w:p>
    <w:p>
      <w:pPr>
        <w:pStyle w:val="TextBody"/>
        <w:spacing w:before="2"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Heading1"/>
        <w:numPr>
          <w:ilvl w:val="0"/>
          <w:numId w:val="1"/>
        </w:numPr>
        <w:rPr>
          <w:lang w:val="fr-FR"/>
        </w:rPr>
      </w:pPr>
      <w:bookmarkStart w:id="80" w:name="__RefHeading___Toc4687769"/>
      <w:bookmarkStart w:id="81" w:name="_bookmark45"/>
      <w:bookmarkEnd w:id="80"/>
      <w:bookmarkEnd w:id="81"/>
      <w:r>
        <w:rPr>
          <w:lang w:val="fr-FR"/>
        </w:rPr>
        <w:t>ARTICLE 10. EXERCICE DU DROIT SYNDICAL</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pPr>
      <w:bookmarkStart w:id="82" w:name="__RefHeading___Toc4687770"/>
      <w:bookmarkEnd w:id="82"/>
      <w:r>
        <w:rPr/>
        <w:t xml:space="preserve">Article </w:t>
      </w:r>
      <w:r>
        <w:rPr>
          <w:lang w:val="fr-FR"/>
        </w:rPr>
        <w:t>10.1</w:t>
      </w:r>
      <w:r>
        <w:rPr/>
        <w:t xml:space="preserve">. </w:t>
      </w:r>
      <w:r>
        <w:rPr>
          <w:lang w:val="fr-FR"/>
        </w:rPr>
        <w:t>Les DELEGUES SYNDICAUX</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Normal"/>
        <w:ind w:right="-1" w:hanging="0"/>
        <w:jc w:val="both"/>
        <w:rPr/>
      </w:pPr>
      <w:r>
        <w:rPr>
          <w:rFonts w:cs="Minion-Regular;Cambria" w:ascii="Century Gothic" w:hAnsi="Century Gothic"/>
          <w:lang w:val="fr-FR"/>
        </w:rPr>
        <w:t xml:space="preserve">Le délégué syndical représente en permanence son organisation auprès de l’employeur. Il est le représentant dans l’entreprise de l’organisation syndicale qui l’a mandaté et peut donc signer tout accord d’entreprise. Au cours de ses heures de délégation, il peut se déplacer dans et hors de l’entreprise pour l’exercice de son mandat.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Les moyens d’expression syndicale sont :</w:t>
      </w:r>
    </w:p>
    <w:p>
      <w:pPr>
        <w:pStyle w:val="Normal"/>
        <w:numPr>
          <w:ilvl w:val="0"/>
          <w:numId w:val="6"/>
        </w:numPr>
        <w:ind w:left="643" w:right="-1" w:hanging="360"/>
        <w:jc w:val="both"/>
        <w:rPr>
          <w:rFonts w:ascii="Century Gothic" w:hAnsi="Century Gothic" w:cs="Minion-Regular;Cambria"/>
          <w:lang w:val="fr-FR"/>
        </w:rPr>
      </w:pPr>
      <w:r>
        <w:rPr>
          <w:rFonts w:cs="Minion-Regular;Cambria" w:ascii="Century Gothic" w:hAnsi="Century Gothic"/>
          <w:lang w:val="fr-FR"/>
        </w:rPr>
        <w:t xml:space="preserve">La collecte des cotisations à l’intérieur de l’entreprise en-dehors du temps de travail, selon les modalités à déterminer  </w:t>
      </w:r>
    </w:p>
    <w:p>
      <w:pPr>
        <w:pStyle w:val="Normal"/>
        <w:numPr>
          <w:ilvl w:val="0"/>
          <w:numId w:val="6"/>
        </w:numPr>
        <w:ind w:left="643" w:right="-1" w:hanging="360"/>
        <w:jc w:val="both"/>
        <w:rPr/>
      </w:pPr>
      <w:r>
        <w:rPr>
          <w:rFonts w:cs="Minion-Regular;Cambria" w:ascii="Century Gothic" w:hAnsi="Century Gothic"/>
          <w:lang w:val="fr-FR"/>
        </w:rPr>
        <w:t>La liberté de diffusion de la presse et de tout document syndical dans l’entreprise aux heures d’entrée et de sortie</w:t>
      </w:r>
    </w:p>
    <w:p>
      <w:pPr>
        <w:pStyle w:val="Normal"/>
        <w:numPr>
          <w:ilvl w:val="0"/>
          <w:numId w:val="6"/>
        </w:numPr>
        <w:ind w:left="643" w:right="-1" w:hanging="360"/>
        <w:jc w:val="both"/>
        <w:rPr/>
      </w:pPr>
      <w:r>
        <w:rPr>
          <w:rFonts w:cs="Minion-Regular;Cambria" w:ascii="Century Gothic" w:hAnsi="Century Gothic"/>
          <w:lang w:val="fr-FR"/>
        </w:rPr>
        <w:t>Le libre affichage des communications syndicales sur les panneaux prévus à cet effet avec communication simultanée à l’employeur</w:t>
      </w:r>
    </w:p>
    <w:p>
      <w:pPr>
        <w:pStyle w:val="Normal"/>
        <w:numPr>
          <w:ilvl w:val="0"/>
          <w:numId w:val="6"/>
        </w:numPr>
        <w:ind w:left="643" w:right="-1" w:hanging="360"/>
        <w:jc w:val="both"/>
        <w:rPr/>
      </w:pPr>
      <w:r>
        <w:rPr>
          <w:rFonts w:cs="Minion-Regular;Cambria" w:ascii="Century Gothic" w:hAnsi="Century Gothic"/>
          <w:lang w:val="fr-FR"/>
        </w:rPr>
        <w:t xml:space="preserve">La mise à disposition des organisations syndicales représentatives d’un local approprié. Ce local pourra être accessible à tous les représentants du personnel. </w:t>
      </w:r>
    </w:p>
    <w:p>
      <w:pPr>
        <w:pStyle w:val="Normal"/>
        <w:numPr>
          <w:ilvl w:val="0"/>
          <w:numId w:val="6"/>
        </w:numPr>
        <w:ind w:left="643" w:right="-1" w:hanging="360"/>
        <w:jc w:val="both"/>
        <w:rPr/>
      </w:pPr>
      <w:r>
        <w:rPr>
          <w:rFonts w:cs="Minion-Regular;Cambria" w:ascii="Century Gothic" w:hAnsi="Century Gothic"/>
          <w:lang w:val="fr-FR"/>
        </w:rPr>
        <w:t>Le droit pour chaque organisation syndicale représentative de réunir ses adhérents dans le local approprié, en dehors des heures et des postes de travail, suivant les modalités à fixer en accord avec le service Ressources Humaines</w:t>
      </w:r>
    </w:p>
    <w:p>
      <w:pPr>
        <w:pStyle w:val="Normal"/>
        <w:numPr>
          <w:ilvl w:val="0"/>
          <w:numId w:val="6"/>
        </w:numPr>
        <w:ind w:left="643" w:right="-1" w:hanging="360"/>
        <w:jc w:val="both"/>
        <w:rPr/>
      </w:pPr>
      <w:r>
        <w:rPr>
          <w:rFonts w:cs="Minion-Regular;Cambria" w:ascii="Century Gothic" w:hAnsi="Century Gothic"/>
          <w:lang w:val="fr-FR"/>
        </w:rPr>
        <w:t xml:space="preserve">Une fois par semestre, l’employeur autorise le personnel à terminer le travail une heure avant l’heure normale pour assister à l’assemblée générale de la section syndicale à laquelle il appartient. </w:t>
      </w:r>
    </w:p>
    <w:p>
      <w:pPr>
        <w:pStyle w:val="Normal"/>
        <w:numPr>
          <w:ilvl w:val="0"/>
          <w:numId w:val="6"/>
        </w:numPr>
        <w:ind w:left="643" w:right="-1" w:hanging="360"/>
        <w:jc w:val="both"/>
        <w:rPr/>
      </w:pPr>
      <w:r>
        <w:rPr>
          <w:rFonts w:cs="Minion-Regular;Cambria" w:ascii="Century Gothic" w:hAnsi="Century Gothic"/>
          <w:lang w:val="fr-FR"/>
        </w:rPr>
        <w:t xml:space="preserve">L’attribution du crédit de 24 heures mensuelles de délégation </w:t>
      </w:r>
    </w:p>
    <w:p>
      <w:pPr>
        <w:pStyle w:val="Normal"/>
        <w:ind w:left="643"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pPr>
      <w:bookmarkStart w:id="83" w:name="__RefHeading___Toc4687771"/>
      <w:bookmarkEnd w:id="83"/>
      <w:r>
        <w:rPr>
          <w:rFonts w:cs="Minion-Regular;Cambria"/>
          <w:lang w:val="fr-FR"/>
        </w:rPr>
        <w:t>Article 10.2. Les relais SYNDICAUX</w:t>
      </w:r>
    </w:p>
    <w:p>
      <w:pPr>
        <w:pStyle w:val="Normal"/>
        <w:ind w:right="-1" w:hanging="0"/>
        <w:jc w:val="both"/>
        <w:rPr/>
      </w:pPr>
      <w:r>
        <w:rPr>
          <w:rFonts w:cs="Minion-Regular;Cambria" w:ascii="Century Gothic" w:hAnsi="Century Gothic"/>
          <w:lang w:val="fr-FR"/>
        </w:rPr>
        <w:t xml:space="preserve">Comme indiqué plus haut, les différents sites de la société Hubbard SAS ne disposent pas de l’autonomie suffisante pour justifier qu’ils soient considérés comme établissement distincts et ainsi offrir la possibilité aux organisations syndicales représentatives la désignation d’un délégué syndical d’établissement.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xml:space="preserve">Ainsi, compte tenu de l’éloignement et de la multitude des sites au sein de Hubbard SAS, les parties ont convenu de créer des « relais syndicaux » sur les sites de la Société dans lesquels ce dernier n’est pas présent dont la mission est d’assister le délégué syndical en vue de la préparation des négociations d’accords collectifs, notamment en lui faisant part des remarques et revendications des salariés du site en question.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xml:space="preserve">Le relai syndical est désigné par chaque organisation syndicale représentative sur chacun des sites tels que mentionnés ci-dessous. </w:t>
      </w:r>
    </w:p>
    <w:p>
      <w:pPr>
        <w:pStyle w:val="Normal"/>
        <w:ind w:right="-1" w:hanging="0"/>
        <w:jc w:val="both"/>
        <w:rPr/>
      </w:pPr>
      <w:r>
        <w:rPr>
          <w:rFonts w:cs="Minion-Regular;Cambria" w:ascii="Century Gothic" w:hAnsi="Century Gothic"/>
          <w:lang w:val="fr-FR"/>
        </w:rPr>
        <w:t xml:space="preserve">Les parties conviennent que le délégué syndical est automatiquement le relais syndical du site sur lequel il travaille habituellement.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relai syndical dispose de 10 heures de délégation mensuelle pour assurer son rôle. Si le délégué syndical est aussi relais syndical, les 10 heures de délégation précitées ne se cumulent pas avec les 24 heures attachées au mandat de délégué syndical. En revanche les membres de la délégation pourront mutualiser leurs heures dans les mêmes conditions que celles prévues par les dispositions règlementaires applicables aux membres titulaires du CSE.</w:t>
      </w:r>
    </w:p>
    <w:p>
      <w:pPr>
        <w:pStyle w:val="Normal"/>
        <w:ind w:right="-1" w:hanging="0"/>
        <w:jc w:val="both"/>
        <w:rPr/>
      </w:pPr>
      <w:r>
        <w:rPr>
          <w:rFonts w:cs="Minion-Regular;Cambria" w:ascii="Century Gothic" w:hAnsi="Century Gothic"/>
          <w:lang w:val="fr-FR"/>
        </w:rPr>
        <w:t>Il y aura possibilité pour une organisation syndicale représentative de désigner un salarié en tant que relai syndical :</w:t>
      </w:r>
    </w:p>
    <w:p>
      <w:pPr>
        <w:pStyle w:val="Normal"/>
        <w:numPr>
          <w:ilvl w:val="0"/>
          <w:numId w:val="6"/>
        </w:numPr>
        <w:ind w:left="643" w:right="-1" w:hanging="360"/>
        <w:jc w:val="both"/>
        <w:rPr>
          <w:rFonts w:ascii="Century Gothic" w:hAnsi="Century Gothic" w:cs="Minion-Regular;Cambria"/>
          <w:lang w:val="fr-FR"/>
        </w:rPr>
      </w:pPr>
      <w:r>
        <w:rPr>
          <w:rFonts w:cs="Minion-Regular;Cambria" w:ascii="Century Gothic" w:hAnsi="Century Gothic"/>
          <w:lang w:val="fr-FR"/>
        </w:rPr>
        <w:t>LE FOEIL et sites rattachés (fermes internes – couvoir – bureaux – laboratoire)</w:t>
      </w:r>
    </w:p>
    <w:p>
      <w:pPr>
        <w:pStyle w:val="Normal"/>
        <w:numPr>
          <w:ilvl w:val="0"/>
          <w:numId w:val="6"/>
        </w:numPr>
        <w:ind w:left="643" w:right="-1" w:hanging="360"/>
        <w:jc w:val="both"/>
        <w:rPr/>
      </w:pPr>
      <w:r>
        <w:rPr>
          <w:rFonts w:cs="Minion-Regular;Cambria" w:ascii="Century Gothic" w:hAnsi="Century Gothic"/>
          <w:lang w:val="fr-FR"/>
        </w:rPr>
        <w:t>CHATEAUOURG et sites rattachés (bureaux - Martigné-Fd – Marpiré – Le Pertre – Louverné)</w:t>
      </w:r>
    </w:p>
    <w:p>
      <w:pPr>
        <w:pStyle w:val="Normal"/>
        <w:numPr>
          <w:ilvl w:val="0"/>
          <w:numId w:val="6"/>
        </w:numPr>
        <w:ind w:left="643" w:right="-1" w:hanging="360"/>
        <w:jc w:val="both"/>
        <w:rPr/>
      </w:pPr>
      <w:r>
        <w:rPr>
          <w:rFonts w:cs="Minion-Regular;Cambria" w:ascii="Century Gothic" w:hAnsi="Century Gothic"/>
          <w:lang w:val="fr-FR"/>
        </w:rPr>
        <w:t xml:space="preserve">SAINT LOUP D’ORDON et sites rattachés (Berjaterie – Marchais Ferrés – couvoir – bureaux)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 xml:space="preserve">Le relai syndical assiste le délégué syndical dans la globalité de sa mission mais n’est pas compétent pour la négociation collective de l’entreprise, et, sauf mandatement particulier attaché ponctuellement à une négociation, ne participera donc pas aux réunions de négociation. </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S’agissant d’une instance purement conventionnelle, le salarié occupant les missions de relai syndical n'aura pas le statut de salarié protégé.</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1"/>
        <w:numPr>
          <w:ilvl w:val="0"/>
          <w:numId w:val="1"/>
        </w:numPr>
        <w:rPr>
          <w:lang w:val="fr-FR"/>
        </w:rPr>
      </w:pPr>
      <w:bookmarkStart w:id="84" w:name="__RefHeading___Toc4687772"/>
      <w:bookmarkEnd w:id="84"/>
      <w:r>
        <w:rPr>
          <w:lang w:val="fr-FR"/>
        </w:rPr>
        <w:t>ARTICLE 11. DECOMPTE DES HEURES DE DELEGATION ET CREDIT D'HEURES</w:t>
      </w:r>
    </w:p>
    <w:p>
      <w:pPr>
        <w:pStyle w:val="Heading2"/>
        <w:numPr>
          <w:ilvl w:val="1"/>
          <w:numId w:val="1"/>
        </w:numPr>
        <w:rPr/>
      </w:pPr>
      <w:bookmarkStart w:id="85" w:name="__RefHeading___Toc4687773"/>
      <w:bookmarkStart w:id="86" w:name="_bookmark46"/>
      <w:bookmarkEnd w:id="85"/>
      <w:bookmarkEnd w:id="86"/>
      <w:r>
        <w:rPr/>
        <w:t>Article 1</w:t>
      </w:r>
      <w:r>
        <w:rPr>
          <w:lang w:val="fr-FR"/>
        </w:rPr>
        <w:t>1</w:t>
      </w:r>
      <w:r>
        <w:rPr/>
        <w:t>.1. Règles de gestion</w:t>
      </w:r>
    </w:p>
    <w:p>
      <w:pPr>
        <w:pStyle w:val="Normal"/>
        <w:ind w:right="-1" w:hanging="0"/>
        <w:jc w:val="both"/>
        <w:rPr/>
      </w:pPr>
      <w:r>
        <w:rPr>
          <w:rFonts w:cs="Minion-Regular;Cambria" w:ascii="Century Gothic" w:hAnsi="Century Gothic"/>
          <w:lang w:val="fr-FR"/>
        </w:rPr>
        <w:t>Le service Ressources Humains assure le suivi des heures de délégation tant pour le CSE, les représentants de proximité que pour les organisations syndicales.</w:t>
      </w:r>
    </w:p>
    <w:p>
      <w:pPr>
        <w:pStyle w:val="Normal"/>
        <w:ind w:right="-1" w:hanging="0"/>
        <w:jc w:val="both"/>
        <w:rPr/>
      </w:pPr>
      <w:r>
        <w:rPr>
          <w:rFonts w:cs="Minion-Regular;Cambria" w:ascii="Century Gothic" w:hAnsi="Century Gothic"/>
          <w:lang w:val="fr-FR"/>
        </w:rPr>
        <w:t>Les parties conviennent que pour tout crédit d’heures prévu dans cet accord :</w:t>
      </w:r>
    </w:p>
    <w:p>
      <w:pPr>
        <w:pStyle w:val="Normal"/>
        <w:numPr>
          <w:ilvl w:val="0"/>
          <w:numId w:val="6"/>
        </w:numPr>
        <w:spacing w:before="0" w:after="0"/>
        <w:ind w:left="641" w:hanging="357"/>
        <w:jc w:val="both"/>
        <w:rPr>
          <w:rFonts w:ascii="Century Gothic" w:hAnsi="Century Gothic" w:cs="Minion-Regular;Cambria"/>
          <w:lang w:val="fr-FR"/>
        </w:rPr>
      </w:pPr>
      <w:r>
        <w:rPr>
          <w:rFonts w:cs="Minion-Regular;Cambria" w:ascii="Century Gothic" w:hAnsi="Century Gothic"/>
          <w:lang w:val="fr-FR"/>
        </w:rPr>
        <w:t>Une journée équivaut à 7 heures ;</w:t>
      </w:r>
    </w:p>
    <w:p>
      <w:pPr>
        <w:pStyle w:val="Normal"/>
        <w:numPr>
          <w:ilvl w:val="0"/>
          <w:numId w:val="6"/>
        </w:numPr>
        <w:spacing w:before="0" w:after="0"/>
        <w:ind w:left="641" w:hanging="357"/>
        <w:jc w:val="both"/>
        <w:rPr/>
      </w:pPr>
      <w:r>
        <w:rPr>
          <w:rFonts w:cs="Minion-Regular;Cambria" w:ascii="Century Gothic" w:hAnsi="Century Gothic"/>
          <w:lang w:val="fr-FR"/>
        </w:rPr>
        <w:t>Une demi-journée équivaut à 4 heures.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Ces principes de gestion concernent l’ensemble des salariés titulaires de mandats dont les cadres au forfait en jours, notamment en ce qui concerne le suivi de leur temps de travail journalier et hebdomadaire.</w:t>
      </w:r>
    </w:p>
    <w:p>
      <w:pPr>
        <w:pStyle w:val="Normal"/>
        <w:jc w:val="both"/>
        <w:rPr/>
      </w:pPr>
      <w:r>
        <w:rPr>
          <w:rFonts w:cs="Minion-Regular;Cambria" w:ascii="Century Gothic" w:hAnsi="Century Gothic"/>
          <w:lang w:val="fr-FR"/>
        </w:rPr>
        <w:t>Si les membres du CSE relèvent d’une convention individuelle de forfait en jours sur l’année, le crédit d’heures est regroupé en demi-journées qui viennent en déduction du nombre annuel de jours travaillés fixés dans la convention individuelle du salarié.</w:t>
        <w:tab/>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pPr>
      <w:bookmarkStart w:id="87" w:name="__RefHeading___Toc4687774"/>
      <w:bookmarkStart w:id="88" w:name="_bookmark47"/>
      <w:bookmarkEnd w:id="87"/>
      <w:bookmarkEnd w:id="88"/>
      <w:r>
        <w:rPr/>
        <w:t>Article 1</w:t>
      </w:r>
      <w:r>
        <w:rPr>
          <w:lang w:val="fr-FR"/>
        </w:rPr>
        <w:t>1</w:t>
      </w:r>
      <w:r>
        <w:rPr/>
        <w:t>.2. Modulation et mutualisation</w:t>
      </w:r>
    </w:p>
    <w:p>
      <w:pPr>
        <w:pStyle w:val="Normal"/>
        <w:ind w:right="-1" w:hanging="0"/>
        <w:jc w:val="both"/>
        <w:rPr>
          <w:rFonts w:ascii="Century Gothic" w:hAnsi="Century Gothic" w:cs="Minion-Regular;Cambria"/>
          <w:lang w:val="fr-FR"/>
        </w:rPr>
      </w:pPr>
      <w:bookmarkStart w:id="89" w:name="_bookmark48"/>
      <w:bookmarkEnd w:id="89"/>
      <w:r>
        <w:rPr>
          <w:rFonts w:cs="Minion-Regular;Cambria" w:ascii="Century Gothic" w:hAnsi="Century Gothic"/>
          <w:lang w:val="fr-FR"/>
        </w:rPr>
        <w:t>Afin de fluidifier le travail des élus et des représentants, la législation a assoupli les règles de modulation et de mutualisation des heures de délégation. Les parties ont convenu de ne pas aller au-delà des dispositions légales.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2"/>
        <w:numPr>
          <w:ilvl w:val="1"/>
          <w:numId w:val="1"/>
        </w:numPr>
        <w:rPr/>
      </w:pPr>
      <w:bookmarkStart w:id="90" w:name="__RefHeading___Toc4687775"/>
      <w:bookmarkEnd w:id="90"/>
      <w:r>
        <w:rPr/>
        <w:t xml:space="preserve">Article </w:t>
      </w:r>
      <w:r>
        <w:rPr>
          <w:lang w:val="fr-FR"/>
        </w:rPr>
        <w:t>11</w:t>
      </w:r>
      <w:r>
        <w:rPr/>
        <w:t>.</w:t>
      </w:r>
      <w:r>
        <w:rPr>
          <w:lang w:val="fr-FR"/>
        </w:rPr>
        <w:t>3.</w:t>
      </w:r>
      <w:r>
        <w:rPr/>
        <w:t xml:space="preserve"> Bons de délégation</w:t>
      </w:r>
    </w:p>
    <w:p>
      <w:pPr>
        <w:pStyle w:val="Normal"/>
        <w:ind w:right="-1" w:hanging="0"/>
        <w:jc w:val="both"/>
        <w:rPr/>
      </w:pPr>
      <w:r>
        <w:rPr>
          <w:rFonts w:cs="Minion-Regular;Cambria" w:ascii="Century Gothic" w:hAnsi="Century Gothic"/>
          <w:lang w:val="fr-FR"/>
        </w:rPr>
        <w:t>Les représentants du personnel peuvent librement exercer leur mandat et utiliser le crédit d’heures dont ils disposent dès lors que cette utilisation est conforme aux dispositions règlementaires.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Toutefois, afin de permettre à l’entreprise d’organiser au mieux l’activité du service auquel appartient les représentants du personnel, en raison de l’absence liée à l’exercice de son mandat (imputable ou non sur son crédit d’heures), les parties signataires conviennent de mettre en place des bons de délégation.</w:t>
      </w:r>
    </w:p>
    <w:p>
      <w:pPr>
        <w:pStyle w:val="Normal"/>
        <w:ind w:right="-1" w:hanging="0"/>
        <w:jc w:val="both"/>
        <w:rPr/>
      </w:pPr>
      <w:r>
        <w:rPr>
          <w:rFonts w:cs="Minion-Regular;Cambria" w:ascii="Century Gothic" w:hAnsi="Century Gothic"/>
          <w:lang w:val="fr-FR"/>
        </w:rPr>
        <w:t>Ces bons ne constituent pas une demande préalable d’autorisation d’absence.</w:t>
      </w:r>
    </w:p>
    <w:p>
      <w:pPr>
        <w:pStyle w:val="Normal"/>
        <w:ind w:right="-1" w:hanging="0"/>
        <w:jc w:val="both"/>
        <w:rPr/>
      </w:pPr>
      <w:r>
        <w:rPr>
          <w:rFonts w:cs="Minion-Regular;Cambria" w:ascii="Century Gothic" w:hAnsi="Century Gothic"/>
          <w:lang w:val="fr-FR"/>
        </w:rPr>
        <w:t>Les bons sont établis sur un document mis à disposition des représentants du personnel et remis à leur responsable hiérarchique moyennant un délai de prévenance nécessaire à la bonne organisation du travail et au minimum de 48 heures ouvrées hors cas exceptionnel justifié par le représentant.</w:t>
      </w:r>
    </w:p>
    <w:p>
      <w:pPr>
        <w:pStyle w:val="Normal"/>
        <w:spacing w:before="120" w:after="120"/>
        <w:jc w:val="both"/>
        <w:rPr/>
      </w:pPr>
      <w:r>
        <w:rPr>
          <w:rFonts w:cs="Minion-Regular;Cambria" w:ascii="Century Gothic" w:hAnsi="Century Gothic"/>
          <w:lang w:val="fr-FR"/>
        </w:rPr>
        <w:t>Le délai de prévenance est de 8 jours calendaires dans les hypothèses suivantes :</w:t>
      </w:r>
    </w:p>
    <w:p>
      <w:pPr>
        <w:pStyle w:val="Normal"/>
        <w:spacing w:before="120" w:after="120"/>
        <w:jc w:val="both"/>
        <w:rPr>
          <w:rFonts w:ascii="Century Gothic" w:hAnsi="Century Gothic" w:cs="Minion-Regular;Cambria"/>
          <w:lang w:val="fr-FR"/>
        </w:rPr>
      </w:pPr>
      <w:r>
        <w:rPr>
          <w:rFonts w:cs="Minion-Regular;Cambria" w:ascii="Century Gothic" w:hAnsi="Century Gothic"/>
          <w:lang w:val="fr-FR"/>
        </w:rPr>
        <w:t>-</w:t>
        <w:tab/>
        <w:t>utilisation d’heures cumulées au-delà du mois ;</w:t>
      </w:r>
    </w:p>
    <w:p>
      <w:pPr>
        <w:pStyle w:val="Normal"/>
        <w:spacing w:before="120" w:after="120"/>
        <w:jc w:val="both"/>
        <w:rPr>
          <w:rFonts w:ascii="Century Gothic" w:hAnsi="Century Gothic" w:cs="Minion-Regular;Cambria"/>
          <w:lang w:val="fr-FR"/>
        </w:rPr>
      </w:pPr>
      <w:r>
        <w:rPr>
          <w:rFonts w:cs="Minion-Regular;Cambria" w:ascii="Century Gothic" w:hAnsi="Century Gothic"/>
          <w:lang w:val="fr-FR"/>
        </w:rPr>
        <w:t>-</w:t>
        <w:tab/>
        <w:t>utilisation d’heures réparties entre les membres du CSE.</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1"/>
        <w:numPr>
          <w:ilvl w:val="0"/>
          <w:numId w:val="1"/>
        </w:numPr>
        <w:rPr>
          <w:lang w:val="fr-FR"/>
        </w:rPr>
      </w:pPr>
      <w:bookmarkStart w:id="91" w:name="__RefHeading___Toc4687776"/>
      <w:bookmarkStart w:id="92" w:name="_bookmark50"/>
      <w:bookmarkStart w:id="93" w:name="_bookmark49"/>
      <w:bookmarkEnd w:id="91"/>
      <w:bookmarkEnd w:id="92"/>
      <w:bookmarkEnd w:id="93"/>
      <w:r>
        <w:rPr>
          <w:lang w:val="fr-FR"/>
        </w:rPr>
        <w:t>ARTICLE 12. DUREE DE L’ACCORD</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présent accord est conclu pour une durée déterminée de quatre ans et entrera en vigueur le jour de la proclamation définitive des résultats des élections au CSE de 2019. Il cessera de produire tout effet au terme des mandats des membres du CSE élus en 2019.</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En cas d’évolution substantielle ayant un impact sur l’économie globale du présent accord, les parties conviennent de se réunir de nouveau afin d’échanger sur les évolutions rendues nécessaires.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r>
    </w:p>
    <w:p>
      <w:pPr>
        <w:pStyle w:val="Heading1"/>
        <w:numPr>
          <w:ilvl w:val="0"/>
          <w:numId w:val="1"/>
        </w:numPr>
        <w:rPr>
          <w:lang w:val="fr-FR"/>
        </w:rPr>
      </w:pPr>
      <w:bookmarkStart w:id="94" w:name="__RefHeading___Toc4687777"/>
      <w:bookmarkStart w:id="95" w:name="_bookmark51"/>
      <w:bookmarkEnd w:id="94"/>
      <w:bookmarkEnd w:id="95"/>
      <w:r>
        <w:rPr>
          <w:lang w:val="fr-FR"/>
        </w:rPr>
        <w:t>ARTICLE 13. REVISION DE L’ACCORD</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Le présent accord peut faire l’objet de révisions.</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Toute demande de révision doit être notifiée par lettre recommandée avec accusé de réception à la direction ou aux organisations syndicales habilitées selon les conditions légales en vigueur.</w:t>
      </w:r>
    </w:p>
    <w:p>
      <w:pPr>
        <w:pStyle w:val="Normal"/>
        <w:ind w:right="-1" w:hanging="0"/>
        <w:jc w:val="both"/>
        <w:rPr>
          <w:rFonts w:ascii="Century Gothic" w:hAnsi="Century Gothic" w:cs="Minion-Regular;Cambria"/>
          <w:lang w:val="fr-FR"/>
        </w:rPr>
      </w:pPr>
      <w:r>
        <w:rPr>
          <w:rFonts w:cs="Minion-Regular;Cambria" w:ascii="Century Gothic" w:hAnsi="Century Gothic"/>
          <w:lang w:val="fr-FR"/>
        </w:rPr>
        <w:t>Dans un délai maximum de trois mois à compter de la demande de révision, la Direction et les organisations syndicales habilitées devront se rencontrer pour examiner cette demande.</w:t>
      </w:r>
    </w:p>
    <w:p>
      <w:pPr>
        <w:pStyle w:val="Heading1"/>
        <w:numPr>
          <w:ilvl w:val="0"/>
          <w:numId w:val="1"/>
        </w:numPr>
        <w:rPr>
          <w:lang w:val="fr-FR"/>
        </w:rPr>
      </w:pPr>
      <w:bookmarkStart w:id="96" w:name="__RefHeading___Toc4687778"/>
      <w:bookmarkStart w:id="97" w:name="_bookmark52"/>
      <w:bookmarkEnd w:id="96"/>
      <w:bookmarkEnd w:id="97"/>
      <w:r>
        <w:rPr>
          <w:lang w:val="fr-FR"/>
        </w:rPr>
        <w:t>ARTICLE 14. COMMUNICATION DE L’ACCORD</w:t>
      </w:r>
    </w:p>
    <w:p>
      <w:pPr>
        <w:pStyle w:val="TextBody"/>
        <w:spacing w:before="1" w:after="200"/>
        <w:rPr>
          <w:b/>
          <w:b/>
          <w:sz w:val="23"/>
          <w:lang w:val="fr-FR"/>
        </w:rPr>
      </w:pPr>
      <w:r>
        <w:rPr>
          <w:b/>
          <w:sz w:val="23"/>
          <w:lang w:val="fr-FR"/>
        </w:rPr>
      </w:r>
    </w:p>
    <w:p>
      <w:pPr>
        <w:pStyle w:val="TextBody"/>
        <w:spacing w:lineRule="auto" w:line="266" w:before="0" w:after="200"/>
        <w:ind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 présent accord, une fois signé, sera notifié par lettre recommandée avec accusé de réception ou remise en main propre contre décharge, à l’ensemble des organisations syndicales représentatives de Hubbard SAS.</w:t>
      </w:r>
    </w:p>
    <w:p>
      <w:pPr>
        <w:pStyle w:val="Heading1"/>
        <w:numPr>
          <w:ilvl w:val="0"/>
          <w:numId w:val="1"/>
        </w:numPr>
        <w:rPr>
          <w:lang w:val="fr-FR"/>
        </w:rPr>
      </w:pPr>
      <w:bookmarkStart w:id="98" w:name="__RefHeading___Toc4687779"/>
      <w:bookmarkStart w:id="99" w:name="_bookmark53"/>
      <w:bookmarkEnd w:id="98"/>
      <w:bookmarkEnd w:id="99"/>
      <w:r>
        <w:rPr>
          <w:lang w:val="fr-FR"/>
        </w:rPr>
        <w:t>ARTICLE 15. PUBLICITE ET DEPOT DE L’ACCORD</w:t>
      </w:r>
    </w:p>
    <w:p>
      <w:pPr>
        <w:pStyle w:val="TextBody"/>
        <w:spacing w:before="10" w:after="20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r>
    </w:p>
    <w:p>
      <w:pPr>
        <w:pStyle w:val="TextBody"/>
        <w:spacing w:before="10" w:after="20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Le présent accord fera l’objet d’une publication dans la base de données nationale visée à l’article L. 2231-5-1 du code du travail dans une version ne comportant pas les noms et prénoms des négociateurs et des signataires.</w:t>
      </w:r>
    </w:p>
    <w:p>
      <w:pPr>
        <w:pStyle w:val="TextBody"/>
        <w:jc w:val="both"/>
        <w:rPr/>
      </w:pPr>
      <w:r>
        <w:rPr>
          <w:rFonts w:cs="Minion-Regular;Cambria" w:ascii="Century Gothic" w:hAnsi="Century Gothic"/>
          <w:sz w:val="20"/>
          <w:szCs w:val="20"/>
          <w:lang w:eastAsia="en-US" w:bidi="en-US"/>
        </w:rPr>
        <w:t>Le présent accord donnera lieu à dépôt dans les conditions prévues aux articles L. 2231-6 et D. 2231-2 et suivants du code du travail. Il sera déposé :</w:t>
      </w:r>
    </w:p>
    <w:p>
      <w:pPr>
        <w:pStyle w:val="Normal"/>
        <w:numPr>
          <w:ilvl w:val="0"/>
          <w:numId w:val="3"/>
        </w:numPr>
        <w:spacing w:lineRule="auto" w:line="240" w:before="0" w:after="0"/>
        <w:jc w:val="both"/>
        <w:rPr/>
      </w:pPr>
      <w:r>
        <w:rPr>
          <w:rFonts w:cs="Minion-Regular;Cambria" w:ascii="Century Gothic" w:hAnsi="Century Gothic"/>
          <w:lang w:val="fr-FR"/>
        </w:rPr>
        <w:t>sur la plateforme de téléprocédure dénommée «TéléAccords » accompagné des pièces prévues à l’article D. 2231-7 du code du travail ;</w:t>
      </w:r>
    </w:p>
    <w:p>
      <w:pPr>
        <w:pStyle w:val="Normal"/>
        <w:numPr>
          <w:ilvl w:val="0"/>
          <w:numId w:val="3"/>
        </w:numPr>
        <w:spacing w:lineRule="auto" w:line="240" w:before="0" w:after="0"/>
        <w:jc w:val="both"/>
        <w:rPr/>
      </w:pPr>
      <w:r>
        <w:rPr>
          <w:rFonts w:cs="Minion-Regular;Cambria" w:ascii="Century Gothic" w:hAnsi="Century Gothic"/>
          <w:lang w:val="fr-FR"/>
        </w:rPr>
        <w:t xml:space="preserve">et en un exemplaire auprès du greffe du conseil de prud'hommes de Saint Brieuc. </w:t>
      </w:r>
    </w:p>
    <w:p>
      <w:pPr>
        <w:pStyle w:val="TextBody"/>
        <w:spacing w:lineRule="auto" w:line="266" w:before="0" w:after="200"/>
        <w:ind w:left="216" w:right="133" w:hanging="0"/>
        <w:jc w:val="both"/>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r>
    </w:p>
    <w:p>
      <w:pPr>
        <w:pStyle w:val="TextBody"/>
        <w:spacing w:lineRule="auto" w:line="266" w:before="0" w:after="200"/>
        <w:ind w:left="216"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Une copie du présent accord sera affichée dans l’entreprise aux emplacements réservés à la communication avec le personnel.</w:t>
      </w:r>
    </w:p>
    <w:p>
      <w:pPr>
        <w:pStyle w:val="TextBody"/>
        <w:spacing w:lineRule="auto" w:line="266" w:before="0" w:after="200"/>
        <w:ind w:left="216" w:right="133" w:hanging="0"/>
        <w:jc w:val="both"/>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TextBody"/>
        <w:tabs>
          <w:tab w:val="left" w:pos="3048" w:leader="none"/>
        </w:tabs>
        <w:spacing w:before="60" w:after="200"/>
        <w:ind w:left="216" w:hanging="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t>Fait à LE FOEIL, le 29 mars 2019 en 6 exemplaires.</w:t>
      </w:r>
    </w:p>
    <w:p>
      <w:pPr>
        <w:pStyle w:val="TextBody"/>
        <w:spacing w:before="1" w:after="200"/>
        <w:rPr>
          <w:rFonts w:ascii="Century Gothic" w:hAnsi="Century Gothic" w:cs="Minion-Regular;Cambria"/>
          <w:sz w:val="20"/>
          <w:szCs w:val="20"/>
          <w:lang w:eastAsia="en-US" w:bidi="en-US"/>
        </w:rPr>
      </w:pPr>
      <w:r>
        <w:rPr>
          <w:rFonts w:cs="Minion-Regular;Cambria" w:ascii="Century Gothic" w:hAnsi="Century Gothic"/>
          <w:sz w:val="20"/>
          <w:szCs w:val="20"/>
          <w:lang w:eastAsia="en-US" w:bidi="en-US"/>
        </w:rPr>
      </w:r>
    </w:p>
    <w:p>
      <w:pPr>
        <w:pStyle w:val="Normal"/>
        <w:ind w:left="216" w:hanging="0"/>
        <w:rPr>
          <w:rFonts w:ascii="Century Gothic" w:hAnsi="Century Gothic" w:cs="Minion-Regular;Cambria"/>
          <w:lang w:val="fr-FR"/>
        </w:rPr>
      </w:pPr>
      <w:r>
        <w:rPr>
          <w:rFonts w:cs="Minion-Regular;Cambria" w:ascii="Century Gothic" w:hAnsi="Century Gothic"/>
          <w:lang w:val="fr-FR"/>
        </w:rPr>
        <w:t>Pour la société Hubbard SAS, Olivier ROCHARD</w:t>
      </w:r>
    </w:p>
    <w:p>
      <w:pPr>
        <w:pStyle w:val="TextBody"/>
        <w:spacing w:before="3" w:after="20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r>
    </w:p>
    <w:p>
      <w:pPr>
        <w:pStyle w:val="Normal"/>
        <w:ind w:left="216" w:hanging="0"/>
        <w:rPr>
          <w:rFonts w:ascii="Century Gothic" w:hAnsi="Century Gothic" w:cs="Minion-Regular;Cambria"/>
          <w:sz w:val="20"/>
          <w:szCs w:val="20"/>
          <w:lang w:val="fr-FR" w:eastAsia="en-US" w:bidi="en-US"/>
        </w:rPr>
      </w:pPr>
      <w:r>
        <w:rPr>
          <w:rFonts w:cs="Minion-Regular;Cambria" w:ascii="Century Gothic" w:hAnsi="Century Gothic"/>
          <w:sz w:val="20"/>
          <w:szCs w:val="20"/>
          <w:lang w:val="fr-FR" w:eastAsia="en-US" w:bidi="en-US"/>
        </w:rPr>
      </w:r>
    </w:p>
    <w:p>
      <w:pPr>
        <w:pStyle w:val="Normal"/>
        <w:ind w:left="216" w:hanging="0"/>
        <w:rPr>
          <w:rFonts w:ascii="Century Gothic" w:hAnsi="Century Gothic" w:cs="Minion-Regular;Cambria"/>
          <w:lang w:val="fr-FR"/>
        </w:rPr>
      </w:pPr>
      <w:r>
        <w:rPr>
          <w:rFonts w:cs="Minion-Regular;Cambria" w:ascii="Century Gothic" w:hAnsi="Century Gothic"/>
          <w:lang w:val="fr-FR"/>
        </w:rPr>
      </w:r>
    </w:p>
    <w:p>
      <w:pPr>
        <w:pStyle w:val="Normal"/>
        <w:ind w:left="216" w:hanging="0"/>
        <w:rPr/>
      </w:pPr>
      <w:r>
        <w:rPr>
          <w:rFonts w:cs="Minion-Regular;Cambria" w:ascii="Century Gothic" w:hAnsi="Century Gothic"/>
          <w:lang w:val="fr-FR"/>
        </w:rPr>
        <w:t>Pour les organisations syndicales représentatives :</w:t>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t>xxxxxxx, délégué syndical central CGT</w:t>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t>xxxxxxxx, délégué syndical central CFDT</w:t>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r>
    </w:p>
    <w:p>
      <w:pPr>
        <w:pStyle w:val="Normal"/>
        <w:tabs>
          <w:tab w:val="left" w:pos="426" w:leader="none"/>
        </w:tabs>
        <w:ind w:left="284" w:right="-1" w:hanging="0"/>
        <w:rPr>
          <w:rFonts w:ascii="Century Gothic" w:hAnsi="Century Gothic" w:cs="Minion-Regular;Cambria"/>
          <w:lang w:val="fr-FR"/>
        </w:rPr>
      </w:pPr>
      <w:r>
        <w:rPr>
          <w:rFonts w:cs="Minion-Regular;Cambria" w:ascii="Century Gothic" w:hAnsi="Century Gothic"/>
          <w:lang w:val="fr-FR"/>
        </w:rPr>
      </w:r>
    </w:p>
    <w:p>
      <w:pPr>
        <w:pStyle w:val="Normal"/>
        <w:tabs>
          <w:tab w:val="left" w:pos="7266" w:leader="none"/>
        </w:tabs>
        <w:spacing w:before="200" w:after="200"/>
        <w:ind w:left="284" w:hanging="0"/>
        <w:rPr>
          <w:lang w:val="fr-FR" w:eastAsia="fr-FR" w:bidi="fr-FR"/>
        </w:rPr>
      </w:pPr>
      <w:r>
        <w:rPr>
          <w:rFonts w:cs="Minion-Regular;Cambria" w:ascii="Century Gothic" w:hAnsi="Century Gothic"/>
          <w:lang w:val="fr-FR"/>
        </w:rPr>
        <w:t>xxxxxxxx, délégué syndical central SNCEA-CFE-CGC</w:t>
      </w:r>
    </w:p>
    <w:sectPr>
      <w:footerReference w:type="default" r:id="rId3"/>
      <w:type w:val="nextPage"/>
      <w:pgSz w:w="11906" w:h="16838"/>
      <w:pgMar w:left="1202" w:right="1281" w:header="0" w:top="1321" w:footer="1004" w:bottom="14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entury Gothic">
    <w:charset w:val="00"/>
    <w:family w:val="swiss"/>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 w:name="BR-01T">
    <w:altName w:val="Cambria"/>
    <w:charset w:val="00"/>
    <w:family w:val="roman"/>
    <w:pitch w:val="variable"/>
  </w:font>
  <w:font w:name="PT Sans">
    <w:altName w:val="Times New Roma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00" w:after="200"/>
      <w:jc w:val="right"/>
      <w:rPr/>
    </w:pPr>
    <w:r>
      <w:rPr/>
      <w:fldChar w:fldCharType="begin"/>
    </w:r>
    <w:r>
      <w:instrText> PAGE </w:instrText>
    </w:r>
    <w:r>
      <w:fldChar w:fldCharType="separate"/>
    </w:r>
    <w:r>
      <w:t>1</w:t>
    </w:r>
    <w:r>
      <w:fldChar w:fldCharType="end"/>
    </w:r>
  </w:p>
  <w:p>
    <w:pPr>
      <w:pStyle w:val="TextBody"/>
      <w:spacing w:lineRule="auto" w:line="12" w:before="200" w:after="200"/>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00" w:after="200"/>
      <w:jc w:val="right"/>
      <w:rPr/>
    </w:pPr>
    <w:r>
      <w:rPr/>
      <w:fldChar w:fldCharType="begin"/>
    </w:r>
    <w:r>
      <w:instrText> PAGE </w:instrText>
    </w:r>
    <w:r>
      <w:fldChar w:fldCharType="separate"/>
    </w:r>
    <w:r>
      <w:t>2</w:t>
    </w:r>
    <w:r>
      <w:fldChar w:fldCharType="end"/>
    </w:r>
  </w:p>
  <w:p>
    <w:pPr>
      <w:pStyle w:val="TextBody"/>
      <w:spacing w:lineRule="auto" w:line="12" w:before="200" w:after="200"/>
      <w:rPr>
        <w:sz w:val="20"/>
      </w:rPr>
    </w:pPr>
    <w:r>
      <w:rPr>
        <w:sz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708"/>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936" w:hanging="360"/>
      </w:pPr>
      <w:rPr>
        <w:rFonts w:ascii="Symbol" w:hAnsi="Symbol" w:cs="Symbol" w:hint="default"/>
        <w:sz w:val="20"/>
        <w:szCs w:val="20"/>
        <w:rFonts w:cs="Symbol"/>
        <w:color w:val="000000"/>
        <w:lang w:eastAsia="en-US" w:bidi="en-U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lang w:val="fr-F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3"/>
      <w:numFmt w:val="bullet"/>
      <w:lvlText w:val="–"/>
      <w:lvlJc w:val="left"/>
      <w:pPr>
        <w:ind w:left="774" w:hanging="360"/>
      </w:pPr>
      <w:rPr>
        <w:rFonts w:ascii="Century Gothic" w:hAnsi="Century Gothic" w:cs="Century Gothic" w:hint="default"/>
        <w:rFonts w:cs="Minion-Regular;Cambria"/>
        <w:lang w:val="fr-FR"/>
      </w:rPr>
    </w:lvl>
  </w:abstractNum>
  <w:abstractNum w:abstractNumId="5">
    <w:lvl w:ilvl="0">
      <w:start w:val="3"/>
      <w:numFmt w:val="bullet"/>
      <w:lvlText w:val="–"/>
      <w:lvlJc w:val="left"/>
      <w:pPr>
        <w:ind w:left="720" w:hanging="360"/>
      </w:pPr>
      <w:rPr>
        <w:rFonts w:ascii="Century Gothic" w:hAnsi="Century Gothic" w:cs="Century Gothic" w:hint="default"/>
        <w:rFonts w:cs="Minion-Regular;Cambria"/>
      </w:rPr>
    </w:lvl>
  </w:abstractNum>
  <w:abstractNum w:abstractNumId="6">
    <w:lvl w:ilvl="0">
      <w:numFmt w:val="bullet"/>
      <w:lvlText w:val="-"/>
      <w:lvlJc w:val="left"/>
      <w:pPr>
        <w:ind w:left="643" w:hanging="360"/>
      </w:pPr>
      <w:rPr>
        <w:rFonts w:ascii="Times New Roman" w:hAnsi="Times New Roman" w:cs="Times New Roman" w:hint="default"/>
        <w:sz w:val="24"/>
        <w:szCs w:val="24"/>
        <w:w w:val="93"/>
        <w:rFonts w:cs="Times New Roman"/>
        <w:lang w:val="fr-FR" w:bidi="fr-FR"/>
      </w:rPr>
    </w:lvl>
    <w:lvl w:ilvl="1">
      <w:start w:val="0"/>
      <w:numFmt w:val="bullet"/>
      <w:lvlText w:val="-"/>
      <w:lvlJc w:val="left"/>
      <w:pPr>
        <w:ind w:left="936" w:hanging="360"/>
      </w:pPr>
      <w:rPr>
        <w:rFonts w:ascii="Times New Roman" w:hAnsi="Times New Roman" w:cs="Times New Roman" w:hint="default"/>
        <w:sz w:val="24"/>
        <w:szCs w:val="24"/>
        <w:w w:val="93"/>
        <w:rFonts w:cs="Times New Roman"/>
        <w:lang w:val="fr-FR" w:bidi="fr-FR"/>
      </w:rPr>
    </w:lvl>
    <w:lvl w:ilvl="2">
      <w:start w:val="0"/>
      <w:numFmt w:val="bullet"/>
      <w:lvlText w:val="•"/>
      <w:lvlJc w:val="left"/>
      <w:pPr>
        <w:ind w:left="1882" w:hanging="360"/>
      </w:pPr>
      <w:rPr>
        <w:rFonts w:ascii="Liberation Serif" w:hAnsi="Liberation Serif" w:cs="Liberation Serif" w:hint="default"/>
        <w:lang w:val="fr-FR" w:bidi="fr-FR"/>
      </w:rPr>
    </w:lvl>
    <w:lvl w:ilvl="3">
      <w:start w:val="0"/>
      <w:numFmt w:val="bullet"/>
      <w:lvlText w:val="•"/>
      <w:lvlJc w:val="left"/>
      <w:pPr>
        <w:ind w:left="2825" w:hanging="360"/>
      </w:pPr>
      <w:rPr>
        <w:rFonts w:ascii="Liberation Serif" w:hAnsi="Liberation Serif" w:cs="Liberation Serif" w:hint="default"/>
        <w:lang w:val="fr-FR" w:bidi="fr-FR"/>
      </w:rPr>
    </w:lvl>
    <w:lvl w:ilvl="4">
      <w:start w:val="0"/>
      <w:numFmt w:val="bullet"/>
      <w:lvlText w:val="•"/>
      <w:lvlJc w:val="left"/>
      <w:pPr>
        <w:ind w:left="3768" w:hanging="360"/>
      </w:pPr>
      <w:rPr>
        <w:rFonts w:ascii="Liberation Serif" w:hAnsi="Liberation Serif" w:cs="Liberation Serif" w:hint="default"/>
        <w:lang w:val="fr-FR" w:bidi="fr-FR"/>
      </w:rPr>
    </w:lvl>
    <w:lvl w:ilvl="5">
      <w:start w:val="0"/>
      <w:numFmt w:val="bullet"/>
      <w:lvlText w:val="•"/>
      <w:lvlJc w:val="left"/>
      <w:pPr>
        <w:ind w:left="4711" w:hanging="360"/>
      </w:pPr>
      <w:rPr>
        <w:rFonts w:ascii="Liberation Serif" w:hAnsi="Liberation Serif" w:cs="Liberation Serif" w:hint="default"/>
        <w:lang w:val="fr-FR" w:bidi="fr-FR"/>
      </w:rPr>
    </w:lvl>
    <w:lvl w:ilvl="6">
      <w:start w:val="0"/>
      <w:numFmt w:val="bullet"/>
      <w:lvlText w:val="•"/>
      <w:lvlJc w:val="left"/>
      <w:pPr>
        <w:ind w:left="5654" w:hanging="360"/>
      </w:pPr>
      <w:rPr>
        <w:rFonts w:ascii="Liberation Serif" w:hAnsi="Liberation Serif" w:cs="Liberation Serif" w:hint="default"/>
        <w:lang w:val="fr-FR" w:bidi="fr-FR"/>
      </w:rPr>
    </w:lvl>
    <w:lvl w:ilvl="7">
      <w:start w:val="0"/>
      <w:numFmt w:val="bullet"/>
      <w:lvlText w:val="•"/>
      <w:lvlJc w:val="left"/>
      <w:pPr>
        <w:ind w:left="6597" w:hanging="360"/>
      </w:pPr>
      <w:rPr>
        <w:rFonts w:ascii="Liberation Serif" w:hAnsi="Liberation Serif" w:cs="Liberation Serif" w:hint="default"/>
        <w:lang w:val="fr-FR" w:bidi="fr-FR"/>
      </w:rPr>
    </w:lvl>
    <w:lvl w:ilvl="8">
      <w:start w:val="0"/>
      <w:numFmt w:val="bullet"/>
      <w:lvlText w:val="•"/>
      <w:lvlJc w:val="left"/>
      <w:pPr>
        <w:ind w:left="7540" w:hanging="360"/>
      </w:pPr>
      <w:rPr>
        <w:rFonts w:ascii="Liberation Serif" w:hAnsi="Liberation Serif" w:cs="Liberation Serif" w:hint="default"/>
        <w:lang w:val="fr-FR" w:bidi="fr-F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200" w:after="200"/>
    </w:pPr>
    <w:rPr>
      <w:rFonts w:ascii="Calibri" w:hAnsi="Calibri" w:eastAsia="Times New Roman" w:cs="Times New Roman"/>
      <w:color w:val="auto"/>
      <w:sz w:val="20"/>
      <w:szCs w:val="20"/>
      <w:lang w:val="en-US" w:bidi="en-US" w:eastAsia="zh-CN"/>
    </w:rPr>
  </w:style>
  <w:style w:type="paragraph" w:styleId="Heading1">
    <w:name w:val="Heading 1"/>
    <w:basedOn w:val="Normal"/>
    <w:next w:val="Normal"/>
    <w:qFormat/>
    <w:pPr>
      <w:numPr>
        <w:ilvl w:val="0"/>
        <w:numId w:val="1"/>
      </w:numPr>
      <w:pBdr>
        <w:top w:val="single" w:sz="24" w:space="0" w:color="4F81BD"/>
        <w:left w:val="single" w:sz="24" w:space="0" w:color="4F81BD"/>
        <w:bottom w:val="single" w:sz="24" w:space="0" w:color="4F81BD"/>
        <w:right w:val="single" w:sz="24" w:space="0" w:color="4F81BD"/>
      </w:pBdr>
      <w:shd w:fill="4F81BD" w:val="clear"/>
      <w:spacing w:before="80" w:after="0"/>
      <w:outlineLvl w:val="0"/>
      <w:outlineLvl w:val="0"/>
    </w:pPr>
    <w:rPr>
      <w:rFonts w:ascii="Century Gothic" w:hAnsi="Century Gothic" w:cs="Century Gothic"/>
      <w:b/>
      <w:bCs/>
      <w:color w:val="EEECE1"/>
      <w:spacing w:val="15"/>
      <w:sz w:val="22"/>
      <w:szCs w:val="22"/>
    </w:rPr>
  </w:style>
  <w:style w:type="paragraph" w:styleId="Heading2">
    <w:name w:val="Heading 2"/>
    <w:basedOn w:val="Normal"/>
    <w:next w:val="Normal"/>
    <w:qFormat/>
    <w:pPr>
      <w:numPr>
        <w:ilvl w:val="1"/>
        <w:numId w:val="1"/>
      </w:numPr>
      <w:pBdr>
        <w:top w:val="single" w:sz="24" w:space="0" w:color="DBE5F1"/>
        <w:left w:val="single" w:sz="24" w:space="0" w:color="DBE5F1"/>
        <w:bottom w:val="single" w:sz="24" w:space="0" w:color="DBE5F1"/>
        <w:right w:val="single" w:sz="24" w:space="0" w:color="DBE5F1"/>
      </w:pBdr>
      <w:shd w:fill="DBE5F1" w:val="clear"/>
      <w:spacing w:before="200" w:after="0"/>
      <w:outlineLvl w:val="1"/>
      <w:outlineLvl w:val="1"/>
    </w:pPr>
    <w:rPr>
      <w:rFonts w:ascii="Century Gothic" w:hAnsi="Century Gothic" w:cs="Century Gothic"/>
      <w:caps/>
      <w:spacing w:val="15"/>
      <w:sz w:val="16"/>
      <w:szCs w:val="16"/>
      <w:u w:val="single"/>
      <w:lang w:val="en-GB"/>
    </w:rPr>
  </w:style>
  <w:style w:type="paragraph" w:styleId="Heading3">
    <w:name w:val="Heading 3"/>
    <w:basedOn w:val="Normal"/>
    <w:next w:val="Normal"/>
    <w:qFormat/>
    <w:pPr>
      <w:numPr>
        <w:ilvl w:val="2"/>
        <w:numId w:val="1"/>
      </w:numPr>
      <w:pBdr>
        <w:top w:val="single" w:sz="6" w:space="2" w:color="4F81BD"/>
        <w:left w:val="single" w:sz="6" w:space="2" w:color="4F81BD"/>
      </w:pBdr>
      <w:spacing w:before="300" w:after="0"/>
      <w:outlineLvl w:val="2"/>
      <w:outlineLvl w:val="2"/>
    </w:pPr>
    <w:rPr>
      <w:caps/>
      <w:color w:val="243F60"/>
      <w:spacing w:val="15"/>
      <w:lang w:val="en-GB" w:bidi="ar-SA"/>
    </w:rPr>
  </w:style>
  <w:style w:type="paragraph" w:styleId="Heading4">
    <w:name w:val="Heading 4"/>
    <w:basedOn w:val="Normal"/>
    <w:next w:val="Normal"/>
    <w:qFormat/>
    <w:pPr>
      <w:numPr>
        <w:ilvl w:val="3"/>
        <w:numId w:val="1"/>
      </w:numPr>
      <w:pBdr>
        <w:top w:val="dotted" w:sz="6" w:space="2" w:color="4F81BD"/>
        <w:left w:val="dotted" w:sz="6" w:space="2" w:color="4F81BD"/>
      </w:pBdr>
      <w:spacing w:before="300" w:after="0"/>
      <w:outlineLvl w:val="3"/>
      <w:outlineLvl w:val="3"/>
    </w:pPr>
    <w:rPr>
      <w:caps/>
      <w:color w:val="365F91"/>
      <w:spacing w:val="10"/>
      <w:lang w:val="en-GB" w:bidi="ar-SA"/>
    </w:rPr>
  </w:style>
  <w:style w:type="paragraph" w:styleId="Heading5">
    <w:name w:val="Heading 5"/>
    <w:basedOn w:val="Normal"/>
    <w:next w:val="Normal"/>
    <w:qFormat/>
    <w:pPr>
      <w:numPr>
        <w:ilvl w:val="4"/>
        <w:numId w:val="1"/>
      </w:numPr>
      <w:pBdr>
        <w:bottom w:val="single" w:sz="6" w:space="1" w:color="4F81BD"/>
      </w:pBdr>
      <w:spacing w:before="300" w:after="0"/>
      <w:outlineLvl w:val="4"/>
      <w:outlineLvl w:val="4"/>
    </w:pPr>
    <w:rPr>
      <w:caps/>
      <w:color w:val="365F91"/>
      <w:spacing w:val="10"/>
      <w:lang w:val="en-GB" w:bidi="ar-SA"/>
    </w:rPr>
  </w:style>
  <w:style w:type="paragraph" w:styleId="Heading6">
    <w:name w:val="Heading 6"/>
    <w:basedOn w:val="Normal"/>
    <w:next w:val="Normal"/>
    <w:qFormat/>
    <w:pPr>
      <w:numPr>
        <w:ilvl w:val="5"/>
        <w:numId w:val="1"/>
      </w:numPr>
      <w:pBdr>
        <w:bottom w:val="dotted" w:sz="6" w:space="1" w:color="4F81BD"/>
      </w:pBdr>
      <w:spacing w:before="300" w:after="0"/>
      <w:outlineLvl w:val="5"/>
      <w:outlineLvl w:val="5"/>
    </w:pPr>
    <w:rPr>
      <w:caps/>
      <w:color w:val="365F91"/>
      <w:spacing w:val="10"/>
      <w:lang w:val="en-GB" w:bidi="ar-SA"/>
    </w:rPr>
  </w:style>
  <w:style w:type="paragraph" w:styleId="Heading7">
    <w:name w:val="Heading 7"/>
    <w:basedOn w:val="Normal"/>
    <w:next w:val="Normal"/>
    <w:qFormat/>
    <w:pPr>
      <w:numPr>
        <w:ilvl w:val="6"/>
        <w:numId w:val="1"/>
      </w:numPr>
      <w:spacing w:before="300" w:after="0"/>
      <w:outlineLvl w:val="6"/>
      <w:outlineLvl w:val="6"/>
    </w:pPr>
    <w:rPr>
      <w:caps/>
      <w:color w:val="365F91"/>
      <w:spacing w:val="10"/>
      <w:lang w:val="en-GB" w:bidi="ar-SA"/>
    </w:rPr>
  </w:style>
  <w:style w:type="paragraph" w:styleId="Heading8">
    <w:name w:val="Heading 8"/>
    <w:basedOn w:val="Normal"/>
    <w:next w:val="Normal"/>
    <w:qFormat/>
    <w:pPr>
      <w:numPr>
        <w:ilvl w:val="7"/>
        <w:numId w:val="1"/>
      </w:numPr>
      <w:spacing w:before="300" w:after="0"/>
      <w:outlineLvl w:val="7"/>
      <w:outlineLvl w:val="7"/>
    </w:pPr>
    <w:rPr>
      <w:caps/>
      <w:spacing w:val="10"/>
      <w:sz w:val="18"/>
      <w:szCs w:val="18"/>
      <w:lang w:val="en-GB" w:bidi="ar-SA"/>
    </w:rPr>
  </w:style>
  <w:style w:type="paragraph" w:styleId="Heading9">
    <w:name w:val="Heading 9"/>
    <w:basedOn w:val="Normal"/>
    <w:next w:val="Normal"/>
    <w:qFormat/>
    <w:pPr>
      <w:numPr>
        <w:ilvl w:val="8"/>
        <w:numId w:val="1"/>
      </w:numPr>
      <w:spacing w:before="300" w:after="0"/>
      <w:outlineLvl w:val="8"/>
      <w:outlineLvl w:val="8"/>
    </w:pPr>
    <w:rPr>
      <w:i/>
      <w:caps/>
      <w:spacing w:val="10"/>
      <w:sz w:val="18"/>
      <w:szCs w:val="18"/>
      <w:lang w:val="en-GB" w:bidi="ar-SA"/>
    </w:rPr>
  </w:style>
  <w:style w:type="character" w:styleId="WW8Num1z0">
    <w:name w:val="WW8Num1z0"/>
    <w:qFormat/>
    <w:rPr>
      <w:rFonts w:ascii="Wingdings" w:hAnsi="Wingdings" w:cs="Wingdings"/>
    </w:rPr>
  </w:style>
  <w:style w:type="character" w:styleId="WW8Num2z0">
    <w:name w:val="WW8Num2z0"/>
    <w:qFormat/>
    <w:rPr>
      <w:rFonts w:ascii="Symbol" w:hAnsi="Symbol" w:cs="Symbol"/>
      <w:color w:val="000000"/>
      <w:sz w:val="20"/>
      <w:szCs w:val="20"/>
      <w:lang w:eastAsia="en-US" w:bidi="en-U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entury Gothic" w:hAnsi="Century Gothic"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sz w:val="20"/>
      <w:lang w:val="fr-FR"/>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entury Gothic" w:hAnsi="Century Gothic" w:eastAsia="Times New Roman" w:cs="Minion-Regular;Cambria"/>
      <w:lang w:val="fr-F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entury Gothic" w:hAnsi="Century Gothic" w:eastAsia="Times New Roman" w:cs="Minion-Regular;Cambria"/>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lang w:val="fr-FR" w:bidi="fr-FR"/>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w w:val="93"/>
      <w:sz w:val="24"/>
      <w:szCs w:val="24"/>
      <w:lang w:val="fr-FR" w:bidi="fr-FR"/>
    </w:rPr>
  </w:style>
  <w:style w:type="character" w:styleId="WW8Num9z2">
    <w:name w:val="WW8Num9z2"/>
    <w:qFormat/>
    <w:rPr>
      <w:lang w:val="fr-FR" w:bidi="fr-FR"/>
    </w:rPr>
  </w:style>
  <w:style w:type="character" w:styleId="Policepardfaut">
    <w:name w:val="Police par défaut"/>
    <w:qFormat/>
    <w:rPr/>
  </w:style>
  <w:style w:type="character" w:styleId="TextedebullesCar">
    <w:name w:val="Texte de bulles Car"/>
    <w:qFormat/>
    <w:rPr>
      <w:rFonts w:ascii="Tahoma" w:hAnsi="Tahoma" w:eastAsia="Times New Roman" w:cs="Tahoma"/>
      <w:sz w:val="16"/>
      <w:szCs w:val="16"/>
      <w:lang w:val="fr-FR" w:bidi="fr-FR"/>
    </w:rPr>
  </w:style>
  <w:style w:type="character" w:styleId="Titre1Car">
    <w:name w:val="Titre 1 Car"/>
    <w:qFormat/>
    <w:rPr>
      <w:rFonts w:ascii="Century Gothic" w:hAnsi="Century Gothic" w:cs="Century Gothic"/>
      <w:b/>
      <w:bCs/>
      <w:color w:val="EEECE1"/>
      <w:spacing w:val="15"/>
      <w:sz w:val="22"/>
      <w:szCs w:val="22"/>
      <w:shd w:fill="4F81BD" w:val="clear"/>
      <w:lang w:val="en-US" w:bidi="en-US"/>
    </w:rPr>
  </w:style>
  <w:style w:type="character" w:styleId="InternetLink">
    <w:name w:val="Internet Link"/>
    <w:rPr>
      <w:color w:val="0000FF"/>
      <w:u w:val="single"/>
    </w:rPr>
  </w:style>
  <w:style w:type="character" w:styleId="SoustitreCar">
    <w:name w:val="Sous-titre Car"/>
    <w:qFormat/>
    <w:rPr>
      <w:caps/>
      <w:color w:val="595959"/>
      <w:spacing w:val="10"/>
      <w:sz w:val="24"/>
      <w:szCs w:val="24"/>
    </w:rPr>
  </w:style>
  <w:style w:type="character" w:styleId="TitreCar">
    <w:name w:val="Titre Car"/>
    <w:qFormat/>
    <w:rPr>
      <w:caps/>
      <w:color w:val="4F81BD"/>
      <w:spacing w:val="10"/>
      <w:sz w:val="52"/>
      <w:szCs w:val="52"/>
    </w:rPr>
  </w:style>
  <w:style w:type="character" w:styleId="Titre2Car">
    <w:name w:val="Titre 2 Car"/>
    <w:qFormat/>
    <w:rPr>
      <w:rFonts w:ascii="Century Gothic" w:hAnsi="Century Gothic" w:cs="Century Gothic"/>
      <w:caps/>
      <w:spacing w:val="15"/>
      <w:sz w:val="16"/>
      <w:szCs w:val="16"/>
      <w:u w:val="single"/>
      <w:shd w:fill="DBE5F1" w:val="clear"/>
      <w:lang w:bidi="en-US"/>
    </w:rPr>
  </w:style>
  <w:style w:type="character" w:styleId="Titre3Car">
    <w:name w:val="Titre 3 Car"/>
    <w:qFormat/>
    <w:rPr>
      <w:caps/>
      <w:color w:val="243F60"/>
      <w:spacing w:val="15"/>
    </w:rPr>
  </w:style>
  <w:style w:type="character" w:styleId="Titre4Car">
    <w:name w:val="Titre 4 Car"/>
    <w:qFormat/>
    <w:rPr>
      <w:caps/>
      <w:color w:val="365F91"/>
      <w:spacing w:val="10"/>
    </w:rPr>
  </w:style>
  <w:style w:type="character" w:styleId="Titre5Car">
    <w:name w:val="Titre 5 Car"/>
    <w:qFormat/>
    <w:rPr>
      <w:caps/>
      <w:color w:val="365F91"/>
      <w:spacing w:val="10"/>
    </w:rPr>
  </w:style>
  <w:style w:type="character" w:styleId="Titre6Car">
    <w:name w:val="Titre 6 Car"/>
    <w:qFormat/>
    <w:rPr>
      <w:caps/>
      <w:color w:val="365F91"/>
      <w:spacing w:val="10"/>
    </w:rPr>
  </w:style>
  <w:style w:type="character" w:styleId="Titre7Car">
    <w:name w:val="Titre 7 Car"/>
    <w:qFormat/>
    <w:rPr>
      <w:caps/>
      <w:color w:val="365F91"/>
      <w:spacing w:val="10"/>
    </w:rPr>
  </w:style>
  <w:style w:type="character" w:styleId="Titre8Car">
    <w:name w:val="Titre 8 Car"/>
    <w:qFormat/>
    <w:rPr>
      <w:caps/>
      <w:spacing w:val="10"/>
      <w:sz w:val="18"/>
      <w:szCs w:val="18"/>
    </w:rPr>
  </w:style>
  <w:style w:type="character" w:styleId="Titre9Car">
    <w:name w:val="Titre 9 Car"/>
    <w:qFormat/>
    <w:rPr>
      <w:i/>
      <w:caps/>
      <w:spacing w:val="10"/>
      <w:sz w:val="18"/>
      <w:szCs w:val="18"/>
    </w:rPr>
  </w:style>
  <w:style w:type="character" w:styleId="StrongEmphasis">
    <w:name w:val="Strong Emphasis"/>
    <w:rPr>
      <w:b/>
      <w:bCs/>
    </w:rPr>
  </w:style>
  <w:style w:type="character" w:styleId="Emphasis">
    <w:name w:val="Emphasis"/>
    <w:qFormat/>
    <w:rPr>
      <w:caps/>
      <w:color w:val="243F60"/>
      <w:spacing w:val="5"/>
    </w:rPr>
  </w:style>
  <w:style w:type="character" w:styleId="CitationCar">
    <w:name w:val="Citation Car"/>
    <w:qFormat/>
    <w:rPr>
      <w:i/>
      <w:iCs/>
      <w:sz w:val="20"/>
      <w:szCs w:val="20"/>
    </w:rPr>
  </w:style>
  <w:style w:type="character" w:styleId="CitationintenseCar">
    <w:name w:val="Citation intense Car"/>
    <w:qFormat/>
    <w:rPr>
      <w:i/>
      <w:iCs/>
      <w:color w:val="4F81BD"/>
      <w:sz w:val="20"/>
      <w:szCs w:val="20"/>
    </w:rPr>
  </w:style>
  <w:style w:type="character" w:styleId="Emphaseple">
    <w:name w:val="Emphase pâle"/>
    <w:qFormat/>
    <w:rPr>
      <w:i/>
      <w:iCs/>
      <w:color w:val="243F60"/>
    </w:rPr>
  </w:style>
  <w:style w:type="character" w:styleId="Emphaseintense">
    <w:name w:val="Emphase intense"/>
    <w:qFormat/>
    <w:rPr>
      <w:b/>
      <w:bCs/>
      <w:caps/>
      <w:color w:val="243F60"/>
      <w:spacing w:val="10"/>
    </w:rPr>
  </w:style>
  <w:style w:type="character" w:styleId="Rfrenceple">
    <w:name w:val="Référence pâle"/>
    <w:qFormat/>
    <w:rPr>
      <w:b/>
      <w:bCs/>
      <w:color w:val="4F81BD"/>
    </w:rPr>
  </w:style>
  <w:style w:type="character" w:styleId="Rfrenceintense">
    <w:name w:val="Référence intense"/>
    <w:qFormat/>
    <w:rPr>
      <w:b/>
      <w:bCs/>
      <w:i/>
      <w:iCs/>
      <w:caps/>
      <w:color w:val="4F81BD"/>
    </w:rPr>
  </w:style>
  <w:style w:type="character" w:styleId="Titredulivre">
    <w:name w:val="Titre du livre"/>
    <w:qFormat/>
    <w:rPr>
      <w:b/>
      <w:bCs/>
      <w:i/>
      <w:iCs/>
      <w:spacing w:val="9"/>
    </w:rPr>
  </w:style>
  <w:style w:type="character" w:styleId="SansinterligneCar">
    <w:name w:val="Sans interligne Car"/>
    <w:qFormat/>
    <w:rPr>
      <w:sz w:val="20"/>
      <w:szCs w:val="20"/>
    </w:rPr>
  </w:style>
  <w:style w:type="character" w:styleId="EntteCar">
    <w:name w:val="En-tête Car"/>
    <w:qFormat/>
    <w:rPr>
      <w:lang w:val="en-US" w:bidi="en-US"/>
    </w:rPr>
  </w:style>
  <w:style w:type="character" w:styleId="PieddepageCar">
    <w:name w:val="Pied de page Car"/>
    <w:qFormat/>
    <w:rPr>
      <w:lang w:val="en-US" w:bidi="en-US"/>
    </w:rPr>
  </w:style>
  <w:style w:type="character" w:styleId="ElAppPreventeurmain">
    <w:name w:val="ElApp_Preventeur_main"/>
    <w:qFormat/>
    <w:rPr/>
  </w:style>
  <w:style w:type="character" w:styleId="Marquedecommentaire">
    <w:name w:val="Marque de commentaire"/>
    <w:qFormat/>
    <w:rPr>
      <w:sz w:val="16"/>
      <w:szCs w:val="16"/>
    </w:rPr>
  </w:style>
  <w:style w:type="character" w:styleId="CommentaireCar">
    <w:name w:val="Commentaire Car"/>
    <w:qFormat/>
    <w:rPr>
      <w:lang w:val="en-US" w:bidi="en-US"/>
    </w:rPr>
  </w:style>
  <w:style w:type="character" w:styleId="ObjetducommentaireCar">
    <w:name w:val="Objet du commentaire Car"/>
    <w:qFormat/>
    <w:rPr>
      <w:b/>
      <w:bCs/>
      <w:lang w:val="en-US" w:bidi="en-US"/>
    </w:rPr>
  </w:style>
  <w:style w:type="character" w:styleId="IndexLink">
    <w:name w:val="Index Link"/>
    <w:qFormat/>
    <w:rPr/>
  </w:style>
  <w:style w:type="paragraph" w:styleId="Heading">
    <w:name w:val="Heading"/>
    <w:basedOn w:val="Normal"/>
    <w:next w:val="Normal"/>
    <w:qFormat/>
    <w:pPr>
      <w:spacing w:before="720" w:after="200"/>
    </w:pPr>
    <w:rPr>
      <w:caps/>
      <w:color w:val="4F81BD"/>
      <w:spacing w:val="10"/>
      <w:sz w:val="52"/>
      <w:szCs w:val="52"/>
      <w:lang w:val="en-GB" w:bidi="ar-SA"/>
    </w:rPr>
  </w:style>
  <w:style w:type="paragraph" w:styleId="TextBody">
    <w:name w:val="Text Body"/>
    <w:basedOn w:val="Normal"/>
    <w:pPr/>
    <w:rPr>
      <w:rFonts w:ascii="Times New Roman" w:hAnsi="Times New Roman" w:eastAsia="Times New Roman" w:cs="Times New Roman"/>
      <w:sz w:val="24"/>
      <w:szCs w:val="24"/>
      <w:lang w:val="fr-FR" w:bidi="fr-F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1">
    <w:name w:val="TOC 1"/>
    <w:basedOn w:val="Normal"/>
    <w:qFormat/>
    <w:pPr>
      <w:spacing w:before="129" w:after="200"/>
      <w:ind w:left="216" w:hanging="0"/>
    </w:pPr>
    <w:rPr>
      <w:rFonts w:ascii="Times New Roman" w:hAnsi="Times New Roman" w:eastAsia="Times New Roman" w:cs="Times New Roman"/>
      <w:sz w:val="24"/>
      <w:szCs w:val="24"/>
      <w:lang w:val="fr-FR" w:bidi="fr-FR"/>
    </w:rPr>
  </w:style>
  <w:style w:type="paragraph" w:styleId="TOC2">
    <w:name w:val="TOC 2"/>
    <w:basedOn w:val="Normal"/>
    <w:qFormat/>
    <w:pPr>
      <w:spacing w:before="131" w:after="200"/>
      <w:ind w:left="437" w:hanging="0"/>
    </w:pPr>
    <w:rPr>
      <w:rFonts w:ascii="Times New Roman" w:hAnsi="Times New Roman" w:eastAsia="Times New Roman" w:cs="Times New Roman"/>
      <w:sz w:val="22"/>
      <w:szCs w:val="22"/>
      <w:lang w:val="fr-FR" w:bidi="fr-FR"/>
    </w:rPr>
  </w:style>
  <w:style w:type="paragraph" w:styleId="TOC3">
    <w:name w:val="TOC 3"/>
    <w:basedOn w:val="Normal"/>
    <w:qFormat/>
    <w:pPr>
      <w:spacing w:before="131" w:after="200"/>
      <w:ind w:left="655" w:hanging="0"/>
    </w:pPr>
    <w:rPr>
      <w:rFonts w:ascii="Times New Roman" w:hAnsi="Times New Roman" w:eastAsia="Times New Roman" w:cs="Times New Roman"/>
      <w:sz w:val="22"/>
      <w:szCs w:val="22"/>
      <w:lang w:val="fr-FR" w:bidi="fr-FR"/>
    </w:rPr>
  </w:style>
  <w:style w:type="paragraph" w:styleId="WWHeading1">
    <w:name w:val="WW-Heading 1"/>
    <w:basedOn w:val="Normal"/>
    <w:qFormat/>
    <w:pPr/>
    <w:rPr>
      <w:rFonts w:ascii="Century Gothic" w:hAnsi="Century Gothic" w:cs="Minion-Regular;Cambria"/>
      <w:b/>
      <w:sz w:val="20"/>
      <w:szCs w:val="20"/>
    </w:rPr>
  </w:style>
  <w:style w:type="paragraph" w:styleId="WWHeading2">
    <w:name w:val="WW-Heading 2"/>
    <w:basedOn w:val="Normal"/>
    <w:qFormat/>
    <w:pPr>
      <w:ind w:left="924" w:hanging="0"/>
      <w:outlineLvl w:val="2"/>
    </w:pPr>
    <w:rPr>
      <w:rFonts w:ascii="Times New Roman" w:hAnsi="Times New Roman" w:eastAsia="Times New Roman" w:cs="Times New Roman"/>
      <w:b/>
      <w:bCs/>
      <w:sz w:val="24"/>
      <w:szCs w:val="24"/>
      <w:u w:val="single" w:color="000000"/>
      <w:lang w:val="fr-FR" w:bidi="fr-FR"/>
    </w:rPr>
  </w:style>
  <w:style w:type="paragraph" w:styleId="Paragraphedeliste">
    <w:name w:val="Paragraphe de liste"/>
    <w:basedOn w:val="Normal"/>
    <w:qFormat/>
    <w:pPr>
      <w:spacing w:before="200" w:after="200"/>
      <w:ind w:left="720" w:hanging="0"/>
      <w:contextualSpacing/>
    </w:pPr>
    <w:rPr/>
  </w:style>
  <w:style w:type="paragraph" w:styleId="TableParagraph">
    <w:name w:val="Table Paragraph"/>
    <w:basedOn w:val="Normal"/>
    <w:qFormat/>
    <w:pPr/>
    <w:rPr>
      <w:lang w:val="fr-FR" w:bidi="fr-FR"/>
    </w:rPr>
  </w:style>
  <w:style w:type="paragraph" w:styleId="Textedebulles">
    <w:name w:val="Texte de bulles"/>
    <w:basedOn w:val="Normal"/>
    <w:qFormat/>
    <w:pPr/>
    <w:rPr>
      <w:rFonts w:ascii="Tahoma" w:hAnsi="Tahoma" w:cs="Tahoma"/>
      <w:sz w:val="16"/>
      <w:szCs w:val="16"/>
      <w:lang w:val="fr-FR" w:bidi="fr-FR"/>
    </w:rPr>
  </w:style>
  <w:style w:type="paragraph" w:styleId="Standard">
    <w:name w:val="Standard"/>
    <w:qFormat/>
    <w:pPr>
      <w:widowControl/>
      <w:spacing w:lineRule="auto" w:line="276" w:before="200" w:after="200"/>
      <w:ind w:right="-1" w:hanging="0"/>
      <w:jc w:val="both"/>
    </w:pPr>
    <w:rPr>
      <w:rFonts w:ascii="BR-01T;Cambria" w:hAnsi="BR-01T;Cambria" w:eastAsia="Times New Roman" w:cs="BR-01T;Cambria"/>
      <w:color w:val="auto"/>
      <w:sz w:val="22"/>
      <w:szCs w:val="22"/>
      <w:lang w:val="fr-FR" w:eastAsia="en-GB" w:bidi="ar-SA"/>
    </w:rPr>
  </w:style>
  <w:style w:type="paragraph" w:styleId="Enttedetabledesmatires">
    <w:name w:val="En-tête de table des matières"/>
    <w:basedOn w:val="Heading1"/>
    <w:next w:val="Normal"/>
    <w:qFormat/>
    <w:pPr>
      <w:numPr>
        <w:ilvl w:val="0"/>
        <w:numId w:val="0"/>
      </w:numPr>
    </w:pPr>
    <w:rPr/>
  </w:style>
  <w:style w:type="paragraph" w:styleId="Contents2">
    <w:name w:val="Contents 2"/>
    <w:basedOn w:val="Normal"/>
    <w:next w:val="Normal"/>
    <w:pPr>
      <w:ind w:left="220" w:hanging="0"/>
    </w:pPr>
    <w:rPr/>
  </w:style>
  <w:style w:type="paragraph" w:styleId="Contents3">
    <w:name w:val="Contents 3"/>
    <w:basedOn w:val="Normal"/>
    <w:next w:val="Normal"/>
    <w:pPr>
      <w:ind w:left="440" w:hanging="0"/>
    </w:pPr>
    <w:rPr/>
  </w:style>
  <w:style w:type="paragraph" w:styleId="Subtitle">
    <w:name w:val="Subtitle"/>
    <w:basedOn w:val="Normal"/>
    <w:next w:val="Normal"/>
    <w:qFormat/>
    <w:pPr>
      <w:spacing w:lineRule="auto" w:line="240" w:before="200" w:after="1000"/>
    </w:pPr>
    <w:rPr>
      <w:caps/>
      <w:color w:val="595959"/>
      <w:spacing w:val="10"/>
      <w:sz w:val="24"/>
      <w:szCs w:val="24"/>
      <w:lang w:val="en-GB" w:bidi="ar-SA"/>
    </w:rPr>
  </w:style>
  <w:style w:type="paragraph" w:styleId="Sansinterligne">
    <w:name w:val="Sans interligne"/>
    <w:basedOn w:val="Normal"/>
    <w:qFormat/>
    <w:pPr>
      <w:spacing w:lineRule="auto" w:line="240" w:before="0" w:after="0"/>
    </w:pPr>
    <w:rPr>
      <w:lang w:val="en-GB" w:bidi="ar-SA"/>
    </w:rPr>
  </w:style>
  <w:style w:type="paragraph" w:styleId="Citation">
    <w:name w:val="Citation"/>
    <w:basedOn w:val="Normal"/>
    <w:next w:val="Normal"/>
    <w:qFormat/>
    <w:pPr/>
    <w:rPr>
      <w:i/>
      <w:iCs/>
      <w:lang w:val="en-GB" w:bidi="ar-SA"/>
    </w:rPr>
  </w:style>
  <w:style w:type="paragraph" w:styleId="Citationintense">
    <w:name w:val="Citation intense"/>
    <w:basedOn w:val="Normal"/>
    <w:next w:val="Normal"/>
    <w:qFormat/>
    <w:pPr>
      <w:pBdr>
        <w:top w:val="single" w:sz="4" w:space="10" w:color="4F81BD"/>
        <w:left w:val="single" w:sz="4" w:space="10" w:color="4F81BD"/>
      </w:pBdr>
      <w:spacing w:before="200" w:after="0"/>
      <w:ind w:left="1296" w:right="1152" w:hanging="0"/>
      <w:jc w:val="both"/>
    </w:pPr>
    <w:rPr>
      <w:i/>
      <w:iCs/>
      <w:color w:val="4F81BD"/>
      <w:lang w:val="en-GB" w:bidi="ar-SA"/>
    </w:rPr>
  </w:style>
  <w:style w:type="paragraph" w:styleId="Lgende">
    <w:name w:val="Légende"/>
    <w:basedOn w:val="Normal"/>
    <w:next w:val="Normal"/>
    <w:qFormat/>
    <w:pPr/>
    <w:rPr>
      <w:b/>
      <w:bCs/>
      <w:color w:val="365F91"/>
      <w:sz w:val="16"/>
      <w:szCs w:val="16"/>
    </w:rPr>
  </w:style>
  <w:style w:type="paragraph" w:styleId="Contents1">
    <w:name w:val="Contents 1"/>
    <w:basedOn w:val="Normal"/>
    <w:next w:val="Normal"/>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ElAppPreventeurh4">
    <w:name w:val="ElApp_Preventeur_h4"/>
    <w:basedOn w:val="Normal"/>
    <w:qFormat/>
    <w:pPr>
      <w:spacing w:lineRule="auto" w:line="240" w:before="0" w:after="0"/>
    </w:pPr>
    <w:rPr>
      <w:rFonts w:ascii="PT Sans;Times New Roman" w:hAnsi="PT Sans;Times New Roman" w:eastAsia="PT Sans;Times New Roman" w:cs="PT Sans;Times New Roman"/>
      <w:b/>
      <w:bCs/>
      <w:color w:val="333333"/>
      <w:sz w:val="21"/>
      <w:szCs w:val="21"/>
      <w:lang w:val="fr-FR" w:bidi="ar-SA"/>
    </w:rPr>
  </w:style>
  <w:style w:type="paragraph" w:styleId="ElAppPreventeurh2DTIFTI">
    <w:name w:val="ElApp_Preventeur_h2_DTIF-TI"/>
    <w:basedOn w:val="Normal"/>
    <w:qFormat/>
    <w:pPr>
      <w:spacing w:lineRule="atLeast" w:line="315" w:before="0" w:after="0"/>
      <w:jc w:val="center"/>
    </w:pPr>
    <w:rPr>
      <w:rFonts w:ascii="Times New Roman" w:hAnsi="Times New Roman" w:cs="Times New Roman"/>
      <w:sz w:val="26"/>
      <w:szCs w:val="26"/>
      <w:lang w:val="fr-FR" w:bidi="ar-SA"/>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2019-03-26T17:18:00Z</dcterms:created>
  <dc:language>en-GB</dc:language>
  <cp:lastPrinted>2019-02-19T11:04:00Z</cp:lastPrinted>
  <dcterms:modified xsi:type="dcterms:W3CDTF">2019-05-20T10:40:00Z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2018-04-05T02:00:00Z</vt:filetime>
  </property>
  <property fmtid="{D5CDD505-2E9C-101B-9397-08002B2CF9AE}" pid="3" name="Creator">
    <vt:lpwstr>Microsoft® Word 2010</vt:lpwstr>
  </property>
  <property fmtid="{D5CDD505-2E9C-101B-9397-08002B2CF9AE}" pid="4" name="LastSaved">
    <vt:filetime>2019-01-22T02:00:00Z</vt:filetime>
  </property>
</Properties>
</file>