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F8" w:rsidRPr="00403CF8" w:rsidRDefault="00403CF8" w:rsidP="003F70A4">
      <w:pPr>
        <w:pBdr>
          <w:top w:val="single" w:sz="4" w:space="1" w:color="auto"/>
          <w:left w:val="single" w:sz="4" w:space="4" w:color="auto"/>
          <w:bottom w:val="single" w:sz="4" w:space="1" w:color="auto"/>
          <w:right w:val="single" w:sz="4" w:space="4" w:color="auto"/>
        </w:pBdr>
        <w:spacing w:after="0" w:line="252" w:lineRule="auto"/>
        <w:jc w:val="center"/>
        <w:rPr>
          <w:b/>
          <w:sz w:val="10"/>
          <w:szCs w:val="10"/>
        </w:rPr>
      </w:pPr>
      <w:bookmarkStart w:id="0" w:name="_GoBack"/>
      <w:bookmarkEnd w:id="0"/>
    </w:p>
    <w:p w:rsidR="003F70A4" w:rsidRDefault="003F70A4" w:rsidP="003F70A4">
      <w:pPr>
        <w:pBdr>
          <w:top w:val="single" w:sz="4" w:space="1" w:color="auto"/>
          <w:left w:val="single" w:sz="4" w:space="4" w:color="auto"/>
          <w:bottom w:val="single" w:sz="4" w:space="1" w:color="auto"/>
          <w:right w:val="single" w:sz="4" w:space="4" w:color="auto"/>
        </w:pBdr>
        <w:spacing w:after="0" w:line="252" w:lineRule="auto"/>
        <w:jc w:val="center"/>
        <w:rPr>
          <w:b/>
          <w:sz w:val="24"/>
          <w:szCs w:val="24"/>
        </w:rPr>
      </w:pPr>
      <w:r>
        <w:rPr>
          <w:b/>
          <w:sz w:val="24"/>
          <w:szCs w:val="24"/>
        </w:rPr>
        <w:t>AVENANT N°1 A L’</w:t>
      </w:r>
      <w:r w:rsidR="00AC6C3A" w:rsidRPr="0091162D">
        <w:rPr>
          <w:b/>
          <w:sz w:val="24"/>
          <w:szCs w:val="24"/>
        </w:rPr>
        <w:t>ACCORD D’ENTREPRISE RELATIF A L’EGALITE PROFESSIONNELLE</w:t>
      </w:r>
      <w:r w:rsidR="00403842" w:rsidRPr="0091162D">
        <w:rPr>
          <w:b/>
          <w:sz w:val="24"/>
          <w:szCs w:val="24"/>
        </w:rPr>
        <w:t xml:space="preserve"> </w:t>
      </w:r>
    </w:p>
    <w:p w:rsidR="0091162D" w:rsidRDefault="00403842" w:rsidP="00741658">
      <w:pPr>
        <w:pBdr>
          <w:top w:val="single" w:sz="4" w:space="1" w:color="auto"/>
          <w:left w:val="single" w:sz="4" w:space="4" w:color="auto"/>
          <w:bottom w:val="single" w:sz="4" w:space="1" w:color="auto"/>
          <w:right w:val="single" w:sz="4" w:space="4" w:color="auto"/>
        </w:pBdr>
        <w:spacing w:after="0" w:line="252" w:lineRule="auto"/>
        <w:jc w:val="center"/>
        <w:rPr>
          <w:b/>
          <w:sz w:val="24"/>
          <w:szCs w:val="24"/>
        </w:rPr>
      </w:pPr>
      <w:r w:rsidRPr="0091162D">
        <w:rPr>
          <w:b/>
          <w:sz w:val="24"/>
          <w:szCs w:val="24"/>
        </w:rPr>
        <w:t>ENTRE HOMME ET FEMMEET A LA QUALITE DE VIE AU TRAVAIL</w:t>
      </w:r>
    </w:p>
    <w:p w:rsidR="00741658" w:rsidRDefault="00741658" w:rsidP="00741658">
      <w:pPr>
        <w:pBdr>
          <w:top w:val="single" w:sz="4" w:space="1" w:color="auto"/>
          <w:left w:val="single" w:sz="4" w:space="4" w:color="auto"/>
          <w:bottom w:val="single" w:sz="4" w:space="1" w:color="auto"/>
          <w:right w:val="single" w:sz="4" w:space="4" w:color="auto"/>
        </w:pBdr>
        <w:spacing w:after="0" w:line="252" w:lineRule="auto"/>
        <w:jc w:val="center"/>
        <w:rPr>
          <w:b/>
          <w:sz w:val="24"/>
          <w:szCs w:val="24"/>
        </w:rPr>
      </w:pPr>
      <w:r>
        <w:rPr>
          <w:b/>
          <w:sz w:val="24"/>
          <w:szCs w:val="24"/>
        </w:rPr>
        <w:t>DU 20 DECEMBRE 2016</w:t>
      </w:r>
    </w:p>
    <w:p w:rsidR="00403CF8" w:rsidRPr="00403CF8" w:rsidRDefault="00403CF8" w:rsidP="00403CF8">
      <w:pPr>
        <w:pBdr>
          <w:top w:val="single" w:sz="4" w:space="1" w:color="auto"/>
          <w:left w:val="single" w:sz="4" w:space="4" w:color="auto"/>
          <w:bottom w:val="single" w:sz="4" w:space="1" w:color="auto"/>
          <w:right w:val="single" w:sz="4" w:space="4" w:color="auto"/>
        </w:pBdr>
        <w:spacing w:after="0" w:line="252" w:lineRule="auto"/>
        <w:jc w:val="center"/>
        <w:rPr>
          <w:b/>
          <w:sz w:val="10"/>
          <w:szCs w:val="10"/>
        </w:rPr>
      </w:pPr>
    </w:p>
    <w:p w:rsidR="00E93794" w:rsidRDefault="00E93794" w:rsidP="0091162D">
      <w:pPr>
        <w:spacing w:after="0" w:line="252" w:lineRule="auto"/>
        <w:jc w:val="both"/>
        <w:rPr>
          <w:b/>
          <w:sz w:val="24"/>
          <w:szCs w:val="24"/>
          <w:u w:val="single"/>
        </w:rPr>
      </w:pPr>
    </w:p>
    <w:p w:rsidR="00A3432A" w:rsidRDefault="00A3432A" w:rsidP="0091162D">
      <w:pPr>
        <w:spacing w:after="0" w:line="252" w:lineRule="auto"/>
        <w:jc w:val="both"/>
        <w:rPr>
          <w:rFonts w:cs="Calibri"/>
          <w:b/>
          <w:u w:val="single"/>
        </w:rPr>
      </w:pPr>
    </w:p>
    <w:p w:rsidR="00A3432A" w:rsidRPr="00476805" w:rsidRDefault="00A3432A" w:rsidP="0091162D">
      <w:pPr>
        <w:spacing w:after="0" w:line="252" w:lineRule="auto"/>
        <w:jc w:val="both"/>
        <w:rPr>
          <w:rFonts w:cs="Calibri"/>
          <w:b/>
          <w:u w:val="single"/>
        </w:rPr>
      </w:pPr>
    </w:p>
    <w:p w:rsidR="00E93794" w:rsidRPr="00476805" w:rsidRDefault="00E93794" w:rsidP="0091162D">
      <w:pPr>
        <w:spacing w:after="0" w:line="252" w:lineRule="auto"/>
        <w:jc w:val="both"/>
        <w:rPr>
          <w:rFonts w:cs="Calibri"/>
          <w:b/>
          <w:u w:val="single"/>
        </w:rPr>
      </w:pPr>
      <w:r w:rsidRPr="00476805">
        <w:rPr>
          <w:rFonts w:cs="Calibri"/>
          <w:b/>
          <w:u w:val="single"/>
        </w:rPr>
        <w:t>ENTRE LES SOUSSIGNES :</w:t>
      </w:r>
    </w:p>
    <w:p w:rsidR="00A3432A" w:rsidRPr="00476805" w:rsidRDefault="00A3432A" w:rsidP="0091162D">
      <w:pPr>
        <w:spacing w:after="0" w:line="252" w:lineRule="auto"/>
        <w:jc w:val="both"/>
        <w:rPr>
          <w:rFonts w:cs="Calibri"/>
          <w:b/>
          <w:u w:val="single"/>
        </w:rPr>
      </w:pPr>
    </w:p>
    <w:p w:rsidR="00E93794" w:rsidRPr="00476805" w:rsidRDefault="00E93794" w:rsidP="0091162D">
      <w:pPr>
        <w:pStyle w:val="Corpsdetexte3"/>
        <w:spacing w:after="0" w:line="252" w:lineRule="auto"/>
        <w:rPr>
          <w:rFonts w:ascii="Calibri" w:hAnsi="Calibri" w:cs="Calibri"/>
          <w:sz w:val="22"/>
          <w:szCs w:val="22"/>
        </w:rPr>
      </w:pPr>
      <w:r w:rsidRPr="00476805">
        <w:rPr>
          <w:rFonts w:ascii="Calibri" w:hAnsi="Calibri" w:cs="Calibri"/>
          <w:sz w:val="22"/>
          <w:szCs w:val="22"/>
        </w:rPr>
        <w:sym w:font="Wingdings" w:char="F071"/>
      </w:r>
      <w:r w:rsidRPr="00476805">
        <w:rPr>
          <w:rFonts w:ascii="Calibri" w:hAnsi="Calibri" w:cs="Calibri"/>
          <w:sz w:val="22"/>
          <w:szCs w:val="22"/>
        </w:rPr>
        <w:t>L’UES LA BRIOCHE DOREE dont le siège social est situé 52 avenue du Canada 35200 RENNES,</w:t>
      </w:r>
    </w:p>
    <w:p w:rsidR="00E93794" w:rsidRPr="00476805" w:rsidRDefault="00E93794" w:rsidP="0091162D">
      <w:pPr>
        <w:pStyle w:val="Corpsdetexte3"/>
        <w:spacing w:after="0" w:line="252" w:lineRule="auto"/>
        <w:rPr>
          <w:rFonts w:ascii="Calibri" w:hAnsi="Calibri" w:cs="Calibri"/>
          <w:sz w:val="22"/>
          <w:szCs w:val="22"/>
        </w:rPr>
      </w:pPr>
    </w:p>
    <w:p w:rsidR="00E93794" w:rsidRPr="00476805" w:rsidRDefault="00E93794" w:rsidP="0091162D">
      <w:pPr>
        <w:spacing w:after="0" w:line="252" w:lineRule="auto"/>
        <w:jc w:val="both"/>
        <w:rPr>
          <w:rFonts w:cs="Calibri"/>
          <w:b/>
        </w:rPr>
      </w:pPr>
      <w:r w:rsidRPr="00476805">
        <w:rPr>
          <w:rFonts w:cs="Calibri"/>
          <w:b/>
        </w:rPr>
        <w:t xml:space="preserve">Représentée par </w:t>
      </w:r>
      <w:r w:rsidR="00CE3110">
        <w:rPr>
          <w:rFonts w:cs="Calibri"/>
          <w:b/>
        </w:rPr>
        <w:t>XXXXXXX</w:t>
      </w:r>
      <w:r w:rsidRPr="00476805">
        <w:rPr>
          <w:rFonts w:cs="Calibri"/>
          <w:b/>
        </w:rPr>
        <w:t>, ayant tout pouvoir à l’effet des présentes pour la conclusion du présent accord ;</w:t>
      </w:r>
    </w:p>
    <w:p w:rsidR="00E93794" w:rsidRDefault="00E93794" w:rsidP="00D85D31">
      <w:pPr>
        <w:spacing w:after="0" w:line="252" w:lineRule="auto"/>
        <w:ind w:left="7788"/>
        <w:jc w:val="right"/>
        <w:rPr>
          <w:rFonts w:cs="Calibri"/>
        </w:rPr>
      </w:pPr>
      <w:r w:rsidRPr="00476805">
        <w:rPr>
          <w:rFonts w:cs="Calibri"/>
        </w:rPr>
        <w:t>D’une part,</w:t>
      </w:r>
    </w:p>
    <w:p w:rsidR="00A3432A" w:rsidRDefault="00A3432A" w:rsidP="0091162D">
      <w:pPr>
        <w:spacing w:after="0" w:line="252" w:lineRule="auto"/>
        <w:ind w:left="7788"/>
        <w:jc w:val="both"/>
        <w:rPr>
          <w:rFonts w:cs="Calibri"/>
        </w:rPr>
      </w:pPr>
    </w:p>
    <w:p w:rsidR="00E93794" w:rsidRPr="00476805" w:rsidRDefault="00E93794" w:rsidP="0091162D">
      <w:pPr>
        <w:spacing w:after="0" w:line="252" w:lineRule="auto"/>
        <w:jc w:val="both"/>
        <w:rPr>
          <w:rFonts w:cs="Calibri"/>
          <w:b/>
          <w:u w:val="single"/>
        </w:rPr>
      </w:pPr>
      <w:r w:rsidRPr="00476805">
        <w:rPr>
          <w:rFonts w:cs="Calibri"/>
          <w:b/>
          <w:u w:val="single"/>
        </w:rPr>
        <w:t>ET,</w:t>
      </w:r>
    </w:p>
    <w:p w:rsidR="00A3432A" w:rsidRPr="00476805" w:rsidRDefault="00A3432A" w:rsidP="0091162D">
      <w:pPr>
        <w:spacing w:after="0" w:line="252" w:lineRule="auto"/>
        <w:jc w:val="both"/>
        <w:rPr>
          <w:rFonts w:cs="Calibri"/>
          <w:b/>
          <w:u w:val="single"/>
        </w:rPr>
      </w:pPr>
    </w:p>
    <w:p w:rsidR="00E93794" w:rsidRPr="00476805" w:rsidRDefault="00E93794" w:rsidP="0091162D">
      <w:pPr>
        <w:pStyle w:val="Corpsdetexte3"/>
        <w:spacing w:after="0" w:line="252" w:lineRule="auto"/>
        <w:rPr>
          <w:rFonts w:ascii="Calibri" w:hAnsi="Calibri" w:cs="Calibri"/>
          <w:sz w:val="22"/>
          <w:szCs w:val="22"/>
        </w:rPr>
      </w:pPr>
      <w:r w:rsidRPr="00476805">
        <w:rPr>
          <w:rFonts w:ascii="Calibri" w:hAnsi="Calibri" w:cs="Calibri"/>
          <w:sz w:val="22"/>
          <w:szCs w:val="22"/>
        </w:rPr>
        <w:sym w:font="Wingdings" w:char="F071"/>
      </w:r>
      <w:r w:rsidRPr="00476805">
        <w:rPr>
          <w:rFonts w:ascii="Calibri" w:hAnsi="Calibri" w:cs="Calibri"/>
          <w:sz w:val="22"/>
          <w:szCs w:val="22"/>
        </w:rPr>
        <w:t>LES ORGANISATIONS SYNDICALES</w:t>
      </w:r>
    </w:p>
    <w:p w:rsidR="00E93794" w:rsidRPr="00476805" w:rsidRDefault="00E93794" w:rsidP="0091162D">
      <w:pPr>
        <w:pStyle w:val="Corpsdetexte3"/>
        <w:spacing w:after="0" w:line="252" w:lineRule="auto"/>
        <w:rPr>
          <w:rFonts w:ascii="Calibri" w:hAnsi="Calibri" w:cs="Calibri"/>
          <w:sz w:val="22"/>
          <w:szCs w:val="22"/>
        </w:rPr>
      </w:pPr>
    </w:p>
    <w:p w:rsidR="00E93794" w:rsidRPr="00476805" w:rsidRDefault="00E93794" w:rsidP="0091162D">
      <w:pPr>
        <w:spacing w:after="0" w:line="252" w:lineRule="auto"/>
        <w:jc w:val="both"/>
        <w:rPr>
          <w:rFonts w:cs="Calibri"/>
        </w:rPr>
      </w:pPr>
      <w:r w:rsidRPr="00476805">
        <w:rPr>
          <w:rFonts w:cs="Calibri"/>
        </w:rPr>
        <w:t xml:space="preserve">La Fédération des Personnels du Commerce de la Distribution et des Services CGT représentée par </w:t>
      </w:r>
    </w:p>
    <w:p w:rsidR="00D85D31" w:rsidRDefault="00D85D31" w:rsidP="00D85D31">
      <w:pPr>
        <w:spacing w:after="0" w:line="252" w:lineRule="auto"/>
        <w:jc w:val="both"/>
        <w:rPr>
          <w:rFonts w:cs="Calibri"/>
        </w:rPr>
      </w:pPr>
    </w:p>
    <w:p w:rsidR="00D85D31" w:rsidRPr="00476805" w:rsidRDefault="00D85D31" w:rsidP="00D85D31">
      <w:pPr>
        <w:spacing w:after="0" w:line="252" w:lineRule="auto"/>
        <w:jc w:val="both"/>
        <w:rPr>
          <w:rFonts w:cs="Calibri"/>
        </w:rPr>
      </w:pPr>
      <w:r w:rsidRPr="00476805">
        <w:rPr>
          <w:rFonts w:cs="Calibri"/>
        </w:rPr>
        <w:t xml:space="preserve">La Fédération Générale des Travailleurs de l’Agriculture, de l’Alimentation et des Secteurs connexes FO représentée par </w:t>
      </w:r>
    </w:p>
    <w:p w:rsidR="00E93794" w:rsidRPr="00476805" w:rsidRDefault="00E93794" w:rsidP="0091162D">
      <w:pPr>
        <w:pStyle w:val="Corpsdetexte3"/>
        <w:spacing w:after="0" w:line="252" w:lineRule="auto"/>
        <w:rPr>
          <w:rFonts w:ascii="Calibri" w:hAnsi="Calibri" w:cs="Calibri"/>
          <w:sz w:val="22"/>
          <w:szCs w:val="22"/>
        </w:rPr>
      </w:pPr>
    </w:p>
    <w:p w:rsidR="00E93794" w:rsidRPr="00476805" w:rsidRDefault="00E93794" w:rsidP="0091162D">
      <w:pPr>
        <w:pStyle w:val="Corpsdetexte3"/>
        <w:spacing w:after="0" w:line="252" w:lineRule="auto"/>
        <w:rPr>
          <w:rFonts w:ascii="Calibri" w:hAnsi="Calibri" w:cs="Calibri"/>
          <w:sz w:val="22"/>
          <w:szCs w:val="22"/>
        </w:rPr>
      </w:pPr>
      <w:r w:rsidRPr="00476805">
        <w:rPr>
          <w:rFonts w:ascii="Calibri" w:hAnsi="Calibri" w:cs="Calibri"/>
          <w:sz w:val="22"/>
          <w:szCs w:val="22"/>
        </w:rPr>
        <w:t>La Fédération des Services CFDT r</w:t>
      </w:r>
      <w:r w:rsidR="00CE3110">
        <w:rPr>
          <w:rFonts w:ascii="Calibri" w:hAnsi="Calibri" w:cs="Calibri"/>
          <w:sz w:val="22"/>
          <w:szCs w:val="22"/>
        </w:rPr>
        <w:t xml:space="preserve">eprésentée par </w:t>
      </w:r>
    </w:p>
    <w:p w:rsidR="00E93794" w:rsidRPr="00476805" w:rsidRDefault="00E93794" w:rsidP="00D85D31">
      <w:pPr>
        <w:pStyle w:val="Corpsdetexte3"/>
        <w:spacing w:after="0" w:line="252" w:lineRule="auto"/>
        <w:ind w:left="7788"/>
        <w:jc w:val="right"/>
        <w:rPr>
          <w:rFonts w:ascii="Calibri" w:hAnsi="Calibri" w:cs="Calibri"/>
          <w:sz w:val="22"/>
          <w:szCs w:val="22"/>
        </w:rPr>
      </w:pPr>
      <w:r w:rsidRPr="00476805">
        <w:rPr>
          <w:rFonts w:ascii="Calibri" w:hAnsi="Calibri" w:cs="Calibri"/>
          <w:sz w:val="22"/>
          <w:szCs w:val="22"/>
        </w:rPr>
        <w:t>D’autre part.</w:t>
      </w:r>
    </w:p>
    <w:p w:rsidR="00A3432A" w:rsidRDefault="00A3432A" w:rsidP="0091162D">
      <w:pPr>
        <w:spacing w:after="0" w:line="252" w:lineRule="auto"/>
        <w:jc w:val="both"/>
        <w:rPr>
          <w:rFonts w:cs="Calibri"/>
          <w:b/>
          <w:u w:val="single"/>
        </w:rPr>
      </w:pPr>
    </w:p>
    <w:p w:rsidR="00D85D31" w:rsidRPr="00476805" w:rsidRDefault="00D85D31" w:rsidP="0091162D">
      <w:pPr>
        <w:spacing w:after="0" w:line="252" w:lineRule="auto"/>
        <w:jc w:val="both"/>
        <w:rPr>
          <w:rFonts w:cs="Calibri"/>
          <w:b/>
          <w:u w:val="single"/>
        </w:rPr>
      </w:pPr>
    </w:p>
    <w:p w:rsidR="00E93794" w:rsidRPr="00476805" w:rsidRDefault="00E93794" w:rsidP="00741658">
      <w:pPr>
        <w:spacing w:after="0" w:line="252" w:lineRule="auto"/>
        <w:jc w:val="center"/>
        <w:rPr>
          <w:rFonts w:cs="Calibri"/>
          <w:b/>
          <w:u w:val="single"/>
        </w:rPr>
      </w:pPr>
      <w:r w:rsidRPr="00476805">
        <w:rPr>
          <w:rFonts w:cs="Calibri"/>
          <w:b/>
          <w:u w:val="single"/>
        </w:rPr>
        <w:t>Il a été convenu</w:t>
      </w:r>
      <w:r w:rsidR="00741658">
        <w:rPr>
          <w:rFonts w:cs="Calibri"/>
          <w:b/>
          <w:u w:val="single"/>
        </w:rPr>
        <w:t xml:space="preserve"> ce qui suit :</w:t>
      </w:r>
    </w:p>
    <w:p w:rsidR="009443A5" w:rsidRDefault="009443A5" w:rsidP="00E94ED1">
      <w:pPr>
        <w:spacing w:after="0" w:line="252" w:lineRule="auto"/>
        <w:jc w:val="both"/>
        <w:rPr>
          <w:rFonts w:cs="Calibri"/>
          <w:b/>
          <w:u w:val="single"/>
        </w:rPr>
      </w:pPr>
    </w:p>
    <w:p w:rsidR="00E94ED1" w:rsidRPr="00476805" w:rsidRDefault="00E94ED1" w:rsidP="003416F7">
      <w:pPr>
        <w:pStyle w:val="Titre2"/>
      </w:pPr>
      <w:r w:rsidRPr="00476805">
        <w:t>Préambule général</w:t>
      </w:r>
    </w:p>
    <w:p w:rsidR="00E94ED1" w:rsidRPr="00476805" w:rsidRDefault="00E94ED1" w:rsidP="00E94ED1">
      <w:pPr>
        <w:spacing w:after="0" w:line="252" w:lineRule="auto"/>
        <w:jc w:val="both"/>
        <w:rPr>
          <w:rFonts w:cs="Calibri"/>
          <w:b/>
          <w:u w:val="single"/>
        </w:rPr>
      </w:pPr>
    </w:p>
    <w:p w:rsidR="00E94ED1" w:rsidRDefault="00741658" w:rsidP="00741658">
      <w:pPr>
        <w:spacing w:after="0" w:line="252" w:lineRule="auto"/>
        <w:jc w:val="both"/>
        <w:rPr>
          <w:rFonts w:cs="Calibri"/>
        </w:rPr>
      </w:pPr>
      <w:r>
        <w:rPr>
          <w:rFonts w:cs="Calibri"/>
        </w:rPr>
        <w:t>L’</w:t>
      </w:r>
      <w:r w:rsidR="00E94ED1" w:rsidRPr="00476805">
        <w:rPr>
          <w:rFonts w:cs="Calibri"/>
        </w:rPr>
        <w:t xml:space="preserve">accord </w:t>
      </w:r>
      <w:r w:rsidRPr="00741658">
        <w:rPr>
          <w:rFonts w:cs="Calibri"/>
        </w:rPr>
        <w:t xml:space="preserve">d’entreprise relatif </w:t>
      </w:r>
      <w:r>
        <w:rPr>
          <w:rFonts w:cs="Calibri"/>
        </w:rPr>
        <w:t>à</w:t>
      </w:r>
      <w:r w:rsidRPr="00741658">
        <w:rPr>
          <w:rFonts w:cs="Calibri"/>
        </w:rPr>
        <w:t xml:space="preserve"> l’égalité professionnelle entre homme et femme</w:t>
      </w:r>
      <w:r>
        <w:rPr>
          <w:rFonts w:cs="Calibri"/>
        </w:rPr>
        <w:t xml:space="preserve"> et à</w:t>
      </w:r>
      <w:r w:rsidRPr="00741658">
        <w:rPr>
          <w:rFonts w:cs="Calibri"/>
        </w:rPr>
        <w:t xml:space="preserve"> la qualité de vie au travail</w:t>
      </w:r>
      <w:r>
        <w:rPr>
          <w:rFonts w:cs="Calibri"/>
        </w:rPr>
        <w:t xml:space="preserve"> a été</w:t>
      </w:r>
      <w:r w:rsidR="00E94ED1" w:rsidRPr="00476805">
        <w:rPr>
          <w:rFonts w:cs="Calibri"/>
        </w:rPr>
        <w:t xml:space="preserve"> conclu </w:t>
      </w:r>
      <w:r>
        <w:rPr>
          <w:rFonts w:cs="Calibri"/>
        </w:rPr>
        <w:t xml:space="preserve">le 20 décembre 2016 </w:t>
      </w:r>
      <w:r w:rsidR="00E94ED1" w:rsidRPr="00476805">
        <w:rPr>
          <w:rFonts w:cs="Calibri"/>
        </w:rPr>
        <w:t>en application des articles L. 2242-8 et suivants du Code du travail</w:t>
      </w:r>
      <w:r>
        <w:rPr>
          <w:rFonts w:cs="Calibri"/>
        </w:rPr>
        <w:t>.</w:t>
      </w:r>
      <w:r w:rsidR="007E2876">
        <w:rPr>
          <w:rFonts w:cs="Calibri"/>
        </w:rPr>
        <w:t xml:space="preserve"> Il a ensuite été déposé au service des accords d’entreprise de la DIRECCTE.</w:t>
      </w:r>
    </w:p>
    <w:p w:rsidR="007E2876" w:rsidRDefault="007E2876" w:rsidP="00741658">
      <w:pPr>
        <w:spacing w:after="0" w:line="252" w:lineRule="auto"/>
        <w:jc w:val="both"/>
        <w:rPr>
          <w:rFonts w:cs="Calibri"/>
        </w:rPr>
      </w:pPr>
    </w:p>
    <w:p w:rsidR="007E2876" w:rsidRDefault="007E2876" w:rsidP="007E2876">
      <w:pPr>
        <w:spacing w:after="0" w:line="252" w:lineRule="auto"/>
        <w:jc w:val="both"/>
        <w:rPr>
          <w:rFonts w:cs="Calibri"/>
        </w:rPr>
      </w:pPr>
      <w:r>
        <w:rPr>
          <w:rFonts w:cs="Calibri"/>
        </w:rPr>
        <w:t>Par lettre recommandée avec accusé de réception en date du 9 mai 2017, la D</w:t>
      </w:r>
      <w:r w:rsidR="001D023B">
        <w:rPr>
          <w:rFonts w:cs="Calibri"/>
        </w:rPr>
        <w:t>IRECCTE</w:t>
      </w:r>
      <w:r>
        <w:rPr>
          <w:rFonts w:cs="Calibri"/>
        </w:rPr>
        <w:t xml:space="preserve"> a informé L’UES LA BRIOCHE DOREE de la non-conformité de certaines dispositions de cet accord avec les dispositions légales et a mis en demeure </w:t>
      </w:r>
      <w:r w:rsidR="00B87EA3">
        <w:rPr>
          <w:rFonts w:cs="Calibri"/>
        </w:rPr>
        <w:t>L’UES LA BRIOCHE DOREE</w:t>
      </w:r>
      <w:r w:rsidR="009469D8">
        <w:rPr>
          <w:rFonts w:cs="Calibri"/>
        </w:rPr>
        <w:t xml:space="preserve"> d</w:t>
      </w:r>
      <w:r w:rsidR="00B87EA3">
        <w:rPr>
          <w:rFonts w:cs="Calibri"/>
        </w:rPr>
        <w:t>e reprendre les négociations afin de compléter l’accord d’entreprise précité.</w:t>
      </w:r>
    </w:p>
    <w:p w:rsidR="007E2876" w:rsidRDefault="007E2876" w:rsidP="007E2876">
      <w:pPr>
        <w:spacing w:after="0" w:line="252" w:lineRule="auto"/>
        <w:jc w:val="both"/>
        <w:rPr>
          <w:rFonts w:cs="Calibri"/>
        </w:rPr>
      </w:pPr>
    </w:p>
    <w:p w:rsidR="007E2876" w:rsidRDefault="007E2876" w:rsidP="007E2876">
      <w:pPr>
        <w:spacing w:after="0" w:line="252" w:lineRule="auto"/>
        <w:jc w:val="both"/>
        <w:rPr>
          <w:rFonts w:cs="Calibri"/>
        </w:rPr>
      </w:pPr>
      <w:r>
        <w:rPr>
          <w:rFonts w:cs="Calibri"/>
        </w:rPr>
        <w:t xml:space="preserve">Le présent avenant a pour objectif </w:t>
      </w:r>
      <w:r w:rsidR="00B87EA3">
        <w:rPr>
          <w:rFonts w:cs="Calibri"/>
        </w:rPr>
        <w:t>de répondre à cette sollicitation et de mettre en conformité les dispositions contrevenantes</w:t>
      </w:r>
      <w:r w:rsidR="009469D8">
        <w:rPr>
          <w:rFonts w:cs="Calibri"/>
        </w:rPr>
        <w:t xml:space="preserve"> du chapitre 1 de l’accord </w:t>
      </w:r>
      <w:r w:rsidR="009469D8" w:rsidRPr="00741658">
        <w:rPr>
          <w:rFonts w:cs="Calibri"/>
        </w:rPr>
        <w:t xml:space="preserve">d’entreprise relatif </w:t>
      </w:r>
      <w:r w:rsidR="009469D8">
        <w:rPr>
          <w:rFonts w:cs="Calibri"/>
        </w:rPr>
        <w:t>à</w:t>
      </w:r>
      <w:r w:rsidR="009469D8" w:rsidRPr="00741658">
        <w:rPr>
          <w:rFonts w:cs="Calibri"/>
        </w:rPr>
        <w:t xml:space="preserve"> l’égalité professionnelle entre homme et femme</w:t>
      </w:r>
      <w:r w:rsidR="009469D8">
        <w:rPr>
          <w:rFonts w:cs="Calibri"/>
        </w:rPr>
        <w:t xml:space="preserve"> et à</w:t>
      </w:r>
      <w:r w:rsidR="009469D8" w:rsidRPr="00741658">
        <w:rPr>
          <w:rFonts w:cs="Calibri"/>
        </w:rPr>
        <w:t xml:space="preserve"> la qualité de vie au travail</w:t>
      </w:r>
      <w:r w:rsidR="00B87EA3">
        <w:rPr>
          <w:rFonts w:cs="Calibri"/>
        </w:rPr>
        <w:t>.</w:t>
      </w:r>
    </w:p>
    <w:p w:rsidR="00741658" w:rsidRDefault="00741658" w:rsidP="00741658">
      <w:pPr>
        <w:spacing w:after="0" w:line="252" w:lineRule="auto"/>
        <w:jc w:val="both"/>
        <w:rPr>
          <w:rFonts w:cs="Calibri"/>
        </w:rPr>
      </w:pPr>
    </w:p>
    <w:p w:rsidR="00E94ED1" w:rsidRPr="00E93794" w:rsidRDefault="004175FE" w:rsidP="00E94ED1">
      <w:pPr>
        <w:spacing w:after="0" w:line="252" w:lineRule="auto"/>
        <w:jc w:val="both"/>
        <w:rPr>
          <w:rFonts w:cs="Calibri"/>
        </w:rPr>
      </w:pPr>
      <w:r>
        <w:rPr>
          <w:rFonts w:cs="Calibri"/>
        </w:rPr>
        <w:t>L</w:t>
      </w:r>
      <w:r w:rsidR="00E94ED1" w:rsidRPr="00D85D31">
        <w:rPr>
          <w:rFonts w:cs="Calibri"/>
        </w:rPr>
        <w:t xml:space="preserve">’UES LA BRIOCHE DOREE a rencontré les organisations syndicales les </w:t>
      </w:r>
      <w:r>
        <w:rPr>
          <w:rFonts w:cs="Calibri"/>
        </w:rPr>
        <w:t>17 octobre 2017</w:t>
      </w:r>
      <w:r w:rsidR="00E94ED1" w:rsidRPr="00D85D31">
        <w:rPr>
          <w:rFonts w:cs="Calibri"/>
        </w:rPr>
        <w:t xml:space="preserve">, </w:t>
      </w:r>
      <w:r>
        <w:rPr>
          <w:rFonts w:cs="Calibri"/>
        </w:rPr>
        <w:t>26</w:t>
      </w:r>
      <w:r w:rsidR="00E94ED1" w:rsidRPr="00D85D31">
        <w:rPr>
          <w:rFonts w:cs="Calibri"/>
        </w:rPr>
        <w:t xml:space="preserve"> octobre 201</w:t>
      </w:r>
      <w:r>
        <w:rPr>
          <w:rFonts w:cs="Calibri"/>
        </w:rPr>
        <w:t>7 et 2</w:t>
      </w:r>
      <w:r w:rsidR="00E94ED1" w:rsidRPr="00D85D31">
        <w:rPr>
          <w:rFonts w:cs="Calibri"/>
        </w:rPr>
        <w:t xml:space="preserve"> </w:t>
      </w:r>
      <w:r>
        <w:rPr>
          <w:rFonts w:cs="Calibri"/>
        </w:rPr>
        <w:t>novembre 2017</w:t>
      </w:r>
      <w:r w:rsidR="00D85D31" w:rsidRPr="00D85D31">
        <w:rPr>
          <w:rFonts w:cs="Calibri"/>
        </w:rPr>
        <w:t>.</w:t>
      </w:r>
    </w:p>
    <w:p w:rsidR="00B87EA3" w:rsidRDefault="00B87EA3" w:rsidP="00E94ED1">
      <w:pPr>
        <w:spacing w:after="0" w:line="252" w:lineRule="auto"/>
        <w:jc w:val="both"/>
        <w:rPr>
          <w:rFonts w:cs="Calibri"/>
        </w:rPr>
      </w:pPr>
    </w:p>
    <w:p w:rsidR="009469D8" w:rsidRDefault="009469D8" w:rsidP="00E94ED1">
      <w:pPr>
        <w:spacing w:after="0" w:line="252" w:lineRule="auto"/>
        <w:jc w:val="both"/>
        <w:rPr>
          <w:b/>
          <w:u w:val="single"/>
        </w:rPr>
      </w:pPr>
    </w:p>
    <w:p w:rsidR="001D023B" w:rsidRDefault="001D023B" w:rsidP="009469D8">
      <w:pPr>
        <w:pStyle w:val="Titre2"/>
        <w:pBdr>
          <w:bottom w:val="none" w:sz="0" w:space="0" w:color="auto"/>
        </w:pBdr>
        <w:spacing w:after="0"/>
      </w:pPr>
    </w:p>
    <w:p w:rsidR="009469D8" w:rsidRDefault="009469D8" w:rsidP="000D3640">
      <w:pPr>
        <w:pStyle w:val="Titre2"/>
        <w:pBdr>
          <w:bottom w:val="none" w:sz="0" w:space="0" w:color="auto"/>
        </w:pBdr>
        <w:rPr>
          <w:i/>
        </w:rPr>
      </w:pPr>
    </w:p>
    <w:p w:rsidR="00E94ED1" w:rsidRPr="000D3640" w:rsidRDefault="000D3640" w:rsidP="000D3640">
      <w:pPr>
        <w:pStyle w:val="Titre2"/>
        <w:pBdr>
          <w:bottom w:val="none" w:sz="0" w:space="0" w:color="auto"/>
        </w:pBdr>
        <w:rPr>
          <w:i/>
        </w:rPr>
      </w:pPr>
      <w:r w:rsidRPr="000D3640">
        <w:rPr>
          <w:i/>
        </w:rPr>
        <w:t>ARTICLE 1 : OBJET</w:t>
      </w:r>
    </w:p>
    <w:p w:rsidR="00E94ED1" w:rsidRDefault="00E94ED1" w:rsidP="00E94ED1">
      <w:pPr>
        <w:spacing w:after="0" w:line="252" w:lineRule="auto"/>
        <w:jc w:val="both"/>
      </w:pPr>
      <w:r>
        <w:lastRenderedPageBreak/>
        <w:t xml:space="preserve">Le présent </w:t>
      </w:r>
      <w:r w:rsidR="001D023B">
        <w:t>avenant modifie et complète comme suit l’article 2 « Embauche et recrutement », l’article 4 « Formation » et l’article 5 « Rémunération – Egalité salariale »</w:t>
      </w:r>
      <w:r w:rsidR="000D3640">
        <w:t xml:space="preserve"> : </w:t>
      </w:r>
    </w:p>
    <w:p w:rsidR="000D3640" w:rsidRDefault="000D3640" w:rsidP="000D3640">
      <w:pPr>
        <w:pStyle w:val="Titre2"/>
        <w:sectPr w:rsidR="000D3640" w:rsidSect="00741658">
          <w:headerReference w:type="default" r:id="rId9"/>
          <w:footerReference w:type="default" r:id="rId10"/>
          <w:pgSz w:w="11906" w:h="16838"/>
          <w:pgMar w:top="720" w:right="720" w:bottom="720" w:left="720" w:header="708" w:footer="220" w:gutter="0"/>
          <w:cols w:space="708"/>
          <w:docGrid w:linePitch="360"/>
        </w:sectPr>
      </w:pPr>
    </w:p>
    <w:p w:rsidR="00114764" w:rsidRPr="00114764" w:rsidRDefault="00114764" w:rsidP="00114764">
      <w:pPr>
        <w:pBdr>
          <w:bottom w:val="dotDash" w:sz="4" w:space="1" w:color="auto"/>
        </w:pBdr>
        <w:ind w:left="1985" w:right="2268"/>
        <w:rPr>
          <w:lang w:eastAsia="fr-FR"/>
        </w:rPr>
      </w:pPr>
    </w:p>
    <w:p w:rsidR="00114764" w:rsidRDefault="00114764" w:rsidP="00114764">
      <w:pPr>
        <w:pStyle w:val="Titre2"/>
        <w:spacing w:after="0"/>
      </w:pPr>
    </w:p>
    <w:p w:rsidR="000D3640" w:rsidRPr="00B967CD" w:rsidRDefault="000D3640" w:rsidP="000D3640">
      <w:pPr>
        <w:pStyle w:val="Titre2"/>
      </w:pPr>
      <w:r>
        <w:t>Article 2</w:t>
      </w:r>
      <w:r w:rsidRPr="004D03DD">
        <w:t> : Embauche et recrutement</w:t>
      </w:r>
    </w:p>
    <w:p w:rsidR="000D3640" w:rsidRPr="004D03DD" w:rsidRDefault="000D3640" w:rsidP="000D3640">
      <w:pPr>
        <w:spacing w:after="0" w:line="252" w:lineRule="auto"/>
        <w:ind w:left="360"/>
        <w:jc w:val="both"/>
        <w:rPr>
          <w:b/>
          <w:u w:val="single"/>
        </w:rPr>
      </w:pPr>
      <w:r w:rsidRPr="004D03DD">
        <w:rPr>
          <w:b/>
        </w:rPr>
        <w:tab/>
      </w:r>
      <w:r>
        <w:rPr>
          <w:b/>
          <w:u w:val="single"/>
        </w:rPr>
        <w:t>2</w:t>
      </w:r>
      <w:r w:rsidRPr="004D03DD">
        <w:rPr>
          <w:b/>
          <w:u w:val="single"/>
        </w:rPr>
        <w:t>.1 Egalité dans les modes de sélection et de recrutement</w:t>
      </w:r>
    </w:p>
    <w:p w:rsidR="000D3640" w:rsidRDefault="000D3640" w:rsidP="000D3640">
      <w:pPr>
        <w:spacing w:after="0" w:line="252" w:lineRule="auto"/>
        <w:jc w:val="both"/>
      </w:pPr>
    </w:p>
    <w:p w:rsidR="000D3640" w:rsidRDefault="000D3640" w:rsidP="000D3640">
      <w:pPr>
        <w:spacing w:after="0" w:line="252" w:lineRule="auto"/>
        <w:jc w:val="both"/>
      </w:pPr>
      <w:r>
        <w:t>L’UES LA BRIOCHE DOREE rappelle son attachement au principe de parité et souhaite favoriser la mixité dans l’emploi, notamment dans les emplois les plus qualifiés.</w:t>
      </w:r>
    </w:p>
    <w:p w:rsidR="000D3640" w:rsidRDefault="000D3640" w:rsidP="000D3640">
      <w:pPr>
        <w:spacing w:after="0" w:line="252" w:lineRule="auto"/>
        <w:jc w:val="both"/>
      </w:pPr>
    </w:p>
    <w:p w:rsidR="000D3640" w:rsidRDefault="000D3640" w:rsidP="000D3640">
      <w:pPr>
        <w:spacing w:after="0" w:line="252" w:lineRule="auto"/>
        <w:jc w:val="both"/>
      </w:pPr>
      <w:r>
        <w:t>L’UES LA BRIOCHE DOREE s’engage à ce que le processus de recrutement, interne ou externe, se déroule dans les mêmes conditions pour les femmes et pour les hommes, afin que les choix ne résultent que de l’adéquation entre la qualification des candidats et les compétences requises pour l’emploi proposé.</w:t>
      </w:r>
    </w:p>
    <w:p w:rsidR="000D3640" w:rsidRDefault="000D3640" w:rsidP="000D3640">
      <w:pPr>
        <w:spacing w:after="0" w:line="252" w:lineRule="auto"/>
        <w:jc w:val="both"/>
      </w:pPr>
    </w:p>
    <w:p w:rsidR="000D3640" w:rsidRDefault="000D3640" w:rsidP="000D3640">
      <w:pPr>
        <w:spacing w:after="0" w:line="252" w:lineRule="auto"/>
        <w:jc w:val="both"/>
      </w:pPr>
      <w:r>
        <w:t xml:space="preserve">A cet effet, les offres d’emploi internes ou externes sont rédigées de manière à ce qu’elles s’adressent indifféremment aux femmes et aux hommes. </w:t>
      </w:r>
    </w:p>
    <w:p w:rsidR="000D3640" w:rsidRDefault="000D3640" w:rsidP="000D3640">
      <w:pPr>
        <w:spacing w:after="0" w:line="252" w:lineRule="auto"/>
        <w:jc w:val="both"/>
      </w:pPr>
    </w:p>
    <w:p w:rsidR="000D3640" w:rsidRDefault="000D3640" w:rsidP="000D3640">
      <w:pPr>
        <w:spacing w:after="0" w:line="252" w:lineRule="auto"/>
        <w:ind w:left="360"/>
        <w:jc w:val="both"/>
        <w:rPr>
          <w:b/>
          <w:u w:val="single"/>
        </w:rPr>
      </w:pPr>
      <w:r>
        <w:tab/>
      </w:r>
      <w:r>
        <w:rPr>
          <w:b/>
          <w:u w:val="single"/>
        </w:rPr>
        <w:t>2</w:t>
      </w:r>
      <w:r w:rsidRPr="004D03DD">
        <w:rPr>
          <w:b/>
          <w:u w:val="single"/>
        </w:rPr>
        <w:t>.2 Mixité des filières les plus évolutives</w:t>
      </w:r>
    </w:p>
    <w:p w:rsidR="000D3640" w:rsidRPr="004D03DD" w:rsidRDefault="000D3640" w:rsidP="000D3640">
      <w:pPr>
        <w:spacing w:after="0" w:line="252" w:lineRule="auto"/>
        <w:ind w:left="360"/>
        <w:jc w:val="both"/>
        <w:rPr>
          <w:b/>
          <w:u w:val="single"/>
        </w:rPr>
      </w:pPr>
    </w:p>
    <w:p w:rsidR="000D3640" w:rsidRDefault="000D3640" w:rsidP="000D3640">
      <w:pPr>
        <w:spacing w:after="0" w:line="252" w:lineRule="auto"/>
        <w:jc w:val="both"/>
      </w:pPr>
      <w:r>
        <w:t>Les parties conviennent qu’il n’y a pas de métiers spécifiquement féminins ou masculins.</w:t>
      </w:r>
    </w:p>
    <w:p w:rsidR="000D3640" w:rsidRDefault="000D3640" w:rsidP="000D3640">
      <w:pPr>
        <w:spacing w:after="0" w:line="252" w:lineRule="auto"/>
        <w:jc w:val="both"/>
      </w:pPr>
    </w:p>
    <w:p w:rsidR="000D3640" w:rsidRDefault="000D3640" w:rsidP="000D3640">
      <w:pPr>
        <w:spacing w:after="0" w:line="252" w:lineRule="auto"/>
        <w:jc w:val="both"/>
      </w:pPr>
      <w:r>
        <w:t>L’UES LA BRIOCHE DOREE a conscience que les inégalités professionnelles entre hommes et femmes, s’agissant des postes à responsabilité, résultent en grande partie de représentations socioculturelles qui conduisent encore les femmes et les hommes vers certains types de métiers.</w:t>
      </w:r>
    </w:p>
    <w:p w:rsidR="000D3640" w:rsidRDefault="000D3640" w:rsidP="000D3640">
      <w:pPr>
        <w:spacing w:after="0" w:line="252" w:lineRule="auto"/>
        <w:jc w:val="both"/>
      </w:pPr>
    </w:p>
    <w:p w:rsidR="000D3640" w:rsidRDefault="000D3640" w:rsidP="000D3640">
      <w:pPr>
        <w:spacing w:after="0" w:line="252" w:lineRule="auto"/>
        <w:jc w:val="both"/>
      </w:pPr>
      <w:r>
        <w:t xml:space="preserve">Seule une politique générale de fond, s’inscrivant dans la durée, permettra de conduire à des évolutions. </w:t>
      </w:r>
    </w:p>
    <w:p w:rsidR="000D3640" w:rsidRDefault="000D3640" w:rsidP="000D3640">
      <w:pPr>
        <w:spacing w:after="0" w:line="252" w:lineRule="auto"/>
        <w:jc w:val="both"/>
      </w:pPr>
      <w:r>
        <w:t>Aussi, une attention particulière sera portée à l’équilibre des recrutements entre les femmes et les hommes dans l’entreprise concernant ces postes.</w:t>
      </w:r>
    </w:p>
    <w:p w:rsidR="000D3640" w:rsidRDefault="000D3640" w:rsidP="000D3640">
      <w:pPr>
        <w:spacing w:after="0" w:line="252" w:lineRule="auto"/>
        <w:jc w:val="both"/>
      </w:pPr>
    </w:p>
    <w:p w:rsidR="000D3640" w:rsidRDefault="000D3640" w:rsidP="000D3640">
      <w:pPr>
        <w:spacing w:after="0" w:line="252" w:lineRule="auto"/>
        <w:jc w:val="both"/>
      </w:pPr>
      <w:r>
        <w:t>L’UES LA BRIOCHE DOREE mesurera désormais le rapport hommes/femmes entre le nombre de candidatures reçues relatives à des postes d’encadrement et le nombre de recrutements réalisés sur ces postes, dans le respect des critères d’embauche de l’entreprise (compétence, expérience, niveau de diplôme…).</w:t>
      </w:r>
    </w:p>
    <w:p w:rsidR="000D3640" w:rsidRDefault="000D3640" w:rsidP="000D3640">
      <w:pPr>
        <w:spacing w:after="0" w:line="252" w:lineRule="auto"/>
        <w:jc w:val="both"/>
      </w:pPr>
    </w:p>
    <w:p w:rsidR="000D3640" w:rsidRPr="00291D5C" w:rsidRDefault="000D3640" w:rsidP="000D3640">
      <w:pPr>
        <w:spacing w:after="0" w:line="252" w:lineRule="auto"/>
        <w:ind w:left="708"/>
        <w:jc w:val="both"/>
        <w:rPr>
          <w:i/>
        </w:rPr>
      </w:pPr>
      <w:r w:rsidRPr="00291D5C">
        <w:rPr>
          <w:i/>
          <w:u w:val="single"/>
        </w:rPr>
        <w:t>Objectif chiffré</w:t>
      </w:r>
      <w:r w:rsidRPr="00291D5C">
        <w:rPr>
          <w:i/>
        </w:rPr>
        <w:t> : augmentation</w:t>
      </w:r>
      <w:r>
        <w:rPr>
          <w:i/>
        </w:rPr>
        <w:t>, au terme de la durée de l’accord,</w:t>
      </w:r>
      <w:r w:rsidRPr="00291D5C">
        <w:rPr>
          <w:i/>
        </w:rPr>
        <w:t xml:space="preserve"> de 1% de la proportion de femmes sur les postes d’encadrement</w:t>
      </w:r>
    </w:p>
    <w:p w:rsidR="000D3640" w:rsidRDefault="000D3640" w:rsidP="000D3640">
      <w:pPr>
        <w:spacing w:after="0" w:line="252" w:lineRule="auto"/>
        <w:ind w:left="708"/>
        <w:jc w:val="both"/>
        <w:rPr>
          <w:i/>
        </w:rPr>
      </w:pPr>
      <w:r w:rsidRPr="00291D5C">
        <w:rPr>
          <w:i/>
          <w:u w:val="single"/>
        </w:rPr>
        <w:t>Indicateur</w:t>
      </w:r>
      <w:r w:rsidRPr="00291D5C">
        <w:rPr>
          <w:i/>
        </w:rPr>
        <w:t> : pourcentage de femmes occupant des postes d’encadrement</w:t>
      </w:r>
      <w:r>
        <w:rPr>
          <w:i/>
        </w:rPr>
        <w:t xml:space="preserve"> à l’issue de l’accord</w:t>
      </w:r>
      <w:r w:rsidRPr="00291D5C">
        <w:rPr>
          <w:i/>
        </w:rPr>
        <w:t xml:space="preserve"> par rapport au nombre total de femmes</w:t>
      </w:r>
      <w:r>
        <w:rPr>
          <w:i/>
        </w:rPr>
        <w:t xml:space="preserve"> occupant des postes d’encadrement au 1</w:t>
      </w:r>
      <w:r w:rsidRPr="00B967CD">
        <w:rPr>
          <w:i/>
          <w:vertAlign w:val="superscript"/>
        </w:rPr>
        <w:t>er</w:t>
      </w:r>
      <w:r>
        <w:rPr>
          <w:i/>
        </w:rPr>
        <w:t xml:space="preserve"> janvier 2017.</w:t>
      </w:r>
    </w:p>
    <w:p w:rsidR="00A3432A" w:rsidRDefault="00A3432A" w:rsidP="00E94ED1">
      <w:pPr>
        <w:spacing w:after="0" w:line="252" w:lineRule="auto"/>
        <w:jc w:val="both"/>
        <w:rPr>
          <w:b/>
          <w:u w:val="single"/>
        </w:rPr>
      </w:pPr>
    </w:p>
    <w:p w:rsidR="00C77C88" w:rsidRPr="00C77C88" w:rsidRDefault="00C77C88" w:rsidP="00E94ED1">
      <w:pPr>
        <w:spacing w:after="0" w:line="252" w:lineRule="auto"/>
        <w:jc w:val="both"/>
      </w:pPr>
      <w:r w:rsidRPr="00AF23A2">
        <w:t xml:space="preserve">Un </w:t>
      </w:r>
      <w:r w:rsidR="00FE77EE" w:rsidRPr="00AF23A2">
        <w:t>bilan</w:t>
      </w:r>
      <w:r w:rsidRPr="00AF23A2">
        <w:t xml:space="preserve"> intermédiaire</w:t>
      </w:r>
      <w:r w:rsidR="00D55452" w:rsidRPr="00AF23A2">
        <w:t xml:space="preserve"> annuel </w:t>
      </w:r>
      <w:r w:rsidRPr="00AF23A2">
        <w:t xml:space="preserve">sera </w:t>
      </w:r>
      <w:r w:rsidR="00D55452" w:rsidRPr="00AF23A2">
        <w:t xml:space="preserve">établi et présenté au Comité d’entreprise de </w:t>
      </w:r>
      <w:r w:rsidR="00FE77EE" w:rsidRPr="00AF23A2">
        <w:t>juin</w:t>
      </w:r>
      <w:r w:rsidR="00D55452" w:rsidRPr="00AF23A2">
        <w:t xml:space="preserve"> de l’année n+1</w:t>
      </w:r>
      <w:r w:rsidR="00FE77EE" w:rsidRPr="00AF23A2">
        <w:t xml:space="preserve"> (au moment de la consultation relative au bilan social)</w:t>
      </w:r>
      <w:r w:rsidR="00D55452" w:rsidRPr="00AF23A2">
        <w:t>.</w:t>
      </w:r>
    </w:p>
    <w:p w:rsidR="000D3640" w:rsidRDefault="000D3640" w:rsidP="00E94ED1">
      <w:pPr>
        <w:spacing w:after="0" w:line="252" w:lineRule="auto"/>
        <w:jc w:val="both"/>
        <w:rPr>
          <w:b/>
          <w:u w:val="single"/>
        </w:rPr>
      </w:pPr>
    </w:p>
    <w:p w:rsidR="000D3640" w:rsidRDefault="000D3640" w:rsidP="000D3640">
      <w:pPr>
        <w:pStyle w:val="Titre2"/>
      </w:pPr>
      <w:r>
        <w:t>Article 4</w:t>
      </w:r>
      <w:r w:rsidRPr="008F749E">
        <w:t> : Formation</w:t>
      </w:r>
    </w:p>
    <w:p w:rsidR="000D3640" w:rsidRDefault="000D3640" w:rsidP="000D3640">
      <w:pPr>
        <w:spacing w:after="0" w:line="252" w:lineRule="auto"/>
        <w:jc w:val="both"/>
      </w:pPr>
      <w:r>
        <w:t>L’UES LA BRIOCHE DOREE reconnaît que la formation professionnelle est essentielle pour permettre aux femmes tout autant que les hommes d’évoluer sur les postes les plus qualifiés.</w:t>
      </w:r>
    </w:p>
    <w:p w:rsidR="000D3640" w:rsidRDefault="000D3640" w:rsidP="000D3640">
      <w:pPr>
        <w:spacing w:after="0" w:line="252" w:lineRule="auto"/>
        <w:jc w:val="both"/>
      </w:pPr>
    </w:p>
    <w:p w:rsidR="000D3640" w:rsidRDefault="000D3640" w:rsidP="000D3640">
      <w:pPr>
        <w:spacing w:after="0" w:line="252" w:lineRule="auto"/>
        <w:jc w:val="both"/>
      </w:pPr>
      <w:r>
        <w:lastRenderedPageBreak/>
        <w:t xml:space="preserve">Ceci étant, l’UES LA BRIOCHE DOREE constate que les femmes restent plus exposées que les hommes à des contraintes familiales de nature à gêner leur accès effectif à la formation lorsque celle-ci implique des déplacements éloignés de leur domicile. </w:t>
      </w:r>
    </w:p>
    <w:p w:rsidR="000D3640" w:rsidRDefault="000D3640" w:rsidP="000D3640">
      <w:pPr>
        <w:spacing w:after="0" w:line="252" w:lineRule="auto"/>
        <w:jc w:val="both"/>
      </w:pPr>
    </w:p>
    <w:p w:rsidR="000D3640" w:rsidRDefault="000D3640" w:rsidP="000D3640">
      <w:pPr>
        <w:spacing w:after="0" w:line="252" w:lineRule="auto"/>
        <w:jc w:val="both"/>
      </w:pPr>
      <w:r>
        <w:t>L’entreprise garantit l’égalité d’accès des femmes et des hommes à la formation professionnelle, quel que soit le type de formation.</w:t>
      </w:r>
    </w:p>
    <w:p w:rsidR="000D3640" w:rsidRDefault="000D3640" w:rsidP="000D3640">
      <w:pPr>
        <w:spacing w:after="0" w:line="252" w:lineRule="auto"/>
        <w:jc w:val="both"/>
      </w:pPr>
    </w:p>
    <w:p w:rsidR="000D3640" w:rsidRDefault="000D3640" w:rsidP="000D3640">
      <w:pPr>
        <w:spacing w:after="0" w:line="252" w:lineRule="auto"/>
        <w:jc w:val="both"/>
      </w:pPr>
      <w:r>
        <w:t>Par la formation, l’entreprise veille à maintenir les conditions d’une bonne polyvalence permettant l’accès des femmes au plus grand nombre de postes et en particulier à des postes qualifiants.</w:t>
      </w:r>
    </w:p>
    <w:p w:rsidR="000D3640" w:rsidRDefault="000D3640" w:rsidP="000D3640">
      <w:pPr>
        <w:spacing w:after="0" w:line="252" w:lineRule="auto"/>
        <w:jc w:val="both"/>
      </w:pPr>
    </w:p>
    <w:p w:rsidR="000D3640" w:rsidRDefault="000D3640" w:rsidP="000D3640">
      <w:pPr>
        <w:spacing w:after="0" w:line="252" w:lineRule="auto"/>
        <w:jc w:val="both"/>
      </w:pPr>
      <w:r>
        <w:t xml:space="preserve">L’entreprise s’attache à prendre en compte, dans la mesure du possible, les contraintes liées à la vie familiale qui peuvent entraîner des difficultés pour les salariés amenés à suivre une action de formation nécessitant de s’absenter de leur domicile pour un ou plusieurs jours. </w:t>
      </w:r>
    </w:p>
    <w:p w:rsidR="000D3640" w:rsidRDefault="000D3640" w:rsidP="000D3640">
      <w:pPr>
        <w:spacing w:after="0" w:line="252" w:lineRule="auto"/>
        <w:jc w:val="both"/>
      </w:pPr>
    </w:p>
    <w:p w:rsidR="000D3640" w:rsidRPr="00E73AA1" w:rsidRDefault="000D3640" w:rsidP="000D3640">
      <w:pPr>
        <w:spacing w:after="0" w:line="252" w:lineRule="auto"/>
        <w:jc w:val="both"/>
      </w:pPr>
      <w:r w:rsidRPr="00584DD6">
        <w:t>A ce titre, l’entreprise a créé des modules de formations accessibles en e-learning pour l’ensemble des restaurants. L’UES LA BRIOCHE DOREE s’engage à développer ce type de formation permettant l’accès de tous à la formation continue.</w:t>
      </w:r>
    </w:p>
    <w:p w:rsidR="000D3640" w:rsidRDefault="000D3640" w:rsidP="000D3640">
      <w:pPr>
        <w:spacing w:after="0" w:line="252" w:lineRule="auto"/>
        <w:jc w:val="both"/>
      </w:pPr>
    </w:p>
    <w:p w:rsidR="000D3640" w:rsidRDefault="000D3640" w:rsidP="000D3640">
      <w:pPr>
        <w:spacing w:after="0" w:line="252" w:lineRule="auto"/>
        <w:jc w:val="both"/>
      </w:pPr>
    </w:p>
    <w:p w:rsidR="000D3640" w:rsidRDefault="000D3640" w:rsidP="000D3640">
      <w:pPr>
        <w:spacing w:after="0" w:line="252" w:lineRule="auto"/>
        <w:jc w:val="both"/>
      </w:pPr>
      <w:r>
        <w:t>Pour ce thème, l’objectif de progression est le suivant :</w:t>
      </w:r>
    </w:p>
    <w:p w:rsidR="000D3640" w:rsidRDefault="000D3640" w:rsidP="000D3640">
      <w:pPr>
        <w:spacing w:after="0" w:line="252" w:lineRule="auto"/>
        <w:jc w:val="both"/>
      </w:pPr>
    </w:p>
    <w:p w:rsidR="000D3640" w:rsidRPr="006659F8" w:rsidRDefault="000D3640" w:rsidP="000D3640">
      <w:pPr>
        <w:spacing w:after="0" w:line="252" w:lineRule="auto"/>
        <w:ind w:left="708"/>
        <w:jc w:val="both"/>
        <w:rPr>
          <w:i/>
        </w:rPr>
      </w:pPr>
      <w:r w:rsidRPr="006659F8">
        <w:rPr>
          <w:i/>
          <w:u w:val="single"/>
        </w:rPr>
        <w:t>Objectif chiffré</w:t>
      </w:r>
      <w:r w:rsidRPr="006659F8">
        <w:rPr>
          <w:i/>
        </w:rPr>
        <w:t> : augmentation</w:t>
      </w:r>
      <w:r>
        <w:rPr>
          <w:i/>
        </w:rPr>
        <w:t>, au terme de la durée de l’accord,</w:t>
      </w:r>
      <w:r w:rsidRPr="006659F8">
        <w:rPr>
          <w:i/>
        </w:rPr>
        <w:t xml:space="preserve"> de 5% du nombre de formations dispensées aux femmes</w:t>
      </w:r>
      <w:r w:rsidR="00FB5C66">
        <w:rPr>
          <w:i/>
        </w:rPr>
        <w:t xml:space="preserve"> </w:t>
      </w:r>
      <w:r w:rsidR="00FB5C66" w:rsidRPr="00AF23A2">
        <w:rPr>
          <w:i/>
        </w:rPr>
        <w:t>qu’il s’agisse de formations présentielles ou en e-learning.</w:t>
      </w:r>
    </w:p>
    <w:p w:rsidR="000D3640" w:rsidRDefault="000D3640" w:rsidP="000D3640">
      <w:pPr>
        <w:spacing w:after="0" w:line="252" w:lineRule="auto"/>
        <w:ind w:left="708"/>
        <w:jc w:val="both"/>
        <w:rPr>
          <w:i/>
        </w:rPr>
      </w:pPr>
      <w:r w:rsidRPr="006659F8">
        <w:rPr>
          <w:i/>
          <w:u w:val="single"/>
        </w:rPr>
        <w:t>Indicateur</w:t>
      </w:r>
      <w:r w:rsidRPr="006659F8">
        <w:rPr>
          <w:i/>
        </w:rPr>
        <w:t> : pourcentage de femmes formées par rapport au nombre total de</w:t>
      </w:r>
      <w:r>
        <w:rPr>
          <w:i/>
        </w:rPr>
        <w:t xml:space="preserve"> personnes formées</w:t>
      </w:r>
    </w:p>
    <w:p w:rsidR="000D3640" w:rsidRDefault="000D3640" w:rsidP="000D3640">
      <w:pPr>
        <w:spacing w:after="0" w:line="252" w:lineRule="auto"/>
        <w:jc w:val="both"/>
        <w:rPr>
          <w:i/>
        </w:rPr>
      </w:pPr>
    </w:p>
    <w:p w:rsidR="00FE77EE" w:rsidRDefault="00FE77EE" w:rsidP="00FE77EE">
      <w:pPr>
        <w:spacing w:after="0" w:line="252" w:lineRule="auto"/>
        <w:jc w:val="both"/>
        <w:rPr>
          <w:i/>
        </w:rPr>
      </w:pPr>
      <w:r w:rsidRPr="00AF23A2">
        <w:t>Un bilan intermédiaire annuel sera établi et présenté au Comité d’entreprise de juin de l’année n+1</w:t>
      </w:r>
    </w:p>
    <w:p w:rsidR="000D3640" w:rsidRPr="006659F8" w:rsidRDefault="000D3640" w:rsidP="000D3640">
      <w:pPr>
        <w:spacing w:after="0" w:line="252" w:lineRule="auto"/>
        <w:jc w:val="both"/>
        <w:rPr>
          <w:i/>
        </w:rPr>
      </w:pPr>
    </w:p>
    <w:p w:rsidR="000D3640" w:rsidRPr="009469D8" w:rsidRDefault="000D3640" w:rsidP="009469D8">
      <w:pPr>
        <w:pStyle w:val="Titre2"/>
      </w:pPr>
      <w:r>
        <w:t>Article 5</w:t>
      </w:r>
      <w:r w:rsidRPr="008F749E">
        <w:t> : Rémunération</w:t>
      </w:r>
      <w:r>
        <w:t xml:space="preserve"> – Egalité salariale</w:t>
      </w:r>
      <w:r w:rsidRPr="008F749E">
        <w:t xml:space="preserve"> </w:t>
      </w:r>
    </w:p>
    <w:p w:rsidR="000D3640" w:rsidRDefault="000D3640" w:rsidP="000D3640">
      <w:pPr>
        <w:spacing w:after="0" w:line="252" w:lineRule="auto"/>
        <w:jc w:val="both"/>
      </w:pPr>
      <w:r>
        <w:t>Les parties rappellent que le principe d’égalité de rémunération entre les femmes et les hommes pour un même niveau de responsabilité, de compétences, de résultats, constitue l’un des fondements de l’égalité professionnelle.</w:t>
      </w:r>
    </w:p>
    <w:p w:rsidR="000D3640" w:rsidRDefault="000D3640" w:rsidP="000D3640">
      <w:pPr>
        <w:spacing w:after="0" w:line="252" w:lineRule="auto"/>
        <w:jc w:val="both"/>
      </w:pPr>
    </w:p>
    <w:p w:rsidR="000D3640" w:rsidRDefault="000D3640" w:rsidP="000D3640">
      <w:pPr>
        <w:spacing w:after="0" w:line="252" w:lineRule="auto"/>
        <w:jc w:val="both"/>
      </w:pPr>
      <w:r w:rsidRPr="0028137D">
        <w:t xml:space="preserve">Les parties constatent qu’il existe un faible écart de rémunération entre les hommes et les femmes au sein de l’UES LA BRIOCHE DOREE. Ce faible écart </w:t>
      </w:r>
      <w:r w:rsidRPr="00AF23A2">
        <w:t>s’explique</w:t>
      </w:r>
      <w:r w:rsidR="00350B15" w:rsidRPr="00AF23A2">
        <w:t xml:space="preserve"> notamment</w:t>
      </w:r>
      <w:r w:rsidRPr="00AF23A2">
        <w:t xml:space="preserve"> par</w:t>
      </w:r>
      <w:r w:rsidRPr="0028137D">
        <w:t xml:space="preserve"> la rémunération de certains salariés lors de la reprise de fonds de commerce.</w:t>
      </w:r>
    </w:p>
    <w:p w:rsidR="00350B15" w:rsidRDefault="00350B15" w:rsidP="000D3640">
      <w:pPr>
        <w:spacing w:after="0" w:line="252" w:lineRule="auto"/>
        <w:jc w:val="both"/>
      </w:pPr>
    </w:p>
    <w:p w:rsidR="00350B15" w:rsidRPr="00AF23A2" w:rsidRDefault="00350B15" w:rsidP="000D3640">
      <w:pPr>
        <w:spacing w:after="0" w:line="252" w:lineRule="auto"/>
        <w:jc w:val="both"/>
      </w:pPr>
      <w:r w:rsidRPr="00AF23A2">
        <w:t xml:space="preserve">Néanmoins, il a été constaté pour </w:t>
      </w:r>
      <w:r w:rsidR="002622F7" w:rsidRPr="00AF23A2">
        <w:t>deux</w:t>
      </w:r>
      <w:r w:rsidRPr="00AF23A2">
        <w:t xml:space="preserve"> catégories </w:t>
      </w:r>
      <w:r w:rsidR="002622F7" w:rsidRPr="00AF23A2">
        <w:t xml:space="preserve">professionnelles un écart pour lequel une action va être menée. En effet, les femmes occupant des postes classés au niveau III – échelon 3 et au niveau IV – échelon 4 de la grille de classification applicable au sein de l’UES LA BRIOCHE DOREE perçoivent un salaire moyen </w:t>
      </w:r>
      <w:r w:rsidR="009469D8" w:rsidRPr="00AF23A2">
        <w:t>légèrement inférieur à celui des hommes occupant des postes identiquement classés.</w:t>
      </w:r>
    </w:p>
    <w:p w:rsidR="000D3640" w:rsidRPr="00AF23A2" w:rsidRDefault="000D3640" w:rsidP="00E94ED1">
      <w:pPr>
        <w:spacing w:after="0" w:line="252" w:lineRule="auto"/>
        <w:jc w:val="both"/>
        <w:rPr>
          <w:b/>
          <w:u w:val="single"/>
        </w:rPr>
      </w:pPr>
    </w:p>
    <w:p w:rsidR="00265969" w:rsidRPr="00AF23A2" w:rsidRDefault="00265969" w:rsidP="00265969">
      <w:pPr>
        <w:spacing w:after="0" w:line="252" w:lineRule="auto"/>
        <w:jc w:val="both"/>
      </w:pPr>
      <w:r w:rsidRPr="00AF23A2">
        <w:t>Pour ce thème, l’objectif de progression est le suivant :</w:t>
      </w:r>
    </w:p>
    <w:p w:rsidR="00265969" w:rsidRPr="00AF23A2" w:rsidRDefault="00265969" w:rsidP="00265969">
      <w:pPr>
        <w:spacing w:after="0" w:line="252" w:lineRule="auto"/>
        <w:jc w:val="both"/>
      </w:pPr>
    </w:p>
    <w:p w:rsidR="00265969" w:rsidRPr="00AF23A2" w:rsidRDefault="00265969" w:rsidP="00265969">
      <w:pPr>
        <w:spacing w:after="0" w:line="252" w:lineRule="auto"/>
        <w:ind w:left="708"/>
        <w:jc w:val="both"/>
        <w:rPr>
          <w:i/>
        </w:rPr>
      </w:pPr>
      <w:r w:rsidRPr="00AF23A2">
        <w:rPr>
          <w:i/>
          <w:u w:val="single"/>
        </w:rPr>
        <w:t>Objectif chiffré</w:t>
      </w:r>
      <w:r w:rsidRPr="00AF23A2">
        <w:rPr>
          <w:i/>
        </w:rPr>
        <w:t xml:space="preserve"> : réduction, au terme de la durée de l’accord, de </w:t>
      </w:r>
      <w:r w:rsidR="00AF23A2" w:rsidRPr="00AF23A2">
        <w:rPr>
          <w:i/>
        </w:rPr>
        <w:t>5</w:t>
      </w:r>
      <w:r w:rsidRPr="00AF23A2">
        <w:rPr>
          <w:i/>
        </w:rPr>
        <w:t>0 % de l’écart moyen constaté sur les rémunérations perçues par les femmes classées au niveau III - échelon 3 et au niveau IV - échelon 4.</w:t>
      </w:r>
    </w:p>
    <w:p w:rsidR="00350B15" w:rsidRPr="00AF23A2" w:rsidRDefault="00265969" w:rsidP="009469D8">
      <w:pPr>
        <w:spacing w:after="0" w:line="252" w:lineRule="auto"/>
        <w:ind w:left="708"/>
        <w:jc w:val="both"/>
        <w:rPr>
          <w:i/>
        </w:rPr>
      </w:pPr>
      <w:r w:rsidRPr="00AF23A2">
        <w:rPr>
          <w:i/>
          <w:u w:val="single"/>
        </w:rPr>
        <w:t>Indicateur</w:t>
      </w:r>
      <w:r w:rsidRPr="00AF23A2">
        <w:rPr>
          <w:i/>
        </w:rPr>
        <w:t> :</w:t>
      </w:r>
      <w:r w:rsidR="002622F7" w:rsidRPr="00AF23A2">
        <w:rPr>
          <w:i/>
        </w:rPr>
        <w:t xml:space="preserve"> rémunération minimale, maximale et moyenne par catégorie professionnelle et par sexe au terme de l’accord</w:t>
      </w:r>
      <w:r w:rsidR="00C74AD4" w:rsidRPr="00AF23A2">
        <w:rPr>
          <w:i/>
        </w:rPr>
        <w:t xml:space="preserve"> par rapport à celle perçue au 31 décembre 2016.</w:t>
      </w:r>
    </w:p>
    <w:p w:rsidR="009469D8" w:rsidRPr="00AF23A2" w:rsidRDefault="009469D8" w:rsidP="009469D8">
      <w:pPr>
        <w:spacing w:after="0" w:line="252" w:lineRule="auto"/>
        <w:jc w:val="both"/>
      </w:pPr>
    </w:p>
    <w:p w:rsidR="002622F7" w:rsidRPr="009469D8" w:rsidRDefault="00FE77EE" w:rsidP="00FE77EE">
      <w:pPr>
        <w:spacing w:after="0" w:line="252" w:lineRule="auto"/>
        <w:jc w:val="both"/>
        <w:rPr>
          <w:sz w:val="10"/>
          <w:szCs w:val="10"/>
        </w:rPr>
      </w:pPr>
      <w:r w:rsidRPr="00AF23A2">
        <w:lastRenderedPageBreak/>
        <w:t>Un bilan intermédiaire annuel sera établi et présenté au Comité d’entreprise de juin de l’année n+1</w:t>
      </w:r>
    </w:p>
    <w:p w:rsidR="00FE77EE" w:rsidRDefault="00FE77EE" w:rsidP="00350B15">
      <w:pPr>
        <w:spacing w:after="0" w:line="252" w:lineRule="auto"/>
        <w:jc w:val="both"/>
      </w:pPr>
    </w:p>
    <w:p w:rsidR="00350B15" w:rsidRDefault="009469D8" w:rsidP="00350B15">
      <w:pPr>
        <w:spacing w:after="0" w:line="252" w:lineRule="auto"/>
        <w:jc w:val="both"/>
      </w:pPr>
      <w:r>
        <w:t>Par ailleurs</w:t>
      </w:r>
      <w:r w:rsidR="00350B15" w:rsidRPr="0028137D">
        <w:t>, l’UES LA BRIOCHE DOREE s’engage à maintenir un niveau de salaire à l’embauche équivalent entre les hommes et les femmes, fondé uniquement sur le niveau de formation, d’expériences et de compétence requis pour le poste.</w:t>
      </w:r>
    </w:p>
    <w:p w:rsidR="000D3640" w:rsidRDefault="000D3640" w:rsidP="00E94ED1">
      <w:pPr>
        <w:spacing w:after="0" w:line="252" w:lineRule="auto"/>
        <w:jc w:val="both"/>
        <w:rPr>
          <w:b/>
          <w:u w:val="single"/>
        </w:rPr>
      </w:pPr>
    </w:p>
    <w:p w:rsidR="00265969" w:rsidRDefault="00265969" w:rsidP="00E94ED1">
      <w:pPr>
        <w:spacing w:after="0" w:line="252" w:lineRule="auto"/>
        <w:jc w:val="both"/>
        <w:rPr>
          <w:b/>
          <w:u w:val="single"/>
        </w:rPr>
      </w:pPr>
    </w:p>
    <w:p w:rsidR="00265969" w:rsidRDefault="00265969" w:rsidP="00E94ED1">
      <w:pPr>
        <w:spacing w:after="0" w:line="252" w:lineRule="auto"/>
        <w:jc w:val="both"/>
        <w:rPr>
          <w:b/>
          <w:u w:val="single"/>
        </w:rPr>
        <w:sectPr w:rsidR="00265969" w:rsidSect="000D3640">
          <w:footerReference w:type="default" r:id="rId11"/>
          <w:type w:val="continuous"/>
          <w:pgSz w:w="11906" w:h="16838"/>
          <w:pgMar w:top="720" w:right="1558" w:bottom="720" w:left="1276" w:header="708" w:footer="220" w:gutter="0"/>
          <w:cols w:space="708"/>
          <w:docGrid w:linePitch="360"/>
        </w:sectPr>
      </w:pPr>
    </w:p>
    <w:p w:rsidR="00E94ED1" w:rsidRPr="00114764" w:rsidRDefault="00E94ED1" w:rsidP="000D3640">
      <w:pPr>
        <w:pBdr>
          <w:bottom w:val="dotDash" w:sz="4" w:space="1" w:color="auto"/>
        </w:pBdr>
        <w:spacing w:after="0" w:line="252" w:lineRule="auto"/>
        <w:ind w:left="2268" w:right="3095"/>
        <w:jc w:val="both"/>
        <w:rPr>
          <w:rStyle w:val="Accentuation"/>
        </w:rPr>
      </w:pPr>
    </w:p>
    <w:p w:rsidR="00A3432A" w:rsidRDefault="00A3432A" w:rsidP="00E94ED1">
      <w:pPr>
        <w:spacing w:after="0" w:line="252" w:lineRule="auto"/>
        <w:jc w:val="both"/>
      </w:pPr>
    </w:p>
    <w:p w:rsidR="009469D8" w:rsidRPr="000D3640" w:rsidRDefault="009469D8" w:rsidP="009469D8">
      <w:pPr>
        <w:pStyle w:val="Titre2"/>
        <w:pBdr>
          <w:bottom w:val="none" w:sz="0" w:space="0" w:color="auto"/>
        </w:pBdr>
        <w:rPr>
          <w:i/>
        </w:rPr>
      </w:pPr>
      <w:r w:rsidRPr="000D3640">
        <w:rPr>
          <w:i/>
        </w:rPr>
        <w:t>ARTI</w:t>
      </w:r>
      <w:r>
        <w:rPr>
          <w:i/>
        </w:rPr>
        <w:t>CLE 2</w:t>
      </w:r>
      <w:r w:rsidRPr="000D3640">
        <w:rPr>
          <w:i/>
        </w:rPr>
        <w:t xml:space="preserve"> : </w:t>
      </w:r>
      <w:r>
        <w:rPr>
          <w:i/>
        </w:rPr>
        <w:t>EFFET ET DUREE</w:t>
      </w:r>
    </w:p>
    <w:p w:rsidR="009469D8" w:rsidRPr="00005439" w:rsidRDefault="009469D8" w:rsidP="009469D8">
      <w:pPr>
        <w:spacing w:after="0" w:line="252" w:lineRule="auto"/>
        <w:jc w:val="both"/>
        <w:rPr>
          <w:rFonts w:cs="Calibri"/>
        </w:rPr>
      </w:pPr>
      <w:r w:rsidRPr="00005439">
        <w:rPr>
          <w:rFonts w:cs="Calibri"/>
        </w:rPr>
        <w:t xml:space="preserve">Le présent </w:t>
      </w:r>
      <w:r>
        <w:rPr>
          <w:rFonts w:cs="Calibri"/>
        </w:rPr>
        <w:t>avenant</w:t>
      </w:r>
      <w:r w:rsidRPr="00005439">
        <w:rPr>
          <w:rFonts w:cs="Calibri"/>
        </w:rPr>
        <w:t xml:space="preserve"> </w:t>
      </w:r>
      <w:r>
        <w:rPr>
          <w:rFonts w:cs="Calibri"/>
        </w:rPr>
        <w:t xml:space="preserve">ayant pour objectif une mise en conformité du chapitre 1 de l’accord </w:t>
      </w:r>
      <w:r w:rsidRPr="00741658">
        <w:rPr>
          <w:rFonts w:cs="Calibri"/>
        </w:rPr>
        <w:t xml:space="preserve">d’entreprise relatif </w:t>
      </w:r>
      <w:r>
        <w:rPr>
          <w:rFonts w:cs="Calibri"/>
        </w:rPr>
        <w:t>à</w:t>
      </w:r>
      <w:r w:rsidRPr="00741658">
        <w:rPr>
          <w:rFonts w:cs="Calibri"/>
        </w:rPr>
        <w:t xml:space="preserve"> l’égalité professionnelle entre homme et femme</w:t>
      </w:r>
      <w:r>
        <w:rPr>
          <w:rFonts w:cs="Calibri"/>
        </w:rPr>
        <w:t xml:space="preserve"> et à</w:t>
      </w:r>
      <w:r w:rsidRPr="00741658">
        <w:rPr>
          <w:rFonts w:cs="Calibri"/>
        </w:rPr>
        <w:t xml:space="preserve"> la qualité de vie au travail</w:t>
      </w:r>
      <w:r w:rsidRPr="00AF23A2">
        <w:rPr>
          <w:rFonts w:cs="Calibri"/>
        </w:rPr>
        <w:t xml:space="preserve">, il prend effet </w:t>
      </w:r>
      <w:r w:rsidR="00AF23A2" w:rsidRPr="00AF23A2">
        <w:rPr>
          <w:rFonts w:cs="Calibri"/>
        </w:rPr>
        <w:t xml:space="preserve">le 1/01/2017 </w:t>
      </w:r>
      <w:r w:rsidRPr="00AF23A2">
        <w:rPr>
          <w:rFonts w:cs="Calibri"/>
        </w:rPr>
        <w:t xml:space="preserve"> et</w:t>
      </w:r>
      <w:r>
        <w:rPr>
          <w:rFonts w:cs="Calibri"/>
        </w:rPr>
        <w:t xml:space="preserve"> est applicable jusqu’à l’arrivée à échéance de l’accord qu’il modifie</w:t>
      </w:r>
      <w:r w:rsidRPr="00005439">
        <w:rPr>
          <w:rFonts w:cs="Calibri"/>
        </w:rPr>
        <w:t>.</w:t>
      </w:r>
    </w:p>
    <w:p w:rsidR="009469D8" w:rsidRDefault="009469D8" w:rsidP="000D3640">
      <w:pPr>
        <w:pStyle w:val="Titre2"/>
        <w:pBdr>
          <w:bottom w:val="none" w:sz="0" w:space="0" w:color="auto"/>
        </w:pBdr>
        <w:rPr>
          <w:i/>
        </w:rPr>
      </w:pPr>
    </w:p>
    <w:p w:rsidR="00E94ED1" w:rsidRPr="000D3640" w:rsidRDefault="000D3640" w:rsidP="000D3640">
      <w:pPr>
        <w:pStyle w:val="Titre2"/>
        <w:pBdr>
          <w:bottom w:val="none" w:sz="0" w:space="0" w:color="auto"/>
        </w:pBdr>
        <w:rPr>
          <w:i/>
        </w:rPr>
      </w:pPr>
      <w:r w:rsidRPr="000D3640">
        <w:rPr>
          <w:i/>
        </w:rPr>
        <w:t>ARTI</w:t>
      </w:r>
      <w:r w:rsidR="009469D8">
        <w:rPr>
          <w:i/>
        </w:rPr>
        <w:t>CLE 3</w:t>
      </w:r>
      <w:r w:rsidRPr="000D3640">
        <w:rPr>
          <w:i/>
        </w:rPr>
        <w:t> : DEPOT</w:t>
      </w:r>
    </w:p>
    <w:p w:rsidR="00E94ED1" w:rsidRPr="00005439" w:rsidRDefault="00E94ED1" w:rsidP="00E94ED1">
      <w:pPr>
        <w:spacing w:after="0" w:line="252" w:lineRule="auto"/>
        <w:jc w:val="both"/>
        <w:rPr>
          <w:rFonts w:cs="Calibri"/>
        </w:rPr>
      </w:pPr>
      <w:r w:rsidRPr="00005439">
        <w:rPr>
          <w:rFonts w:cs="Calibri"/>
        </w:rPr>
        <w:t xml:space="preserve">Le présent </w:t>
      </w:r>
      <w:r w:rsidR="00C74AD4">
        <w:rPr>
          <w:rFonts w:cs="Calibri"/>
        </w:rPr>
        <w:t>avenant</w:t>
      </w:r>
      <w:r w:rsidRPr="00005439">
        <w:rPr>
          <w:rFonts w:cs="Calibri"/>
        </w:rPr>
        <w:t xml:space="preserve"> sera déposé auprès de la Direction régionale des entreprises, de la concurrence, de la consommation, du travail et de l’emploi d’Ille et Vilaine et au secrétariat greffe du Conseil de prud'hommes de Rennes.</w:t>
      </w:r>
    </w:p>
    <w:p w:rsidR="00E93794" w:rsidRPr="00476805" w:rsidRDefault="00E93794" w:rsidP="0091162D">
      <w:pPr>
        <w:spacing w:after="0" w:line="252" w:lineRule="auto"/>
        <w:jc w:val="both"/>
        <w:rPr>
          <w:rFonts w:cs="Calibri"/>
        </w:rPr>
      </w:pPr>
    </w:p>
    <w:p w:rsidR="009469D8" w:rsidRDefault="009469D8" w:rsidP="0091162D">
      <w:pPr>
        <w:tabs>
          <w:tab w:val="left" w:pos="567"/>
          <w:tab w:val="left" w:pos="2835"/>
        </w:tabs>
        <w:spacing w:after="0" w:line="252" w:lineRule="auto"/>
        <w:jc w:val="both"/>
      </w:pPr>
    </w:p>
    <w:p w:rsidR="009469D8" w:rsidRDefault="009469D8" w:rsidP="0091162D">
      <w:pPr>
        <w:tabs>
          <w:tab w:val="left" w:pos="567"/>
          <w:tab w:val="left" w:pos="2835"/>
        </w:tabs>
        <w:spacing w:after="0" w:line="252" w:lineRule="auto"/>
        <w:jc w:val="both"/>
      </w:pPr>
    </w:p>
    <w:p w:rsidR="009469D8" w:rsidRDefault="009469D8" w:rsidP="0091162D">
      <w:pPr>
        <w:tabs>
          <w:tab w:val="left" w:pos="567"/>
          <w:tab w:val="left" w:pos="2835"/>
        </w:tabs>
        <w:spacing w:after="0" w:line="252" w:lineRule="auto"/>
        <w:jc w:val="both"/>
      </w:pPr>
    </w:p>
    <w:p w:rsidR="00554306" w:rsidRDefault="00554306" w:rsidP="0091162D">
      <w:pPr>
        <w:tabs>
          <w:tab w:val="left" w:pos="567"/>
          <w:tab w:val="left" w:pos="2835"/>
        </w:tabs>
        <w:spacing w:after="0" w:line="252" w:lineRule="auto"/>
        <w:jc w:val="both"/>
        <w:rPr>
          <w:i/>
        </w:rPr>
      </w:pPr>
      <w:r>
        <w:rPr>
          <w:i/>
        </w:rPr>
        <w:t>Fait à Rennes</w:t>
      </w:r>
      <w:r>
        <w:rPr>
          <w:i/>
        </w:rPr>
        <w:tab/>
        <w:t>Le</w:t>
      </w:r>
      <w:r w:rsidR="00AF23A2">
        <w:rPr>
          <w:i/>
        </w:rPr>
        <w:t xml:space="preserve"> 14/11/2017</w:t>
      </w:r>
    </w:p>
    <w:p w:rsidR="00466779" w:rsidRDefault="00466779" w:rsidP="0091162D">
      <w:pPr>
        <w:tabs>
          <w:tab w:val="left" w:pos="567"/>
          <w:tab w:val="left" w:pos="2835"/>
        </w:tabs>
        <w:spacing w:after="0" w:line="252" w:lineRule="auto"/>
        <w:jc w:val="both"/>
      </w:pPr>
    </w:p>
    <w:p w:rsidR="00554306" w:rsidRDefault="00554306" w:rsidP="0091162D">
      <w:pPr>
        <w:tabs>
          <w:tab w:val="left" w:pos="567"/>
          <w:tab w:val="left" w:pos="2835"/>
        </w:tabs>
        <w:spacing w:after="0" w:line="252" w:lineRule="auto"/>
        <w:jc w:val="both"/>
      </w:pPr>
      <w:r>
        <w:t xml:space="preserve">En </w:t>
      </w:r>
      <w:r w:rsidR="006F4EAB">
        <w:t>sept</w:t>
      </w:r>
      <w:r>
        <w:t xml:space="preserve"> exemplaires originaux dont un remis à chaque partie. </w:t>
      </w:r>
    </w:p>
    <w:p w:rsidR="00466779" w:rsidRDefault="00466779" w:rsidP="0091162D">
      <w:pPr>
        <w:spacing w:after="0" w:line="252" w:lineRule="auto"/>
        <w:jc w:val="both"/>
        <w:rPr>
          <w:b/>
        </w:rPr>
      </w:pPr>
    </w:p>
    <w:p w:rsidR="0013043A" w:rsidRDefault="0013043A" w:rsidP="0091162D">
      <w:pPr>
        <w:spacing w:after="0" w:line="252"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111"/>
      </w:tblGrid>
      <w:tr w:rsidR="00541960" w:rsidRPr="00371CFD" w:rsidTr="00A94101">
        <w:trPr>
          <w:trHeight w:val="990"/>
        </w:trPr>
        <w:tc>
          <w:tcPr>
            <w:tcW w:w="6345" w:type="dxa"/>
            <w:shd w:val="clear" w:color="auto" w:fill="auto"/>
            <w:vAlign w:val="center"/>
          </w:tcPr>
          <w:p w:rsidR="00A3432A" w:rsidRDefault="00541960" w:rsidP="00371CFD">
            <w:pPr>
              <w:spacing w:after="0" w:line="252" w:lineRule="auto"/>
            </w:pPr>
            <w:r w:rsidRPr="00A3432A">
              <w:t>La Direction de l’UES LA BRIOCHE DOREE</w:t>
            </w:r>
            <w:r w:rsidR="00A3432A">
              <w:t xml:space="preserve"> représentée </w:t>
            </w:r>
          </w:p>
          <w:p w:rsidR="00A3432A" w:rsidRPr="00A3432A" w:rsidRDefault="00CE3110" w:rsidP="00CE3110">
            <w:pPr>
              <w:spacing w:after="0" w:line="252" w:lineRule="auto"/>
            </w:pPr>
            <w:r>
              <w:t xml:space="preserve">par </w:t>
            </w:r>
          </w:p>
        </w:tc>
        <w:tc>
          <w:tcPr>
            <w:tcW w:w="4111" w:type="dxa"/>
            <w:shd w:val="clear" w:color="auto" w:fill="auto"/>
            <w:vAlign w:val="center"/>
          </w:tcPr>
          <w:p w:rsidR="00541960" w:rsidRPr="00371CFD" w:rsidRDefault="00541960" w:rsidP="00371CFD">
            <w:pPr>
              <w:spacing w:after="0" w:line="252" w:lineRule="auto"/>
              <w:jc w:val="both"/>
              <w:rPr>
                <w:b/>
              </w:rPr>
            </w:pPr>
          </w:p>
        </w:tc>
      </w:tr>
      <w:tr w:rsidR="00541960" w:rsidRPr="00371CFD" w:rsidTr="00A94101">
        <w:trPr>
          <w:trHeight w:val="1118"/>
        </w:trPr>
        <w:tc>
          <w:tcPr>
            <w:tcW w:w="6345" w:type="dxa"/>
            <w:shd w:val="clear" w:color="auto" w:fill="auto"/>
            <w:vAlign w:val="center"/>
          </w:tcPr>
          <w:p w:rsidR="00A3432A" w:rsidRPr="00371CFD" w:rsidRDefault="00541960" w:rsidP="00371CFD">
            <w:pPr>
              <w:spacing w:after="0" w:line="252" w:lineRule="auto"/>
              <w:jc w:val="both"/>
              <w:rPr>
                <w:rFonts w:cs="Calibri"/>
              </w:rPr>
            </w:pPr>
            <w:r w:rsidRPr="00371CFD">
              <w:rPr>
                <w:rFonts w:cs="Calibri"/>
              </w:rPr>
              <w:t>La Fédération Générale des Travailleurs de l’Agriculture, de l’Alimentation et des Secteurs connexes FO rep</w:t>
            </w:r>
            <w:r w:rsidR="00A3432A" w:rsidRPr="00371CFD">
              <w:rPr>
                <w:rFonts w:cs="Calibri"/>
              </w:rPr>
              <w:t xml:space="preserve">résentée </w:t>
            </w:r>
          </w:p>
          <w:p w:rsidR="00541960" w:rsidRPr="00371CFD" w:rsidRDefault="00A3432A" w:rsidP="00CE3110">
            <w:pPr>
              <w:spacing w:after="0" w:line="252" w:lineRule="auto"/>
              <w:jc w:val="both"/>
              <w:rPr>
                <w:rFonts w:cs="Calibri"/>
              </w:rPr>
            </w:pPr>
            <w:r w:rsidRPr="00371CFD">
              <w:rPr>
                <w:rFonts w:cs="Calibri"/>
              </w:rPr>
              <w:t xml:space="preserve">par </w:t>
            </w:r>
          </w:p>
        </w:tc>
        <w:tc>
          <w:tcPr>
            <w:tcW w:w="4111" w:type="dxa"/>
            <w:shd w:val="clear" w:color="auto" w:fill="auto"/>
            <w:vAlign w:val="center"/>
          </w:tcPr>
          <w:p w:rsidR="00541960" w:rsidRPr="00371CFD" w:rsidRDefault="00541960" w:rsidP="00371CFD">
            <w:pPr>
              <w:spacing w:after="0" w:line="252" w:lineRule="auto"/>
              <w:jc w:val="both"/>
              <w:rPr>
                <w:b/>
              </w:rPr>
            </w:pPr>
          </w:p>
        </w:tc>
      </w:tr>
      <w:tr w:rsidR="00541960" w:rsidRPr="00371CFD" w:rsidTr="00A94101">
        <w:trPr>
          <w:trHeight w:val="1134"/>
        </w:trPr>
        <w:tc>
          <w:tcPr>
            <w:tcW w:w="6345" w:type="dxa"/>
            <w:tcBorders>
              <w:bottom w:val="single" w:sz="4" w:space="0" w:color="auto"/>
            </w:tcBorders>
            <w:shd w:val="clear" w:color="auto" w:fill="auto"/>
            <w:vAlign w:val="center"/>
          </w:tcPr>
          <w:p w:rsidR="00A3432A" w:rsidRPr="00371CFD" w:rsidRDefault="00541960" w:rsidP="00371CFD">
            <w:pPr>
              <w:spacing w:after="0" w:line="252" w:lineRule="auto"/>
              <w:jc w:val="both"/>
              <w:rPr>
                <w:rFonts w:cs="Calibri"/>
              </w:rPr>
            </w:pPr>
            <w:r w:rsidRPr="00371CFD">
              <w:rPr>
                <w:rFonts w:cs="Calibri"/>
              </w:rPr>
              <w:t xml:space="preserve">La Fédération des Personnels du Commerce de la </w:t>
            </w:r>
          </w:p>
          <w:p w:rsidR="00A3432A" w:rsidRPr="00371CFD" w:rsidRDefault="00541960" w:rsidP="00371CFD">
            <w:pPr>
              <w:spacing w:after="0" w:line="252" w:lineRule="auto"/>
              <w:jc w:val="both"/>
              <w:rPr>
                <w:rFonts w:cs="Calibri"/>
              </w:rPr>
            </w:pPr>
            <w:r w:rsidRPr="00371CFD">
              <w:rPr>
                <w:rFonts w:cs="Calibri"/>
              </w:rPr>
              <w:t xml:space="preserve">Distribution et des Services CGT représentée </w:t>
            </w:r>
          </w:p>
          <w:p w:rsidR="00541960" w:rsidRPr="00371CFD" w:rsidRDefault="00541960" w:rsidP="00CE3110">
            <w:pPr>
              <w:spacing w:after="0" w:line="252" w:lineRule="auto"/>
              <w:jc w:val="both"/>
              <w:rPr>
                <w:rFonts w:cs="Calibri"/>
              </w:rPr>
            </w:pPr>
            <w:r w:rsidRPr="00371CFD">
              <w:rPr>
                <w:rFonts w:cs="Calibri"/>
              </w:rPr>
              <w:t xml:space="preserve">par </w:t>
            </w:r>
          </w:p>
        </w:tc>
        <w:tc>
          <w:tcPr>
            <w:tcW w:w="4111" w:type="dxa"/>
            <w:tcBorders>
              <w:bottom w:val="single" w:sz="4" w:space="0" w:color="auto"/>
            </w:tcBorders>
            <w:shd w:val="clear" w:color="auto" w:fill="auto"/>
            <w:vAlign w:val="center"/>
          </w:tcPr>
          <w:p w:rsidR="00541960" w:rsidRPr="00371CFD" w:rsidRDefault="00541960" w:rsidP="00371CFD">
            <w:pPr>
              <w:spacing w:after="0" w:line="252" w:lineRule="auto"/>
              <w:jc w:val="both"/>
              <w:rPr>
                <w:b/>
              </w:rPr>
            </w:pPr>
          </w:p>
        </w:tc>
      </w:tr>
      <w:tr w:rsidR="00541960" w:rsidRPr="00371CFD" w:rsidTr="00A94101">
        <w:trPr>
          <w:trHeight w:val="1122"/>
        </w:trPr>
        <w:tc>
          <w:tcPr>
            <w:tcW w:w="6345" w:type="dxa"/>
            <w:shd w:val="clear" w:color="auto" w:fill="auto"/>
            <w:vAlign w:val="center"/>
          </w:tcPr>
          <w:p w:rsidR="00A3432A" w:rsidRPr="00371CFD" w:rsidRDefault="00541960" w:rsidP="00371CFD">
            <w:pPr>
              <w:pStyle w:val="Corpsdetexte3"/>
              <w:spacing w:after="0" w:line="252" w:lineRule="auto"/>
              <w:rPr>
                <w:rFonts w:ascii="Calibri" w:hAnsi="Calibri" w:cs="Calibri"/>
                <w:sz w:val="22"/>
                <w:szCs w:val="22"/>
              </w:rPr>
            </w:pPr>
            <w:r w:rsidRPr="00371CFD">
              <w:rPr>
                <w:rFonts w:ascii="Calibri" w:hAnsi="Calibri" w:cs="Calibri"/>
                <w:sz w:val="22"/>
                <w:szCs w:val="22"/>
              </w:rPr>
              <w:t>La Fédération des Services CFDT re</w:t>
            </w:r>
            <w:r w:rsidR="00A3432A" w:rsidRPr="00371CFD">
              <w:rPr>
                <w:rFonts w:ascii="Calibri" w:hAnsi="Calibri" w:cs="Calibri"/>
                <w:sz w:val="22"/>
                <w:szCs w:val="22"/>
              </w:rPr>
              <w:t xml:space="preserve">présentée </w:t>
            </w:r>
          </w:p>
          <w:p w:rsidR="00541960" w:rsidRPr="00371CFD" w:rsidRDefault="00A3432A" w:rsidP="00CE3110">
            <w:pPr>
              <w:pStyle w:val="Corpsdetexte3"/>
              <w:spacing w:after="0" w:line="252" w:lineRule="auto"/>
              <w:rPr>
                <w:rFonts w:ascii="Calibri" w:hAnsi="Calibri" w:cs="Calibri"/>
                <w:sz w:val="22"/>
                <w:szCs w:val="22"/>
              </w:rPr>
            </w:pPr>
            <w:r w:rsidRPr="00371CFD">
              <w:rPr>
                <w:rFonts w:ascii="Calibri" w:hAnsi="Calibri" w:cs="Calibri"/>
                <w:sz w:val="22"/>
                <w:szCs w:val="22"/>
              </w:rPr>
              <w:t xml:space="preserve">par </w:t>
            </w:r>
          </w:p>
        </w:tc>
        <w:tc>
          <w:tcPr>
            <w:tcW w:w="4111" w:type="dxa"/>
            <w:shd w:val="clear" w:color="auto" w:fill="auto"/>
            <w:vAlign w:val="center"/>
          </w:tcPr>
          <w:p w:rsidR="00541960" w:rsidRPr="00371CFD" w:rsidRDefault="00541960" w:rsidP="00371CFD">
            <w:pPr>
              <w:spacing w:after="0" w:line="252" w:lineRule="auto"/>
              <w:jc w:val="both"/>
              <w:rPr>
                <w:b/>
              </w:rPr>
            </w:pPr>
          </w:p>
        </w:tc>
      </w:tr>
    </w:tbl>
    <w:p w:rsidR="00466779" w:rsidRPr="00466779" w:rsidRDefault="00466779" w:rsidP="0091162D">
      <w:pPr>
        <w:spacing w:after="0" w:line="252" w:lineRule="auto"/>
        <w:jc w:val="both"/>
        <w:rPr>
          <w:highlight w:val="yellow"/>
        </w:rPr>
      </w:pPr>
    </w:p>
    <w:p w:rsidR="0013043A" w:rsidRDefault="0013043A" w:rsidP="0013043A">
      <w:pPr>
        <w:spacing w:after="0" w:line="252" w:lineRule="auto"/>
        <w:jc w:val="both"/>
        <w:rPr>
          <w:rFonts w:cs="Calibri"/>
        </w:rPr>
      </w:pPr>
    </w:p>
    <w:p w:rsidR="009A4F0C" w:rsidRPr="00741658" w:rsidRDefault="009A4F0C" w:rsidP="0013043A">
      <w:pPr>
        <w:spacing w:after="0" w:line="252" w:lineRule="auto"/>
        <w:jc w:val="both"/>
        <w:rPr>
          <w:rFonts w:cs="Calibri"/>
        </w:rPr>
      </w:pPr>
    </w:p>
    <w:sectPr w:rsidR="009A4F0C" w:rsidRPr="00741658" w:rsidSect="00FB5C66">
      <w:type w:val="continuous"/>
      <w:pgSz w:w="11906" w:h="16838"/>
      <w:pgMar w:top="720" w:right="720" w:bottom="720" w:left="851"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A4" w:rsidRDefault="003F70A4" w:rsidP="005800FE">
      <w:pPr>
        <w:spacing w:after="0" w:line="240" w:lineRule="auto"/>
      </w:pPr>
      <w:r>
        <w:separator/>
      </w:r>
    </w:p>
  </w:endnote>
  <w:endnote w:type="continuationSeparator" w:id="0">
    <w:p w:rsidR="003F70A4" w:rsidRDefault="003F70A4" w:rsidP="0058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66" w:rsidRDefault="00FB5C66" w:rsidP="00025512">
    <w:pPr>
      <w:pStyle w:val="Pieddepage"/>
      <w:pBdr>
        <w:top w:val="thinThickSmallGap" w:sz="12" w:space="1" w:color="auto"/>
      </w:pBdr>
      <w:spacing w:after="0" w:line="240" w:lineRule="auto"/>
      <w:jc w:val="right"/>
      <w:rPr>
        <w:i/>
      </w:rPr>
    </w:pPr>
    <w:r>
      <w:rPr>
        <w:i/>
      </w:rPr>
      <w:t>Avenant n°1 à l’accord</w:t>
    </w:r>
    <w:r w:rsidR="003F70A4" w:rsidRPr="00025512">
      <w:rPr>
        <w:i/>
      </w:rPr>
      <w:t xml:space="preserve"> d’entreprise relatif à l’égalité professionnelle </w:t>
    </w:r>
  </w:p>
  <w:p w:rsidR="003F70A4" w:rsidRPr="00025512" w:rsidRDefault="003F70A4" w:rsidP="00FB5C66">
    <w:pPr>
      <w:pStyle w:val="Pieddepage"/>
      <w:pBdr>
        <w:top w:val="thinThickSmallGap" w:sz="12" w:space="1" w:color="auto"/>
      </w:pBdr>
      <w:spacing w:after="0" w:line="240" w:lineRule="auto"/>
      <w:jc w:val="right"/>
      <w:rPr>
        <w:i/>
      </w:rPr>
    </w:pPr>
    <w:proofErr w:type="gramStart"/>
    <w:r w:rsidRPr="00025512">
      <w:rPr>
        <w:i/>
      </w:rPr>
      <w:t>entre</w:t>
    </w:r>
    <w:proofErr w:type="gramEnd"/>
    <w:r w:rsidRPr="00025512">
      <w:rPr>
        <w:i/>
      </w:rPr>
      <w:t xml:space="preserve"> homme et femme</w:t>
    </w:r>
    <w:r w:rsidR="00FB5C66">
      <w:rPr>
        <w:i/>
      </w:rPr>
      <w:t xml:space="preserve"> </w:t>
    </w:r>
    <w:r>
      <w:rPr>
        <w:i/>
      </w:rPr>
      <w:t>e</w:t>
    </w:r>
    <w:r w:rsidRPr="00025512">
      <w:rPr>
        <w:i/>
      </w:rPr>
      <w:t>t à la qualité de vie au travail 2017 - 2019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66" w:rsidRDefault="00FB5C66" w:rsidP="00FB5C66">
    <w:pPr>
      <w:pStyle w:val="Pieddepage"/>
      <w:pBdr>
        <w:top w:val="thinThickSmallGap" w:sz="12" w:space="1" w:color="auto"/>
      </w:pBdr>
      <w:tabs>
        <w:tab w:val="clear" w:pos="9072"/>
        <w:tab w:val="right" w:pos="9923"/>
      </w:tabs>
      <w:spacing w:after="0" w:line="240" w:lineRule="auto"/>
      <w:ind w:left="-426" w:right="-851"/>
      <w:jc w:val="right"/>
      <w:rPr>
        <w:i/>
      </w:rPr>
    </w:pPr>
    <w:r>
      <w:rPr>
        <w:i/>
      </w:rPr>
      <w:t>Avenant n°1 à l’accord</w:t>
    </w:r>
    <w:r w:rsidRPr="00025512">
      <w:rPr>
        <w:i/>
      </w:rPr>
      <w:t xml:space="preserve"> d’entreprise relatif à l’égalité professionnelle </w:t>
    </w:r>
  </w:p>
  <w:p w:rsidR="00FB5C66" w:rsidRPr="00025512" w:rsidRDefault="00FB5C66" w:rsidP="00FB5C66">
    <w:pPr>
      <w:pStyle w:val="Pieddepage"/>
      <w:pBdr>
        <w:top w:val="thinThickSmallGap" w:sz="12" w:space="1" w:color="auto"/>
      </w:pBdr>
      <w:tabs>
        <w:tab w:val="clear" w:pos="9072"/>
        <w:tab w:val="right" w:pos="9923"/>
      </w:tabs>
      <w:spacing w:after="0" w:line="240" w:lineRule="auto"/>
      <w:ind w:left="-426" w:right="-851"/>
      <w:jc w:val="right"/>
      <w:rPr>
        <w:i/>
      </w:rPr>
    </w:pPr>
    <w:proofErr w:type="gramStart"/>
    <w:r w:rsidRPr="00025512">
      <w:rPr>
        <w:i/>
      </w:rPr>
      <w:t>entre</w:t>
    </w:r>
    <w:proofErr w:type="gramEnd"/>
    <w:r w:rsidRPr="00025512">
      <w:rPr>
        <w:i/>
      </w:rPr>
      <w:t xml:space="preserve"> homme et femme</w:t>
    </w:r>
    <w:r>
      <w:rPr>
        <w:i/>
      </w:rPr>
      <w:t xml:space="preserve"> e</w:t>
    </w:r>
    <w:r w:rsidRPr="00025512">
      <w:rPr>
        <w:i/>
      </w:rPr>
      <w:t>t à la qualité de vie au travail 2017 - 2019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A4" w:rsidRDefault="003F70A4" w:rsidP="005800FE">
      <w:pPr>
        <w:spacing w:after="0" w:line="240" w:lineRule="auto"/>
      </w:pPr>
      <w:r>
        <w:separator/>
      </w:r>
    </w:p>
  </w:footnote>
  <w:footnote w:type="continuationSeparator" w:id="0">
    <w:p w:rsidR="003F70A4" w:rsidRDefault="003F70A4" w:rsidP="00580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A4" w:rsidRDefault="00857C3B" w:rsidP="00025512">
    <w:pPr>
      <w:pStyle w:val="En-tte"/>
      <w:jc w:val="right"/>
    </w:pPr>
    <w:sdt>
      <w:sdtPr>
        <w:id w:val="1361234638"/>
        <w:docPartObj>
          <w:docPartGallery w:val="Page Numbers (Top of Page)"/>
          <w:docPartUnique/>
        </w:docPartObj>
      </w:sdtPr>
      <w:sdtEndPr/>
      <w:sdtContent>
        <w:r w:rsidR="003F70A4">
          <w:fldChar w:fldCharType="begin"/>
        </w:r>
        <w:r w:rsidR="003F70A4">
          <w:instrText>PAGE   \* MERGEFORMAT</w:instrText>
        </w:r>
        <w:r w:rsidR="003F70A4">
          <w:fldChar w:fldCharType="separate"/>
        </w:r>
        <w:r>
          <w:rPr>
            <w:noProof/>
          </w:rPr>
          <w:t>4</w:t>
        </w:r>
        <w:r w:rsidR="003F70A4">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101F"/>
    <w:multiLevelType w:val="hybridMultilevel"/>
    <w:tmpl w:val="44689C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500817"/>
    <w:multiLevelType w:val="hybridMultilevel"/>
    <w:tmpl w:val="16144EA0"/>
    <w:lvl w:ilvl="0" w:tplc="32869C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0C181F"/>
    <w:multiLevelType w:val="hybridMultilevel"/>
    <w:tmpl w:val="B782835E"/>
    <w:lvl w:ilvl="0" w:tplc="3300D700">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93567F"/>
    <w:multiLevelType w:val="hybridMultilevel"/>
    <w:tmpl w:val="C7547DA4"/>
    <w:lvl w:ilvl="0" w:tplc="90323A7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461478"/>
    <w:multiLevelType w:val="hybridMultilevel"/>
    <w:tmpl w:val="3EB8A31C"/>
    <w:lvl w:ilvl="0" w:tplc="4B4024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FD603F"/>
    <w:multiLevelType w:val="hybridMultilevel"/>
    <w:tmpl w:val="33943894"/>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9519AC"/>
    <w:multiLevelType w:val="hybridMultilevel"/>
    <w:tmpl w:val="370A08E8"/>
    <w:lvl w:ilvl="0" w:tplc="4B4024E8">
      <w:numFmt w:val="bullet"/>
      <w:lvlText w:val="-"/>
      <w:lvlJc w:val="left"/>
      <w:pPr>
        <w:ind w:left="720" w:hanging="360"/>
      </w:pPr>
      <w:rPr>
        <w:rFonts w:ascii="Calibri" w:eastAsiaTheme="minorHAnsi" w:hAnsi="Calibri" w:cs="Calibri"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9256B3"/>
    <w:multiLevelType w:val="hybridMultilevel"/>
    <w:tmpl w:val="56B82E3A"/>
    <w:lvl w:ilvl="0" w:tplc="32869C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3C71A6"/>
    <w:multiLevelType w:val="hybridMultilevel"/>
    <w:tmpl w:val="D54C7958"/>
    <w:lvl w:ilvl="0" w:tplc="4EA46E2A">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1"/>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60"/>
    <w:rsid w:val="00011D9B"/>
    <w:rsid w:val="00017861"/>
    <w:rsid w:val="00025512"/>
    <w:rsid w:val="0003758E"/>
    <w:rsid w:val="00074084"/>
    <w:rsid w:val="00080C08"/>
    <w:rsid w:val="00083E67"/>
    <w:rsid w:val="000928C4"/>
    <w:rsid w:val="00095329"/>
    <w:rsid w:val="000A2E44"/>
    <w:rsid w:val="000C0F76"/>
    <w:rsid w:val="000C6EEB"/>
    <w:rsid w:val="000D2688"/>
    <w:rsid w:val="000D3640"/>
    <w:rsid w:val="000D6417"/>
    <w:rsid w:val="000E23AE"/>
    <w:rsid w:val="000E52C4"/>
    <w:rsid w:val="00100ABA"/>
    <w:rsid w:val="00114764"/>
    <w:rsid w:val="00123F02"/>
    <w:rsid w:val="00126053"/>
    <w:rsid w:val="0013043A"/>
    <w:rsid w:val="00137A32"/>
    <w:rsid w:val="00141973"/>
    <w:rsid w:val="00156CF6"/>
    <w:rsid w:val="00185039"/>
    <w:rsid w:val="001A1F90"/>
    <w:rsid w:val="001A30E6"/>
    <w:rsid w:val="001A3596"/>
    <w:rsid w:val="001B70CF"/>
    <w:rsid w:val="001C5F6C"/>
    <w:rsid w:val="001D023B"/>
    <w:rsid w:val="001E6021"/>
    <w:rsid w:val="001F39AE"/>
    <w:rsid w:val="00207905"/>
    <w:rsid w:val="00210452"/>
    <w:rsid w:val="00211580"/>
    <w:rsid w:val="0021334C"/>
    <w:rsid w:val="00216F83"/>
    <w:rsid w:val="0022339F"/>
    <w:rsid w:val="0024488D"/>
    <w:rsid w:val="0025126D"/>
    <w:rsid w:val="002537E8"/>
    <w:rsid w:val="00254A71"/>
    <w:rsid w:val="00254E97"/>
    <w:rsid w:val="00261456"/>
    <w:rsid w:val="002622F7"/>
    <w:rsid w:val="00265969"/>
    <w:rsid w:val="0028137D"/>
    <w:rsid w:val="00282512"/>
    <w:rsid w:val="00283E10"/>
    <w:rsid w:val="0028596D"/>
    <w:rsid w:val="00291D5C"/>
    <w:rsid w:val="002924B8"/>
    <w:rsid w:val="002B1ADD"/>
    <w:rsid w:val="002C1F8B"/>
    <w:rsid w:val="002C59AB"/>
    <w:rsid w:val="002D49EA"/>
    <w:rsid w:val="002E2BF2"/>
    <w:rsid w:val="002F4D16"/>
    <w:rsid w:val="0031432A"/>
    <w:rsid w:val="00317057"/>
    <w:rsid w:val="00322F4B"/>
    <w:rsid w:val="0033042B"/>
    <w:rsid w:val="00331408"/>
    <w:rsid w:val="00337312"/>
    <w:rsid w:val="003416F7"/>
    <w:rsid w:val="00343CFA"/>
    <w:rsid w:val="00350686"/>
    <w:rsid w:val="00350B15"/>
    <w:rsid w:val="00371CFD"/>
    <w:rsid w:val="003979F6"/>
    <w:rsid w:val="003F70A4"/>
    <w:rsid w:val="00400143"/>
    <w:rsid w:val="00400418"/>
    <w:rsid w:val="00403842"/>
    <w:rsid w:val="00403CF8"/>
    <w:rsid w:val="004163AD"/>
    <w:rsid w:val="004175FE"/>
    <w:rsid w:val="00426BAF"/>
    <w:rsid w:val="00430F5C"/>
    <w:rsid w:val="00433A2E"/>
    <w:rsid w:val="00451FB4"/>
    <w:rsid w:val="004570DA"/>
    <w:rsid w:val="00466779"/>
    <w:rsid w:val="00476805"/>
    <w:rsid w:val="00486760"/>
    <w:rsid w:val="00490D46"/>
    <w:rsid w:val="00493701"/>
    <w:rsid w:val="004A13DA"/>
    <w:rsid w:val="004A4865"/>
    <w:rsid w:val="004B5283"/>
    <w:rsid w:val="004B5CDA"/>
    <w:rsid w:val="004D03DD"/>
    <w:rsid w:val="004D042D"/>
    <w:rsid w:val="005038DF"/>
    <w:rsid w:val="00506887"/>
    <w:rsid w:val="00523680"/>
    <w:rsid w:val="00526749"/>
    <w:rsid w:val="00532562"/>
    <w:rsid w:val="00534C60"/>
    <w:rsid w:val="0053521D"/>
    <w:rsid w:val="0054109F"/>
    <w:rsid w:val="00541960"/>
    <w:rsid w:val="00554306"/>
    <w:rsid w:val="00566BFA"/>
    <w:rsid w:val="00573F0B"/>
    <w:rsid w:val="005800FE"/>
    <w:rsid w:val="0058425F"/>
    <w:rsid w:val="00584DD6"/>
    <w:rsid w:val="005B61DE"/>
    <w:rsid w:val="005C119C"/>
    <w:rsid w:val="005E648C"/>
    <w:rsid w:val="005F3D46"/>
    <w:rsid w:val="005F42D9"/>
    <w:rsid w:val="006015EB"/>
    <w:rsid w:val="00615796"/>
    <w:rsid w:val="006645DF"/>
    <w:rsid w:val="006659F8"/>
    <w:rsid w:val="006746A6"/>
    <w:rsid w:val="00680275"/>
    <w:rsid w:val="00683CD6"/>
    <w:rsid w:val="006877A4"/>
    <w:rsid w:val="006A0395"/>
    <w:rsid w:val="006A4FDC"/>
    <w:rsid w:val="006B15CE"/>
    <w:rsid w:val="006B4B22"/>
    <w:rsid w:val="006C64CA"/>
    <w:rsid w:val="006F4320"/>
    <w:rsid w:val="006F4EAB"/>
    <w:rsid w:val="00703466"/>
    <w:rsid w:val="00737350"/>
    <w:rsid w:val="00741658"/>
    <w:rsid w:val="0074347D"/>
    <w:rsid w:val="007568D4"/>
    <w:rsid w:val="007571EB"/>
    <w:rsid w:val="00763006"/>
    <w:rsid w:val="007A43F5"/>
    <w:rsid w:val="007B2AC0"/>
    <w:rsid w:val="007D17E1"/>
    <w:rsid w:val="007D2508"/>
    <w:rsid w:val="007D6364"/>
    <w:rsid w:val="007E2876"/>
    <w:rsid w:val="007E6A37"/>
    <w:rsid w:val="007F755F"/>
    <w:rsid w:val="0080010D"/>
    <w:rsid w:val="00801DDC"/>
    <w:rsid w:val="008066F3"/>
    <w:rsid w:val="008224D9"/>
    <w:rsid w:val="00847A65"/>
    <w:rsid w:val="00857911"/>
    <w:rsid w:val="00857C3B"/>
    <w:rsid w:val="00870825"/>
    <w:rsid w:val="008976B3"/>
    <w:rsid w:val="008A7C31"/>
    <w:rsid w:val="008C4784"/>
    <w:rsid w:val="008D1049"/>
    <w:rsid w:val="008E2FB0"/>
    <w:rsid w:val="008E5AA0"/>
    <w:rsid w:val="008E5B24"/>
    <w:rsid w:val="008F749E"/>
    <w:rsid w:val="00904B4D"/>
    <w:rsid w:val="009076D3"/>
    <w:rsid w:val="0091162D"/>
    <w:rsid w:val="00933F29"/>
    <w:rsid w:val="009443A5"/>
    <w:rsid w:val="009469D8"/>
    <w:rsid w:val="00965BD0"/>
    <w:rsid w:val="00971A20"/>
    <w:rsid w:val="009739A1"/>
    <w:rsid w:val="009824C4"/>
    <w:rsid w:val="009A4F0C"/>
    <w:rsid w:val="009B70FA"/>
    <w:rsid w:val="009D1C8A"/>
    <w:rsid w:val="009E35C0"/>
    <w:rsid w:val="009F5187"/>
    <w:rsid w:val="00A23359"/>
    <w:rsid w:val="00A245E2"/>
    <w:rsid w:val="00A26D71"/>
    <w:rsid w:val="00A3432A"/>
    <w:rsid w:val="00A43C3B"/>
    <w:rsid w:val="00A6418D"/>
    <w:rsid w:val="00A7570D"/>
    <w:rsid w:val="00A85179"/>
    <w:rsid w:val="00A94101"/>
    <w:rsid w:val="00AA0C83"/>
    <w:rsid w:val="00AA61B8"/>
    <w:rsid w:val="00AB0022"/>
    <w:rsid w:val="00AB7A60"/>
    <w:rsid w:val="00AC6C3A"/>
    <w:rsid w:val="00AF23A2"/>
    <w:rsid w:val="00B020E5"/>
    <w:rsid w:val="00B0281F"/>
    <w:rsid w:val="00B127DF"/>
    <w:rsid w:val="00B163D1"/>
    <w:rsid w:val="00B40745"/>
    <w:rsid w:val="00B435F6"/>
    <w:rsid w:val="00B6321E"/>
    <w:rsid w:val="00B87EA3"/>
    <w:rsid w:val="00B967CD"/>
    <w:rsid w:val="00BA621B"/>
    <w:rsid w:val="00BA64DE"/>
    <w:rsid w:val="00C041B2"/>
    <w:rsid w:val="00C12E37"/>
    <w:rsid w:val="00C16F8B"/>
    <w:rsid w:val="00C274F3"/>
    <w:rsid w:val="00C662B3"/>
    <w:rsid w:val="00C74AD4"/>
    <w:rsid w:val="00C75C8E"/>
    <w:rsid w:val="00C77C88"/>
    <w:rsid w:val="00C90803"/>
    <w:rsid w:val="00C93B44"/>
    <w:rsid w:val="00C967B7"/>
    <w:rsid w:val="00CC1B8A"/>
    <w:rsid w:val="00CC7C17"/>
    <w:rsid w:val="00CE1F92"/>
    <w:rsid w:val="00CE3110"/>
    <w:rsid w:val="00D279DA"/>
    <w:rsid w:val="00D473CA"/>
    <w:rsid w:val="00D55452"/>
    <w:rsid w:val="00D7335B"/>
    <w:rsid w:val="00D85D31"/>
    <w:rsid w:val="00D87DA8"/>
    <w:rsid w:val="00DA6BE1"/>
    <w:rsid w:val="00DA79C7"/>
    <w:rsid w:val="00DB3296"/>
    <w:rsid w:val="00DC0B1E"/>
    <w:rsid w:val="00DC7059"/>
    <w:rsid w:val="00DD3EC0"/>
    <w:rsid w:val="00DF6D0F"/>
    <w:rsid w:val="00E50425"/>
    <w:rsid w:val="00E5497F"/>
    <w:rsid w:val="00E66D0C"/>
    <w:rsid w:val="00E66E69"/>
    <w:rsid w:val="00E73AA1"/>
    <w:rsid w:val="00E866C6"/>
    <w:rsid w:val="00E93794"/>
    <w:rsid w:val="00E94ED1"/>
    <w:rsid w:val="00EB119A"/>
    <w:rsid w:val="00EB2D0E"/>
    <w:rsid w:val="00EB5442"/>
    <w:rsid w:val="00EC12CD"/>
    <w:rsid w:val="00EC1839"/>
    <w:rsid w:val="00ED02C7"/>
    <w:rsid w:val="00ED38FF"/>
    <w:rsid w:val="00EF5F08"/>
    <w:rsid w:val="00EF631B"/>
    <w:rsid w:val="00F67B79"/>
    <w:rsid w:val="00F94C19"/>
    <w:rsid w:val="00FB3C51"/>
    <w:rsid w:val="00FB5C66"/>
    <w:rsid w:val="00FC0533"/>
    <w:rsid w:val="00FD1CC4"/>
    <w:rsid w:val="00FE615C"/>
    <w:rsid w:val="00FE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50686"/>
    <w:pPr>
      <w:spacing w:after="200" w:line="276" w:lineRule="auto"/>
    </w:pPr>
    <w:rPr>
      <w:sz w:val="22"/>
      <w:szCs w:val="22"/>
      <w:lang w:eastAsia="en-US"/>
    </w:rPr>
  </w:style>
  <w:style w:type="paragraph" w:styleId="Titre1">
    <w:name w:val="heading 1"/>
    <w:basedOn w:val="Normal"/>
    <w:next w:val="Normal"/>
    <w:link w:val="Titre1Car"/>
    <w:qFormat/>
    <w:rsid w:val="00C93B44"/>
    <w:pPr>
      <w:spacing w:after="0" w:line="252" w:lineRule="auto"/>
      <w:jc w:val="both"/>
      <w:outlineLvl w:val="0"/>
    </w:pPr>
    <w:rPr>
      <w:b/>
      <w:sz w:val="24"/>
      <w:szCs w:val="24"/>
      <w:u w:val="single"/>
    </w:rPr>
  </w:style>
  <w:style w:type="paragraph" w:styleId="Titre2">
    <w:name w:val="heading 2"/>
    <w:basedOn w:val="Normal"/>
    <w:next w:val="Normal"/>
    <w:link w:val="Titre2Car"/>
    <w:unhideWhenUsed/>
    <w:qFormat/>
    <w:rsid w:val="003416F7"/>
    <w:pPr>
      <w:pBdr>
        <w:bottom w:val="single" w:sz="4" w:space="1" w:color="auto"/>
      </w:pBdr>
      <w:spacing w:after="240" w:line="240" w:lineRule="auto"/>
      <w:jc w:val="both"/>
      <w:outlineLvl w:val="1"/>
    </w:pPr>
    <w:rPr>
      <w:rFonts w:eastAsia="Times New Roman" w:cs="Calibri"/>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486760"/>
    <w:pPr>
      <w:spacing w:after="120" w:line="260" w:lineRule="atLeast"/>
      <w:jc w:val="both"/>
    </w:pPr>
    <w:rPr>
      <w:rFonts w:ascii="Times New Roman" w:eastAsia="Times New Roman" w:hAnsi="Times New Roman"/>
      <w:sz w:val="16"/>
      <w:szCs w:val="16"/>
    </w:rPr>
  </w:style>
  <w:style w:type="character" w:customStyle="1" w:styleId="Corpsdetexte3Car">
    <w:name w:val="Corps de texte 3 Car"/>
    <w:link w:val="Corpsdetexte3"/>
    <w:rsid w:val="00486760"/>
    <w:rPr>
      <w:rFonts w:ascii="Times New Roman" w:eastAsia="Times New Roman" w:hAnsi="Times New Roman" w:cs="Times New Roman"/>
      <w:sz w:val="16"/>
      <w:szCs w:val="16"/>
    </w:rPr>
  </w:style>
  <w:style w:type="paragraph" w:styleId="Paragraphedeliste">
    <w:name w:val="List Paragraph"/>
    <w:basedOn w:val="Normal"/>
    <w:uiPriority w:val="34"/>
    <w:qFormat/>
    <w:rsid w:val="00080C08"/>
    <w:pPr>
      <w:ind w:left="720"/>
      <w:contextualSpacing/>
    </w:pPr>
  </w:style>
  <w:style w:type="paragraph" w:styleId="En-tte">
    <w:name w:val="header"/>
    <w:basedOn w:val="Normal"/>
    <w:link w:val="En-tteCar"/>
    <w:uiPriority w:val="99"/>
    <w:rsid w:val="005800FE"/>
    <w:pPr>
      <w:tabs>
        <w:tab w:val="center" w:pos="4536"/>
        <w:tab w:val="right" w:pos="9072"/>
      </w:tabs>
    </w:pPr>
  </w:style>
  <w:style w:type="character" w:customStyle="1" w:styleId="En-tteCar">
    <w:name w:val="En-tête Car"/>
    <w:link w:val="En-tte"/>
    <w:uiPriority w:val="99"/>
    <w:rsid w:val="005800FE"/>
    <w:rPr>
      <w:sz w:val="22"/>
      <w:szCs w:val="22"/>
      <w:lang w:eastAsia="en-US"/>
    </w:rPr>
  </w:style>
  <w:style w:type="paragraph" w:styleId="Pieddepage">
    <w:name w:val="footer"/>
    <w:basedOn w:val="Normal"/>
    <w:link w:val="PieddepageCar"/>
    <w:rsid w:val="005800FE"/>
    <w:pPr>
      <w:tabs>
        <w:tab w:val="center" w:pos="4536"/>
        <w:tab w:val="right" w:pos="9072"/>
      </w:tabs>
    </w:pPr>
  </w:style>
  <w:style w:type="character" w:customStyle="1" w:styleId="PieddepageCar">
    <w:name w:val="Pied de page Car"/>
    <w:link w:val="Pieddepage"/>
    <w:rsid w:val="005800FE"/>
    <w:rPr>
      <w:sz w:val="22"/>
      <w:szCs w:val="22"/>
      <w:lang w:eastAsia="en-US"/>
    </w:rPr>
  </w:style>
  <w:style w:type="paragraph" w:styleId="Textedebulles">
    <w:name w:val="Balloon Text"/>
    <w:basedOn w:val="Normal"/>
    <w:link w:val="TextedebullesCar"/>
    <w:rsid w:val="005800FE"/>
    <w:pPr>
      <w:spacing w:after="0" w:line="240" w:lineRule="auto"/>
    </w:pPr>
    <w:rPr>
      <w:rFonts w:ascii="Tahoma" w:hAnsi="Tahoma" w:cs="Tahoma"/>
      <w:sz w:val="16"/>
      <w:szCs w:val="16"/>
    </w:rPr>
  </w:style>
  <w:style w:type="character" w:customStyle="1" w:styleId="TextedebullesCar">
    <w:name w:val="Texte de bulles Car"/>
    <w:link w:val="Textedebulles"/>
    <w:rsid w:val="005800FE"/>
    <w:rPr>
      <w:rFonts w:ascii="Tahoma" w:hAnsi="Tahoma" w:cs="Tahoma"/>
      <w:sz w:val="16"/>
      <w:szCs w:val="16"/>
      <w:lang w:eastAsia="en-US"/>
    </w:rPr>
  </w:style>
  <w:style w:type="character" w:customStyle="1" w:styleId="Titre1Car">
    <w:name w:val="Titre 1 Car"/>
    <w:link w:val="Titre1"/>
    <w:rsid w:val="00C93B44"/>
    <w:rPr>
      <w:b/>
      <w:sz w:val="24"/>
      <w:szCs w:val="24"/>
      <w:u w:val="single"/>
      <w:lang w:eastAsia="en-US"/>
    </w:rPr>
  </w:style>
  <w:style w:type="paragraph" w:styleId="TM1">
    <w:name w:val="toc 1"/>
    <w:basedOn w:val="Normal"/>
    <w:next w:val="Normal"/>
    <w:autoRedefine/>
    <w:uiPriority w:val="39"/>
    <w:rsid w:val="00C93B44"/>
  </w:style>
  <w:style w:type="character" w:styleId="Lienhypertexte">
    <w:name w:val="Hyperlink"/>
    <w:uiPriority w:val="99"/>
    <w:rsid w:val="00C93B44"/>
    <w:rPr>
      <w:color w:val="0563C1"/>
      <w:u w:val="single"/>
    </w:rPr>
  </w:style>
  <w:style w:type="table" w:styleId="Grilledutableau">
    <w:name w:val="Table Grid"/>
    <w:basedOn w:val="TableauNormal"/>
    <w:rsid w:val="008E5B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1D9B"/>
  </w:style>
  <w:style w:type="paragraph" w:styleId="NormalWeb">
    <w:name w:val="Normal (Web)"/>
    <w:basedOn w:val="Normal"/>
    <w:rsid w:val="000C0F7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rsid w:val="003416F7"/>
    <w:rPr>
      <w:rFonts w:eastAsia="Times New Roman" w:cs="Calibri"/>
      <w:b/>
      <w:sz w:val="22"/>
      <w:szCs w:val="22"/>
    </w:rPr>
  </w:style>
  <w:style w:type="character" w:styleId="Accentuation">
    <w:name w:val="Emphasis"/>
    <w:basedOn w:val="Policepardfaut"/>
    <w:qFormat/>
    <w:rsid w:val="001147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50686"/>
    <w:pPr>
      <w:spacing w:after="200" w:line="276" w:lineRule="auto"/>
    </w:pPr>
    <w:rPr>
      <w:sz w:val="22"/>
      <w:szCs w:val="22"/>
      <w:lang w:eastAsia="en-US"/>
    </w:rPr>
  </w:style>
  <w:style w:type="paragraph" w:styleId="Titre1">
    <w:name w:val="heading 1"/>
    <w:basedOn w:val="Normal"/>
    <w:next w:val="Normal"/>
    <w:link w:val="Titre1Car"/>
    <w:qFormat/>
    <w:rsid w:val="00C93B44"/>
    <w:pPr>
      <w:spacing w:after="0" w:line="252" w:lineRule="auto"/>
      <w:jc w:val="both"/>
      <w:outlineLvl w:val="0"/>
    </w:pPr>
    <w:rPr>
      <w:b/>
      <w:sz w:val="24"/>
      <w:szCs w:val="24"/>
      <w:u w:val="single"/>
    </w:rPr>
  </w:style>
  <w:style w:type="paragraph" w:styleId="Titre2">
    <w:name w:val="heading 2"/>
    <w:basedOn w:val="Normal"/>
    <w:next w:val="Normal"/>
    <w:link w:val="Titre2Car"/>
    <w:unhideWhenUsed/>
    <w:qFormat/>
    <w:rsid w:val="003416F7"/>
    <w:pPr>
      <w:pBdr>
        <w:bottom w:val="single" w:sz="4" w:space="1" w:color="auto"/>
      </w:pBdr>
      <w:spacing w:after="240" w:line="240" w:lineRule="auto"/>
      <w:jc w:val="both"/>
      <w:outlineLvl w:val="1"/>
    </w:pPr>
    <w:rPr>
      <w:rFonts w:eastAsia="Times New Roman" w:cs="Calibri"/>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486760"/>
    <w:pPr>
      <w:spacing w:after="120" w:line="260" w:lineRule="atLeast"/>
      <w:jc w:val="both"/>
    </w:pPr>
    <w:rPr>
      <w:rFonts w:ascii="Times New Roman" w:eastAsia="Times New Roman" w:hAnsi="Times New Roman"/>
      <w:sz w:val="16"/>
      <w:szCs w:val="16"/>
    </w:rPr>
  </w:style>
  <w:style w:type="character" w:customStyle="1" w:styleId="Corpsdetexte3Car">
    <w:name w:val="Corps de texte 3 Car"/>
    <w:link w:val="Corpsdetexte3"/>
    <w:rsid w:val="00486760"/>
    <w:rPr>
      <w:rFonts w:ascii="Times New Roman" w:eastAsia="Times New Roman" w:hAnsi="Times New Roman" w:cs="Times New Roman"/>
      <w:sz w:val="16"/>
      <w:szCs w:val="16"/>
    </w:rPr>
  </w:style>
  <w:style w:type="paragraph" w:styleId="Paragraphedeliste">
    <w:name w:val="List Paragraph"/>
    <w:basedOn w:val="Normal"/>
    <w:uiPriority w:val="34"/>
    <w:qFormat/>
    <w:rsid w:val="00080C08"/>
    <w:pPr>
      <w:ind w:left="720"/>
      <w:contextualSpacing/>
    </w:pPr>
  </w:style>
  <w:style w:type="paragraph" w:styleId="En-tte">
    <w:name w:val="header"/>
    <w:basedOn w:val="Normal"/>
    <w:link w:val="En-tteCar"/>
    <w:uiPriority w:val="99"/>
    <w:rsid w:val="005800FE"/>
    <w:pPr>
      <w:tabs>
        <w:tab w:val="center" w:pos="4536"/>
        <w:tab w:val="right" w:pos="9072"/>
      </w:tabs>
    </w:pPr>
  </w:style>
  <w:style w:type="character" w:customStyle="1" w:styleId="En-tteCar">
    <w:name w:val="En-tête Car"/>
    <w:link w:val="En-tte"/>
    <w:uiPriority w:val="99"/>
    <w:rsid w:val="005800FE"/>
    <w:rPr>
      <w:sz w:val="22"/>
      <w:szCs w:val="22"/>
      <w:lang w:eastAsia="en-US"/>
    </w:rPr>
  </w:style>
  <w:style w:type="paragraph" w:styleId="Pieddepage">
    <w:name w:val="footer"/>
    <w:basedOn w:val="Normal"/>
    <w:link w:val="PieddepageCar"/>
    <w:rsid w:val="005800FE"/>
    <w:pPr>
      <w:tabs>
        <w:tab w:val="center" w:pos="4536"/>
        <w:tab w:val="right" w:pos="9072"/>
      </w:tabs>
    </w:pPr>
  </w:style>
  <w:style w:type="character" w:customStyle="1" w:styleId="PieddepageCar">
    <w:name w:val="Pied de page Car"/>
    <w:link w:val="Pieddepage"/>
    <w:rsid w:val="005800FE"/>
    <w:rPr>
      <w:sz w:val="22"/>
      <w:szCs w:val="22"/>
      <w:lang w:eastAsia="en-US"/>
    </w:rPr>
  </w:style>
  <w:style w:type="paragraph" w:styleId="Textedebulles">
    <w:name w:val="Balloon Text"/>
    <w:basedOn w:val="Normal"/>
    <w:link w:val="TextedebullesCar"/>
    <w:rsid w:val="005800FE"/>
    <w:pPr>
      <w:spacing w:after="0" w:line="240" w:lineRule="auto"/>
    </w:pPr>
    <w:rPr>
      <w:rFonts w:ascii="Tahoma" w:hAnsi="Tahoma" w:cs="Tahoma"/>
      <w:sz w:val="16"/>
      <w:szCs w:val="16"/>
    </w:rPr>
  </w:style>
  <w:style w:type="character" w:customStyle="1" w:styleId="TextedebullesCar">
    <w:name w:val="Texte de bulles Car"/>
    <w:link w:val="Textedebulles"/>
    <w:rsid w:val="005800FE"/>
    <w:rPr>
      <w:rFonts w:ascii="Tahoma" w:hAnsi="Tahoma" w:cs="Tahoma"/>
      <w:sz w:val="16"/>
      <w:szCs w:val="16"/>
      <w:lang w:eastAsia="en-US"/>
    </w:rPr>
  </w:style>
  <w:style w:type="character" w:customStyle="1" w:styleId="Titre1Car">
    <w:name w:val="Titre 1 Car"/>
    <w:link w:val="Titre1"/>
    <w:rsid w:val="00C93B44"/>
    <w:rPr>
      <w:b/>
      <w:sz w:val="24"/>
      <w:szCs w:val="24"/>
      <w:u w:val="single"/>
      <w:lang w:eastAsia="en-US"/>
    </w:rPr>
  </w:style>
  <w:style w:type="paragraph" w:styleId="TM1">
    <w:name w:val="toc 1"/>
    <w:basedOn w:val="Normal"/>
    <w:next w:val="Normal"/>
    <w:autoRedefine/>
    <w:uiPriority w:val="39"/>
    <w:rsid w:val="00C93B44"/>
  </w:style>
  <w:style w:type="character" w:styleId="Lienhypertexte">
    <w:name w:val="Hyperlink"/>
    <w:uiPriority w:val="99"/>
    <w:rsid w:val="00C93B44"/>
    <w:rPr>
      <w:color w:val="0563C1"/>
      <w:u w:val="single"/>
    </w:rPr>
  </w:style>
  <w:style w:type="table" w:styleId="Grilledutableau">
    <w:name w:val="Table Grid"/>
    <w:basedOn w:val="TableauNormal"/>
    <w:rsid w:val="008E5B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1D9B"/>
  </w:style>
  <w:style w:type="paragraph" w:styleId="NormalWeb">
    <w:name w:val="Normal (Web)"/>
    <w:basedOn w:val="Normal"/>
    <w:rsid w:val="000C0F7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rsid w:val="003416F7"/>
    <w:rPr>
      <w:rFonts w:eastAsia="Times New Roman" w:cs="Calibri"/>
      <w:b/>
      <w:sz w:val="22"/>
      <w:szCs w:val="22"/>
    </w:rPr>
  </w:style>
  <w:style w:type="character" w:styleId="Accentuation">
    <w:name w:val="Emphasis"/>
    <w:basedOn w:val="Policepardfaut"/>
    <w:qFormat/>
    <w:rsid w:val="00114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3697">
      <w:bodyDiv w:val="1"/>
      <w:marLeft w:val="0"/>
      <w:marRight w:val="0"/>
      <w:marTop w:val="0"/>
      <w:marBottom w:val="0"/>
      <w:divBdr>
        <w:top w:val="none" w:sz="0" w:space="0" w:color="auto"/>
        <w:left w:val="none" w:sz="0" w:space="0" w:color="auto"/>
        <w:bottom w:val="none" w:sz="0" w:space="0" w:color="auto"/>
        <w:right w:val="none" w:sz="0" w:space="0" w:color="auto"/>
      </w:divBdr>
    </w:div>
    <w:div w:id="1946839527">
      <w:bodyDiv w:val="1"/>
      <w:marLeft w:val="0"/>
      <w:marRight w:val="0"/>
      <w:marTop w:val="0"/>
      <w:marBottom w:val="0"/>
      <w:divBdr>
        <w:top w:val="none" w:sz="0" w:space="0" w:color="auto"/>
        <w:left w:val="none" w:sz="0" w:space="0" w:color="auto"/>
        <w:bottom w:val="none" w:sz="0" w:space="0" w:color="auto"/>
        <w:right w:val="none" w:sz="0" w:space="0" w:color="auto"/>
      </w:divBdr>
      <w:divsChild>
        <w:div w:id="1173256294">
          <w:marLeft w:val="0"/>
          <w:marRight w:val="0"/>
          <w:marTop w:val="0"/>
          <w:marBottom w:val="0"/>
          <w:divBdr>
            <w:top w:val="none" w:sz="0" w:space="0" w:color="auto"/>
            <w:left w:val="none" w:sz="0" w:space="0" w:color="auto"/>
            <w:bottom w:val="none" w:sz="0" w:space="0" w:color="auto"/>
            <w:right w:val="none" w:sz="0" w:space="0" w:color="auto"/>
          </w:divBdr>
        </w:div>
        <w:div w:id="366177235">
          <w:marLeft w:val="0"/>
          <w:marRight w:val="0"/>
          <w:marTop w:val="0"/>
          <w:marBottom w:val="0"/>
          <w:divBdr>
            <w:top w:val="none" w:sz="0" w:space="0" w:color="auto"/>
            <w:left w:val="none" w:sz="0" w:space="0" w:color="auto"/>
            <w:bottom w:val="none" w:sz="0" w:space="0" w:color="auto"/>
            <w:right w:val="none" w:sz="0" w:space="0" w:color="auto"/>
          </w:divBdr>
        </w:div>
        <w:div w:id="745490986">
          <w:marLeft w:val="0"/>
          <w:marRight w:val="0"/>
          <w:marTop w:val="0"/>
          <w:marBottom w:val="0"/>
          <w:divBdr>
            <w:top w:val="none" w:sz="0" w:space="0" w:color="auto"/>
            <w:left w:val="none" w:sz="0" w:space="0" w:color="auto"/>
            <w:bottom w:val="none" w:sz="0" w:space="0" w:color="auto"/>
            <w:right w:val="none" w:sz="0" w:space="0" w:color="auto"/>
          </w:divBdr>
        </w:div>
        <w:div w:id="1361204644">
          <w:marLeft w:val="0"/>
          <w:marRight w:val="0"/>
          <w:marTop w:val="0"/>
          <w:marBottom w:val="0"/>
          <w:divBdr>
            <w:top w:val="none" w:sz="0" w:space="0" w:color="auto"/>
            <w:left w:val="none" w:sz="0" w:space="0" w:color="auto"/>
            <w:bottom w:val="none" w:sz="0" w:space="0" w:color="auto"/>
            <w:right w:val="none" w:sz="0" w:space="0" w:color="auto"/>
          </w:divBdr>
        </w:div>
        <w:div w:id="467628225">
          <w:marLeft w:val="0"/>
          <w:marRight w:val="0"/>
          <w:marTop w:val="0"/>
          <w:marBottom w:val="0"/>
          <w:divBdr>
            <w:top w:val="none" w:sz="0" w:space="0" w:color="auto"/>
            <w:left w:val="none" w:sz="0" w:space="0" w:color="auto"/>
            <w:bottom w:val="none" w:sz="0" w:space="0" w:color="auto"/>
            <w:right w:val="none" w:sz="0" w:space="0" w:color="auto"/>
          </w:divBdr>
        </w:div>
        <w:div w:id="907885309">
          <w:marLeft w:val="0"/>
          <w:marRight w:val="0"/>
          <w:marTop w:val="0"/>
          <w:marBottom w:val="0"/>
          <w:divBdr>
            <w:top w:val="none" w:sz="0" w:space="0" w:color="auto"/>
            <w:left w:val="none" w:sz="0" w:space="0" w:color="auto"/>
            <w:bottom w:val="none" w:sz="0" w:space="0" w:color="auto"/>
            <w:right w:val="none" w:sz="0" w:space="0" w:color="auto"/>
          </w:divBdr>
        </w:div>
        <w:div w:id="171527178">
          <w:marLeft w:val="0"/>
          <w:marRight w:val="0"/>
          <w:marTop w:val="0"/>
          <w:marBottom w:val="0"/>
          <w:divBdr>
            <w:top w:val="none" w:sz="0" w:space="0" w:color="auto"/>
            <w:left w:val="none" w:sz="0" w:space="0" w:color="auto"/>
            <w:bottom w:val="none" w:sz="0" w:space="0" w:color="auto"/>
            <w:right w:val="none" w:sz="0" w:space="0" w:color="auto"/>
          </w:divBdr>
        </w:div>
        <w:div w:id="1088577048">
          <w:marLeft w:val="0"/>
          <w:marRight w:val="0"/>
          <w:marTop w:val="0"/>
          <w:marBottom w:val="0"/>
          <w:divBdr>
            <w:top w:val="none" w:sz="0" w:space="0" w:color="auto"/>
            <w:left w:val="none" w:sz="0" w:space="0" w:color="auto"/>
            <w:bottom w:val="none" w:sz="0" w:space="0" w:color="auto"/>
            <w:right w:val="none" w:sz="0" w:space="0" w:color="auto"/>
          </w:divBdr>
        </w:div>
        <w:div w:id="1829128837">
          <w:marLeft w:val="0"/>
          <w:marRight w:val="0"/>
          <w:marTop w:val="0"/>
          <w:marBottom w:val="0"/>
          <w:divBdr>
            <w:top w:val="none" w:sz="0" w:space="0" w:color="auto"/>
            <w:left w:val="none" w:sz="0" w:space="0" w:color="auto"/>
            <w:bottom w:val="none" w:sz="0" w:space="0" w:color="auto"/>
            <w:right w:val="none" w:sz="0" w:space="0" w:color="auto"/>
          </w:divBdr>
        </w:div>
        <w:div w:id="1726905375">
          <w:marLeft w:val="0"/>
          <w:marRight w:val="0"/>
          <w:marTop w:val="0"/>
          <w:marBottom w:val="0"/>
          <w:divBdr>
            <w:top w:val="none" w:sz="0" w:space="0" w:color="auto"/>
            <w:left w:val="none" w:sz="0" w:space="0" w:color="auto"/>
            <w:bottom w:val="none" w:sz="0" w:space="0" w:color="auto"/>
            <w:right w:val="none" w:sz="0" w:space="0" w:color="auto"/>
          </w:divBdr>
        </w:div>
        <w:div w:id="1290863877">
          <w:marLeft w:val="0"/>
          <w:marRight w:val="0"/>
          <w:marTop w:val="0"/>
          <w:marBottom w:val="0"/>
          <w:divBdr>
            <w:top w:val="none" w:sz="0" w:space="0" w:color="auto"/>
            <w:left w:val="none" w:sz="0" w:space="0" w:color="auto"/>
            <w:bottom w:val="none" w:sz="0" w:space="0" w:color="auto"/>
            <w:right w:val="none" w:sz="0" w:space="0" w:color="auto"/>
          </w:divBdr>
        </w:div>
        <w:div w:id="606933924">
          <w:marLeft w:val="0"/>
          <w:marRight w:val="0"/>
          <w:marTop w:val="0"/>
          <w:marBottom w:val="0"/>
          <w:divBdr>
            <w:top w:val="none" w:sz="0" w:space="0" w:color="auto"/>
            <w:left w:val="none" w:sz="0" w:space="0" w:color="auto"/>
            <w:bottom w:val="none" w:sz="0" w:space="0" w:color="auto"/>
            <w:right w:val="none" w:sz="0" w:space="0" w:color="auto"/>
          </w:divBdr>
        </w:div>
        <w:div w:id="203300377">
          <w:marLeft w:val="0"/>
          <w:marRight w:val="0"/>
          <w:marTop w:val="0"/>
          <w:marBottom w:val="0"/>
          <w:divBdr>
            <w:top w:val="none" w:sz="0" w:space="0" w:color="auto"/>
            <w:left w:val="none" w:sz="0" w:space="0" w:color="auto"/>
            <w:bottom w:val="none" w:sz="0" w:space="0" w:color="auto"/>
            <w:right w:val="none" w:sz="0" w:space="0" w:color="auto"/>
          </w:divBdr>
        </w:div>
        <w:div w:id="902326721">
          <w:marLeft w:val="0"/>
          <w:marRight w:val="0"/>
          <w:marTop w:val="0"/>
          <w:marBottom w:val="0"/>
          <w:divBdr>
            <w:top w:val="none" w:sz="0" w:space="0" w:color="auto"/>
            <w:left w:val="none" w:sz="0" w:space="0" w:color="auto"/>
            <w:bottom w:val="none" w:sz="0" w:space="0" w:color="auto"/>
            <w:right w:val="none" w:sz="0" w:space="0" w:color="auto"/>
          </w:divBdr>
        </w:div>
        <w:div w:id="1016660755">
          <w:marLeft w:val="0"/>
          <w:marRight w:val="0"/>
          <w:marTop w:val="0"/>
          <w:marBottom w:val="0"/>
          <w:divBdr>
            <w:top w:val="none" w:sz="0" w:space="0" w:color="auto"/>
            <w:left w:val="none" w:sz="0" w:space="0" w:color="auto"/>
            <w:bottom w:val="none" w:sz="0" w:space="0" w:color="auto"/>
            <w:right w:val="none" w:sz="0" w:space="0" w:color="auto"/>
          </w:divBdr>
        </w:div>
        <w:div w:id="110512961">
          <w:marLeft w:val="0"/>
          <w:marRight w:val="0"/>
          <w:marTop w:val="0"/>
          <w:marBottom w:val="0"/>
          <w:divBdr>
            <w:top w:val="none" w:sz="0" w:space="0" w:color="auto"/>
            <w:left w:val="none" w:sz="0" w:space="0" w:color="auto"/>
            <w:bottom w:val="none" w:sz="0" w:space="0" w:color="auto"/>
            <w:right w:val="none" w:sz="0" w:space="0" w:color="auto"/>
          </w:divBdr>
        </w:div>
        <w:div w:id="592471230">
          <w:marLeft w:val="0"/>
          <w:marRight w:val="0"/>
          <w:marTop w:val="0"/>
          <w:marBottom w:val="0"/>
          <w:divBdr>
            <w:top w:val="none" w:sz="0" w:space="0" w:color="auto"/>
            <w:left w:val="none" w:sz="0" w:space="0" w:color="auto"/>
            <w:bottom w:val="none" w:sz="0" w:space="0" w:color="auto"/>
            <w:right w:val="none" w:sz="0" w:space="0" w:color="auto"/>
          </w:divBdr>
        </w:div>
        <w:div w:id="1933930174">
          <w:marLeft w:val="0"/>
          <w:marRight w:val="0"/>
          <w:marTop w:val="0"/>
          <w:marBottom w:val="0"/>
          <w:divBdr>
            <w:top w:val="none" w:sz="0" w:space="0" w:color="auto"/>
            <w:left w:val="none" w:sz="0" w:space="0" w:color="auto"/>
            <w:bottom w:val="none" w:sz="0" w:space="0" w:color="auto"/>
            <w:right w:val="none" w:sz="0" w:space="0" w:color="auto"/>
          </w:divBdr>
        </w:div>
        <w:div w:id="650136309">
          <w:marLeft w:val="0"/>
          <w:marRight w:val="0"/>
          <w:marTop w:val="0"/>
          <w:marBottom w:val="0"/>
          <w:divBdr>
            <w:top w:val="none" w:sz="0" w:space="0" w:color="auto"/>
            <w:left w:val="none" w:sz="0" w:space="0" w:color="auto"/>
            <w:bottom w:val="none" w:sz="0" w:space="0" w:color="auto"/>
            <w:right w:val="none" w:sz="0" w:space="0" w:color="auto"/>
          </w:divBdr>
        </w:div>
        <w:div w:id="754127593">
          <w:marLeft w:val="0"/>
          <w:marRight w:val="0"/>
          <w:marTop w:val="0"/>
          <w:marBottom w:val="0"/>
          <w:divBdr>
            <w:top w:val="none" w:sz="0" w:space="0" w:color="auto"/>
            <w:left w:val="none" w:sz="0" w:space="0" w:color="auto"/>
            <w:bottom w:val="none" w:sz="0" w:space="0" w:color="auto"/>
            <w:right w:val="none" w:sz="0" w:space="0" w:color="auto"/>
          </w:divBdr>
        </w:div>
        <w:div w:id="2109740336">
          <w:marLeft w:val="0"/>
          <w:marRight w:val="0"/>
          <w:marTop w:val="0"/>
          <w:marBottom w:val="0"/>
          <w:divBdr>
            <w:top w:val="none" w:sz="0" w:space="0" w:color="auto"/>
            <w:left w:val="none" w:sz="0" w:space="0" w:color="auto"/>
            <w:bottom w:val="none" w:sz="0" w:space="0" w:color="auto"/>
            <w:right w:val="none" w:sz="0" w:space="0" w:color="auto"/>
          </w:divBdr>
        </w:div>
        <w:div w:id="1398431140">
          <w:marLeft w:val="0"/>
          <w:marRight w:val="0"/>
          <w:marTop w:val="0"/>
          <w:marBottom w:val="0"/>
          <w:divBdr>
            <w:top w:val="none" w:sz="0" w:space="0" w:color="auto"/>
            <w:left w:val="none" w:sz="0" w:space="0" w:color="auto"/>
            <w:bottom w:val="none" w:sz="0" w:space="0" w:color="auto"/>
            <w:right w:val="none" w:sz="0" w:space="0" w:color="auto"/>
          </w:divBdr>
        </w:div>
        <w:div w:id="89662620">
          <w:marLeft w:val="0"/>
          <w:marRight w:val="0"/>
          <w:marTop w:val="0"/>
          <w:marBottom w:val="0"/>
          <w:divBdr>
            <w:top w:val="none" w:sz="0" w:space="0" w:color="auto"/>
            <w:left w:val="none" w:sz="0" w:space="0" w:color="auto"/>
            <w:bottom w:val="none" w:sz="0" w:space="0" w:color="auto"/>
            <w:right w:val="none" w:sz="0" w:space="0" w:color="auto"/>
          </w:divBdr>
        </w:div>
        <w:div w:id="2093819766">
          <w:marLeft w:val="0"/>
          <w:marRight w:val="0"/>
          <w:marTop w:val="0"/>
          <w:marBottom w:val="0"/>
          <w:divBdr>
            <w:top w:val="none" w:sz="0" w:space="0" w:color="auto"/>
            <w:left w:val="none" w:sz="0" w:space="0" w:color="auto"/>
            <w:bottom w:val="none" w:sz="0" w:space="0" w:color="auto"/>
            <w:right w:val="none" w:sz="0" w:space="0" w:color="auto"/>
          </w:divBdr>
        </w:div>
        <w:div w:id="2024354346">
          <w:marLeft w:val="0"/>
          <w:marRight w:val="0"/>
          <w:marTop w:val="0"/>
          <w:marBottom w:val="0"/>
          <w:divBdr>
            <w:top w:val="none" w:sz="0" w:space="0" w:color="auto"/>
            <w:left w:val="none" w:sz="0" w:space="0" w:color="auto"/>
            <w:bottom w:val="none" w:sz="0" w:space="0" w:color="auto"/>
            <w:right w:val="none" w:sz="0" w:space="0" w:color="auto"/>
          </w:divBdr>
        </w:div>
        <w:div w:id="204372929">
          <w:marLeft w:val="0"/>
          <w:marRight w:val="0"/>
          <w:marTop w:val="0"/>
          <w:marBottom w:val="0"/>
          <w:divBdr>
            <w:top w:val="none" w:sz="0" w:space="0" w:color="auto"/>
            <w:left w:val="none" w:sz="0" w:space="0" w:color="auto"/>
            <w:bottom w:val="none" w:sz="0" w:space="0" w:color="auto"/>
            <w:right w:val="none" w:sz="0" w:space="0" w:color="auto"/>
          </w:divBdr>
        </w:div>
        <w:div w:id="941258042">
          <w:marLeft w:val="0"/>
          <w:marRight w:val="0"/>
          <w:marTop w:val="0"/>
          <w:marBottom w:val="0"/>
          <w:divBdr>
            <w:top w:val="none" w:sz="0" w:space="0" w:color="auto"/>
            <w:left w:val="none" w:sz="0" w:space="0" w:color="auto"/>
            <w:bottom w:val="none" w:sz="0" w:space="0" w:color="auto"/>
            <w:right w:val="none" w:sz="0" w:space="0" w:color="auto"/>
          </w:divBdr>
        </w:div>
        <w:div w:id="1600748182">
          <w:marLeft w:val="0"/>
          <w:marRight w:val="0"/>
          <w:marTop w:val="0"/>
          <w:marBottom w:val="0"/>
          <w:divBdr>
            <w:top w:val="none" w:sz="0" w:space="0" w:color="auto"/>
            <w:left w:val="none" w:sz="0" w:space="0" w:color="auto"/>
            <w:bottom w:val="none" w:sz="0" w:space="0" w:color="auto"/>
            <w:right w:val="none" w:sz="0" w:space="0" w:color="auto"/>
          </w:divBdr>
        </w:div>
        <w:div w:id="2007706928">
          <w:marLeft w:val="0"/>
          <w:marRight w:val="0"/>
          <w:marTop w:val="0"/>
          <w:marBottom w:val="0"/>
          <w:divBdr>
            <w:top w:val="none" w:sz="0" w:space="0" w:color="auto"/>
            <w:left w:val="none" w:sz="0" w:space="0" w:color="auto"/>
            <w:bottom w:val="none" w:sz="0" w:space="0" w:color="auto"/>
            <w:right w:val="none" w:sz="0" w:space="0" w:color="auto"/>
          </w:divBdr>
        </w:div>
        <w:div w:id="213204855">
          <w:marLeft w:val="0"/>
          <w:marRight w:val="0"/>
          <w:marTop w:val="0"/>
          <w:marBottom w:val="0"/>
          <w:divBdr>
            <w:top w:val="none" w:sz="0" w:space="0" w:color="auto"/>
            <w:left w:val="none" w:sz="0" w:space="0" w:color="auto"/>
            <w:bottom w:val="none" w:sz="0" w:space="0" w:color="auto"/>
            <w:right w:val="none" w:sz="0" w:space="0" w:color="auto"/>
          </w:divBdr>
        </w:div>
        <w:div w:id="1556627447">
          <w:marLeft w:val="0"/>
          <w:marRight w:val="0"/>
          <w:marTop w:val="0"/>
          <w:marBottom w:val="0"/>
          <w:divBdr>
            <w:top w:val="none" w:sz="0" w:space="0" w:color="auto"/>
            <w:left w:val="none" w:sz="0" w:space="0" w:color="auto"/>
            <w:bottom w:val="none" w:sz="0" w:space="0" w:color="auto"/>
            <w:right w:val="none" w:sz="0" w:space="0" w:color="auto"/>
          </w:divBdr>
        </w:div>
        <w:div w:id="1920678120">
          <w:marLeft w:val="0"/>
          <w:marRight w:val="0"/>
          <w:marTop w:val="0"/>
          <w:marBottom w:val="0"/>
          <w:divBdr>
            <w:top w:val="none" w:sz="0" w:space="0" w:color="auto"/>
            <w:left w:val="none" w:sz="0" w:space="0" w:color="auto"/>
            <w:bottom w:val="none" w:sz="0" w:space="0" w:color="auto"/>
            <w:right w:val="none" w:sz="0" w:space="0" w:color="auto"/>
          </w:divBdr>
        </w:div>
        <w:div w:id="590117902">
          <w:marLeft w:val="0"/>
          <w:marRight w:val="0"/>
          <w:marTop w:val="0"/>
          <w:marBottom w:val="0"/>
          <w:divBdr>
            <w:top w:val="none" w:sz="0" w:space="0" w:color="auto"/>
            <w:left w:val="none" w:sz="0" w:space="0" w:color="auto"/>
            <w:bottom w:val="none" w:sz="0" w:space="0" w:color="auto"/>
            <w:right w:val="none" w:sz="0" w:space="0" w:color="auto"/>
          </w:divBdr>
        </w:div>
        <w:div w:id="1503276355">
          <w:marLeft w:val="0"/>
          <w:marRight w:val="0"/>
          <w:marTop w:val="0"/>
          <w:marBottom w:val="0"/>
          <w:divBdr>
            <w:top w:val="none" w:sz="0" w:space="0" w:color="auto"/>
            <w:left w:val="none" w:sz="0" w:space="0" w:color="auto"/>
            <w:bottom w:val="none" w:sz="0" w:space="0" w:color="auto"/>
            <w:right w:val="none" w:sz="0" w:space="0" w:color="auto"/>
          </w:divBdr>
        </w:div>
        <w:div w:id="1955096838">
          <w:marLeft w:val="0"/>
          <w:marRight w:val="0"/>
          <w:marTop w:val="0"/>
          <w:marBottom w:val="0"/>
          <w:divBdr>
            <w:top w:val="none" w:sz="0" w:space="0" w:color="auto"/>
            <w:left w:val="none" w:sz="0" w:space="0" w:color="auto"/>
            <w:bottom w:val="none" w:sz="0" w:space="0" w:color="auto"/>
            <w:right w:val="none" w:sz="0" w:space="0" w:color="auto"/>
          </w:divBdr>
        </w:div>
        <w:div w:id="1050149683">
          <w:marLeft w:val="0"/>
          <w:marRight w:val="0"/>
          <w:marTop w:val="0"/>
          <w:marBottom w:val="0"/>
          <w:divBdr>
            <w:top w:val="none" w:sz="0" w:space="0" w:color="auto"/>
            <w:left w:val="none" w:sz="0" w:space="0" w:color="auto"/>
            <w:bottom w:val="none" w:sz="0" w:space="0" w:color="auto"/>
            <w:right w:val="none" w:sz="0" w:space="0" w:color="auto"/>
          </w:divBdr>
        </w:div>
        <w:div w:id="1367870982">
          <w:marLeft w:val="0"/>
          <w:marRight w:val="0"/>
          <w:marTop w:val="0"/>
          <w:marBottom w:val="0"/>
          <w:divBdr>
            <w:top w:val="none" w:sz="0" w:space="0" w:color="auto"/>
            <w:left w:val="none" w:sz="0" w:space="0" w:color="auto"/>
            <w:bottom w:val="none" w:sz="0" w:space="0" w:color="auto"/>
            <w:right w:val="none" w:sz="0" w:space="0" w:color="auto"/>
          </w:divBdr>
        </w:div>
        <w:div w:id="2024673159">
          <w:marLeft w:val="0"/>
          <w:marRight w:val="0"/>
          <w:marTop w:val="0"/>
          <w:marBottom w:val="0"/>
          <w:divBdr>
            <w:top w:val="none" w:sz="0" w:space="0" w:color="auto"/>
            <w:left w:val="none" w:sz="0" w:space="0" w:color="auto"/>
            <w:bottom w:val="none" w:sz="0" w:space="0" w:color="auto"/>
            <w:right w:val="none" w:sz="0" w:space="0" w:color="auto"/>
          </w:divBdr>
        </w:div>
        <w:div w:id="1194727358">
          <w:marLeft w:val="0"/>
          <w:marRight w:val="0"/>
          <w:marTop w:val="0"/>
          <w:marBottom w:val="0"/>
          <w:divBdr>
            <w:top w:val="none" w:sz="0" w:space="0" w:color="auto"/>
            <w:left w:val="none" w:sz="0" w:space="0" w:color="auto"/>
            <w:bottom w:val="none" w:sz="0" w:space="0" w:color="auto"/>
            <w:right w:val="none" w:sz="0" w:space="0" w:color="auto"/>
          </w:divBdr>
        </w:div>
        <w:div w:id="161863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225A90-7E2A-4575-8859-C75EF552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7242</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2017-10-20T12:15:00Z</cp:lastPrinted>
  <dcterms:created xsi:type="dcterms:W3CDTF">2017-11-27T14:52:00Z</dcterms:created>
  <dcterms:modified xsi:type="dcterms:W3CDTF">2017-11-27T14:52:00Z</dcterms:modified>
</cp:coreProperties>
</file>