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A0" w:rsidRDefault="007140A0">
      <w:pPr>
        <w:rPr>
          <w:b/>
        </w:rPr>
      </w:pPr>
    </w:p>
    <w:p w:rsidR="007140A0" w:rsidRPr="007140A0" w:rsidRDefault="007140A0" w:rsidP="007140A0">
      <w:pPr>
        <w:pBdr>
          <w:top w:val="single" w:sz="18" w:space="1" w:color="auto"/>
          <w:left w:val="single" w:sz="18" w:space="4" w:color="auto"/>
          <w:bottom w:val="single" w:sz="18" w:space="1" w:color="auto"/>
          <w:right w:val="single" w:sz="18" w:space="4" w:color="auto"/>
        </w:pBdr>
        <w:jc w:val="center"/>
        <w:rPr>
          <w:rFonts w:ascii="Arial Black" w:hAnsi="Arial Black"/>
          <w:b/>
        </w:rPr>
      </w:pPr>
      <w:r w:rsidRPr="007140A0">
        <w:rPr>
          <w:rFonts w:ascii="Arial Black" w:hAnsi="Arial Black"/>
          <w:b/>
        </w:rPr>
        <w:t>NEGOCIATIONS ANNUELLES OBLIGATOIRES</w:t>
      </w:r>
    </w:p>
    <w:p w:rsidR="007140A0" w:rsidRPr="007140A0" w:rsidRDefault="007140A0" w:rsidP="007140A0">
      <w:pPr>
        <w:pBdr>
          <w:top w:val="single" w:sz="18" w:space="1" w:color="auto"/>
          <w:left w:val="single" w:sz="18" w:space="4" w:color="auto"/>
          <w:bottom w:val="single" w:sz="18" w:space="1" w:color="auto"/>
          <w:right w:val="single" w:sz="18" w:space="4" w:color="auto"/>
        </w:pBdr>
        <w:jc w:val="center"/>
        <w:rPr>
          <w:rFonts w:ascii="Arial Black" w:hAnsi="Arial Black"/>
          <w:b/>
        </w:rPr>
      </w:pPr>
      <w:r w:rsidRPr="007140A0">
        <w:rPr>
          <w:rFonts w:ascii="Arial Black" w:hAnsi="Arial Black"/>
          <w:b/>
        </w:rPr>
        <w:t>PROTOCOLE D’ACCORD 2017</w:t>
      </w:r>
    </w:p>
    <w:p w:rsidR="007140A0" w:rsidRDefault="007140A0">
      <w:pPr>
        <w:rPr>
          <w:b/>
        </w:rPr>
      </w:pPr>
    </w:p>
    <w:p w:rsidR="006A4921" w:rsidRDefault="006A4921">
      <w:pPr>
        <w:rPr>
          <w:rFonts w:ascii="Arial" w:hAnsi="Arial" w:cs="Arial"/>
        </w:rPr>
      </w:pPr>
      <w:r w:rsidRPr="006A4921">
        <w:rPr>
          <w:rFonts w:ascii="Arial" w:hAnsi="Arial" w:cs="Arial"/>
        </w:rPr>
        <w:t xml:space="preserve">A </w:t>
      </w:r>
      <w:r>
        <w:rPr>
          <w:rFonts w:ascii="Arial" w:hAnsi="Arial" w:cs="Arial"/>
        </w:rPr>
        <w:t xml:space="preserve">l’issue des réunions de négociation prévues par l’article L.2242-1 du Code du travail, qui se sont déroulées </w:t>
      </w:r>
      <w:r w:rsidR="00C36FE7">
        <w:rPr>
          <w:rFonts w:ascii="Arial" w:hAnsi="Arial" w:cs="Arial"/>
        </w:rPr>
        <w:t>pour l’année 2018, suivant le calendrier ci-après :</w:t>
      </w:r>
    </w:p>
    <w:p w:rsidR="00C36FE7" w:rsidRDefault="00C36FE7" w:rsidP="00C36FE7">
      <w:pPr>
        <w:spacing w:after="0" w:line="240" w:lineRule="auto"/>
        <w:rPr>
          <w:rFonts w:ascii="Arial" w:hAnsi="Arial" w:cs="Arial"/>
        </w:rPr>
      </w:pPr>
      <w:r>
        <w:rPr>
          <w:rFonts w:ascii="Arial" w:hAnsi="Arial" w:cs="Arial"/>
        </w:rPr>
        <w:t>. Mardi 19/09/17</w:t>
      </w:r>
    </w:p>
    <w:p w:rsidR="00C36FE7" w:rsidRDefault="00C36FE7" w:rsidP="00C36FE7">
      <w:pPr>
        <w:spacing w:after="0" w:line="240" w:lineRule="auto"/>
        <w:rPr>
          <w:rFonts w:ascii="Arial" w:hAnsi="Arial" w:cs="Arial"/>
        </w:rPr>
      </w:pPr>
      <w:r>
        <w:rPr>
          <w:rFonts w:ascii="Arial" w:hAnsi="Arial" w:cs="Arial"/>
        </w:rPr>
        <w:t>. Lundi 25/09/17</w:t>
      </w:r>
    </w:p>
    <w:p w:rsidR="00C36FE7" w:rsidRDefault="00C36FE7" w:rsidP="00C36FE7">
      <w:pPr>
        <w:spacing w:after="0" w:line="240" w:lineRule="auto"/>
        <w:rPr>
          <w:rFonts w:ascii="Arial" w:hAnsi="Arial" w:cs="Arial"/>
        </w:rPr>
      </w:pPr>
      <w:r>
        <w:rPr>
          <w:rFonts w:ascii="Arial" w:hAnsi="Arial" w:cs="Arial"/>
        </w:rPr>
        <w:t>. Lundi 02/10/17</w:t>
      </w:r>
    </w:p>
    <w:p w:rsidR="00C36FE7" w:rsidRDefault="00C36FE7" w:rsidP="00C36FE7">
      <w:pPr>
        <w:spacing w:after="0" w:line="240" w:lineRule="auto"/>
        <w:rPr>
          <w:rFonts w:ascii="Arial" w:hAnsi="Arial" w:cs="Arial"/>
        </w:rPr>
      </w:pPr>
      <w:r>
        <w:rPr>
          <w:rFonts w:ascii="Arial" w:hAnsi="Arial" w:cs="Arial"/>
        </w:rPr>
        <w:t>. Jeudi 05/10/17</w:t>
      </w:r>
    </w:p>
    <w:p w:rsidR="00C36FE7" w:rsidRDefault="00C36FE7" w:rsidP="00C36FE7">
      <w:pPr>
        <w:spacing w:after="0" w:line="240" w:lineRule="auto"/>
        <w:rPr>
          <w:rFonts w:ascii="Arial" w:hAnsi="Arial" w:cs="Arial"/>
        </w:rPr>
      </w:pPr>
    </w:p>
    <w:p w:rsidR="00C36FE7" w:rsidRDefault="00C36FE7" w:rsidP="00C36FE7">
      <w:pPr>
        <w:spacing w:after="0" w:line="240" w:lineRule="auto"/>
        <w:rPr>
          <w:rFonts w:ascii="Arial" w:hAnsi="Arial" w:cs="Arial"/>
        </w:rPr>
      </w:pPr>
      <w:r>
        <w:rPr>
          <w:rFonts w:ascii="Arial" w:hAnsi="Arial" w:cs="Arial"/>
        </w:rPr>
        <w:t xml:space="preserve">Et qui ont porté sur l’ensemble des points évoqués, ci-dessous, la société TEISSEIRE France représentée par </w:t>
      </w:r>
      <w:r w:rsidR="00E267C5">
        <w:rPr>
          <w:rFonts w:ascii="Arial" w:hAnsi="Arial" w:cs="Arial"/>
        </w:rPr>
        <w:t>le</w:t>
      </w:r>
      <w:r>
        <w:rPr>
          <w:rFonts w:ascii="Arial" w:hAnsi="Arial" w:cs="Arial"/>
        </w:rPr>
        <w:t xml:space="preserve"> Directeur Ressources Humaines, le Délégué Syndical de la section CFE-CGC, et le Délégué Syndical CGT, ont convenu des dispositions suivantes :</w:t>
      </w:r>
    </w:p>
    <w:p w:rsidR="00C36FE7" w:rsidRPr="006A4921" w:rsidRDefault="00C36FE7" w:rsidP="00C36FE7">
      <w:pPr>
        <w:spacing w:after="0" w:line="240" w:lineRule="auto"/>
        <w:rPr>
          <w:rFonts w:ascii="Arial" w:hAnsi="Arial" w:cs="Arial"/>
        </w:rPr>
      </w:pPr>
    </w:p>
    <w:p w:rsidR="007140A0" w:rsidRDefault="007140A0" w:rsidP="00C36FE7">
      <w:pPr>
        <w:spacing w:after="0" w:line="240" w:lineRule="auto"/>
        <w:rPr>
          <w:b/>
        </w:rPr>
      </w:pPr>
    </w:p>
    <w:p w:rsidR="00F37D96" w:rsidRPr="007140A0" w:rsidRDefault="00991B2D" w:rsidP="007140A0">
      <w:pPr>
        <w:jc w:val="both"/>
        <w:rPr>
          <w:rFonts w:ascii="Arial" w:hAnsi="Arial" w:cs="Arial"/>
          <w:b/>
        </w:rPr>
      </w:pPr>
      <w:r w:rsidRPr="007140A0">
        <w:rPr>
          <w:rFonts w:ascii="Arial" w:hAnsi="Arial" w:cs="Arial"/>
          <w:b/>
        </w:rPr>
        <w:t>Article 1 : Augmentation générale</w:t>
      </w:r>
    </w:p>
    <w:p w:rsidR="00991B2D" w:rsidRPr="007140A0" w:rsidRDefault="00991B2D" w:rsidP="007140A0">
      <w:pPr>
        <w:jc w:val="both"/>
        <w:rPr>
          <w:rFonts w:ascii="Arial" w:hAnsi="Arial" w:cs="Arial"/>
        </w:rPr>
      </w:pPr>
      <w:r w:rsidRPr="007140A0">
        <w:rPr>
          <w:rFonts w:ascii="Arial" w:hAnsi="Arial" w:cs="Arial"/>
        </w:rPr>
        <w:t>Une augmentation générale forfaitaire de 45 euros bruts mensuels pour un temps complet sera appliquée pour tous les Ouvriers, Employés, Techniciens et Agents de Maîtrise, hors Techniciens des réseaux commerciaux.</w:t>
      </w:r>
    </w:p>
    <w:p w:rsidR="00991B2D" w:rsidRPr="007140A0" w:rsidRDefault="00991B2D" w:rsidP="007140A0">
      <w:pPr>
        <w:jc w:val="both"/>
        <w:rPr>
          <w:rFonts w:ascii="Arial" w:hAnsi="Arial" w:cs="Arial"/>
        </w:rPr>
      </w:pPr>
      <w:r w:rsidRPr="007140A0">
        <w:rPr>
          <w:rFonts w:ascii="Arial" w:hAnsi="Arial" w:cs="Arial"/>
        </w:rPr>
        <w:t>Il est rappelé le principe d’égalité de salaire entre les hommes et les femmes. Des données annuelles sont fournies chaque année aux représentants du personnel dans le cadre du rapport unique annuel afin de veiller au respect de ce principe au sein de l’entreprise.</w:t>
      </w:r>
    </w:p>
    <w:p w:rsidR="007140A0" w:rsidRDefault="007140A0" w:rsidP="007140A0">
      <w:pPr>
        <w:jc w:val="both"/>
        <w:rPr>
          <w:rFonts w:ascii="Arial" w:hAnsi="Arial" w:cs="Arial"/>
          <w:b/>
        </w:rPr>
      </w:pPr>
    </w:p>
    <w:p w:rsidR="00991B2D" w:rsidRPr="007140A0" w:rsidRDefault="003E6412" w:rsidP="007140A0">
      <w:pPr>
        <w:jc w:val="both"/>
        <w:rPr>
          <w:rFonts w:ascii="Arial" w:hAnsi="Arial" w:cs="Arial"/>
          <w:b/>
        </w:rPr>
      </w:pPr>
      <w:r w:rsidRPr="007140A0">
        <w:rPr>
          <w:rFonts w:ascii="Arial" w:hAnsi="Arial" w:cs="Arial"/>
          <w:b/>
        </w:rPr>
        <w:t>Article 2 : Prime de Fin d’Année (PFA)</w:t>
      </w:r>
    </w:p>
    <w:p w:rsidR="003E6412" w:rsidRPr="007140A0" w:rsidRDefault="003E6412" w:rsidP="007140A0">
      <w:pPr>
        <w:jc w:val="both"/>
        <w:rPr>
          <w:rFonts w:ascii="Arial" w:hAnsi="Arial" w:cs="Arial"/>
        </w:rPr>
      </w:pPr>
      <w:r w:rsidRPr="007140A0">
        <w:rPr>
          <w:rFonts w:ascii="Arial" w:hAnsi="Arial" w:cs="Arial"/>
        </w:rPr>
        <w:t>La prime de Fin d’Année versée en 2017 sera valorisée à hauteur de 0.9% ce qui correspond au taux de l’indice INSEE.</w:t>
      </w:r>
    </w:p>
    <w:p w:rsidR="007140A0" w:rsidRDefault="007140A0" w:rsidP="007140A0">
      <w:pPr>
        <w:jc w:val="both"/>
        <w:rPr>
          <w:rFonts w:ascii="Arial" w:hAnsi="Arial" w:cs="Arial"/>
          <w:b/>
        </w:rPr>
      </w:pPr>
    </w:p>
    <w:p w:rsidR="003E6412" w:rsidRPr="007140A0" w:rsidRDefault="003E6412" w:rsidP="007140A0">
      <w:pPr>
        <w:jc w:val="both"/>
        <w:rPr>
          <w:rFonts w:ascii="Arial" w:hAnsi="Arial" w:cs="Arial"/>
          <w:b/>
        </w:rPr>
      </w:pPr>
      <w:r w:rsidRPr="007140A0">
        <w:rPr>
          <w:rFonts w:ascii="Arial" w:hAnsi="Arial" w:cs="Arial"/>
          <w:b/>
        </w:rPr>
        <w:t>Article 3 : Modalités de calcul de la prime objectif EOTAM</w:t>
      </w:r>
    </w:p>
    <w:p w:rsidR="003E6412" w:rsidRPr="007140A0" w:rsidRDefault="003E6412" w:rsidP="007140A0">
      <w:pPr>
        <w:jc w:val="both"/>
        <w:rPr>
          <w:rFonts w:ascii="Arial" w:hAnsi="Arial" w:cs="Arial"/>
        </w:rPr>
      </w:pPr>
      <w:r w:rsidRPr="007140A0">
        <w:rPr>
          <w:rFonts w:ascii="Arial" w:hAnsi="Arial" w:cs="Arial"/>
        </w:rPr>
        <w:t>Il a é</w:t>
      </w:r>
      <w:r w:rsidR="00CC73BE" w:rsidRPr="007140A0">
        <w:rPr>
          <w:rFonts w:ascii="Arial" w:hAnsi="Arial" w:cs="Arial"/>
        </w:rPr>
        <w:t>t</w:t>
      </w:r>
      <w:r w:rsidRPr="007140A0">
        <w:rPr>
          <w:rFonts w:ascii="Arial" w:hAnsi="Arial" w:cs="Arial"/>
        </w:rPr>
        <w:t>é convenu à titre dérogatoire et exceptionnel que cette prime de 430 euros calculée sur la période du 1</w:t>
      </w:r>
      <w:r w:rsidRPr="007140A0">
        <w:rPr>
          <w:rFonts w:ascii="Arial" w:hAnsi="Arial" w:cs="Arial"/>
          <w:vertAlign w:val="superscript"/>
        </w:rPr>
        <w:t>er</w:t>
      </w:r>
      <w:r w:rsidRPr="007140A0">
        <w:rPr>
          <w:rFonts w:ascii="Arial" w:hAnsi="Arial" w:cs="Arial"/>
        </w:rPr>
        <w:t xml:space="preserve"> octobre 2016 au 30 septembre 2017, sera versée à 100 % au prorata </w:t>
      </w:r>
      <w:proofErr w:type="spellStart"/>
      <w:r w:rsidRPr="007140A0">
        <w:rPr>
          <w:rFonts w:ascii="Arial" w:hAnsi="Arial" w:cs="Arial"/>
        </w:rPr>
        <w:t>temporis</w:t>
      </w:r>
      <w:proofErr w:type="spellEnd"/>
      <w:r w:rsidRPr="007140A0">
        <w:rPr>
          <w:rFonts w:ascii="Arial" w:hAnsi="Arial" w:cs="Arial"/>
        </w:rPr>
        <w:t xml:space="preserve"> du temps de présence à toutes les personnes éligibles et présentes au 30 septembre 2017. Ses modalités de calcul seront les mêmes que ceux de la PFA. Exceptionnellement cette année, pas d’impact des absences maladie.</w:t>
      </w:r>
    </w:p>
    <w:p w:rsidR="00CC73BE" w:rsidRPr="007140A0" w:rsidRDefault="00CC73BE" w:rsidP="007140A0">
      <w:pPr>
        <w:jc w:val="both"/>
        <w:rPr>
          <w:rFonts w:ascii="Arial" w:hAnsi="Arial" w:cs="Arial"/>
        </w:rPr>
      </w:pPr>
      <w:r w:rsidRPr="007140A0">
        <w:rPr>
          <w:rFonts w:ascii="Arial" w:hAnsi="Arial" w:cs="Arial"/>
        </w:rPr>
        <w:t xml:space="preserve">Pour les salariés qui ont intégré la société en cours d’année ou faisant l’objet d’une suspension de leur contrat de travail (exemples : congé parental à temps plein, CIF, </w:t>
      </w:r>
      <w:proofErr w:type="spellStart"/>
      <w:r w:rsidRPr="007140A0">
        <w:rPr>
          <w:rFonts w:ascii="Arial" w:hAnsi="Arial" w:cs="Arial"/>
        </w:rPr>
        <w:t>etc</w:t>
      </w:r>
      <w:proofErr w:type="spellEnd"/>
      <w:r w:rsidRPr="007140A0">
        <w:rPr>
          <w:rFonts w:ascii="Arial" w:hAnsi="Arial" w:cs="Arial"/>
        </w:rPr>
        <w:t xml:space="preserve">), le montant de la prime sera calculé en respectant la règle du prorata </w:t>
      </w:r>
      <w:proofErr w:type="spellStart"/>
      <w:r w:rsidRPr="007140A0">
        <w:rPr>
          <w:rFonts w:ascii="Arial" w:hAnsi="Arial" w:cs="Arial"/>
        </w:rPr>
        <w:t>temporis</w:t>
      </w:r>
      <w:proofErr w:type="spellEnd"/>
      <w:r w:rsidRPr="007140A0">
        <w:rPr>
          <w:rFonts w:ascii="Arial" w:hAnsi="Arial" w:cs="Arial"/>
        </w:rPr>
        <w:t xml:space="preserve"> du temps de </w:t>
      </w:r>
      <w:r w:rsidR="00E267C5">
        <w:rPr>
          <w:rFonts w:ascii="Arial" w:hAnsi="Arial" w:cs="Arial"/>
        </w:rPr>
        <w:t>présence</w:t>
      </w:r>
      <w:r w:rsidRPr="007140A0">
        <w:rPr>
          <w:rFonts w:ascii="Arial" w:hAnsi="Arial" w:cs="Arial"/>
        </w:rPr>
        <w:t>.</w:t>
      </w:r>
    </w:p>
    <w:p w:rsidR="007140A0" w:rsidRDefault="007140A0" w:rsidP="007140A0">
      <w:pPr>
        <w:jc w:val="both"/>
        <w:rPr>
          <w:rFonts w:ascii="Arial" w:hAnsi="Arial" w:cs="Arial"/>
          <w:b/>
        </w:rPr>
      </w:pPr>
    </w:p>
    <w:p w:rsidR="00CC73BE" w:rsidRPr="007140A0" w:rsidRDefault="00CC73BE" w:rsidP="007140A0">
      <w:pPr>
        <w:jc w:val="both"/>
        <w:rPr>
          <w:rFonts w:ascii="Arial" w:hAnsi="Arial" w:cs="Arial"/>
          <w:b/>
        </w:rPr>
      </w:pPr>
      <w:r w:rsidRPr="007140A0">
        <w:rPr>
          <w:rFonts w:ascii="Arial" w:hAnsi="Arial" w:cs="Arial"/>
          <w:b/>
        </w:rPr>
        <w:t>Article 4 : Evolution des primes d’astreintes et de paniers</w:t>
      </w:r>
    </w:p>
    <w:p w:rsidR="00CC73BE" w:rsidRPr="007140A0" w:rsidRDefault="00CC73BE" w:rsidP="007140A0">
      <w:pPr>
        <w:jc w:val="both"/>
        <w:rPr>
          <w:rFonts w:ascii="Arial" w:hAnsi="Arial" w:cs="Arial"/>
        </w:rPr>
      </w:pPr>
      <w:r w:rsidRPr="007140A0">
        <w:rPr>
          <w:rFonts w:ascii="Arial" w:hAnsi="Arial" w:cs="Arial"/>
        </w:rPr>
        <w:t>Il est rappelé que les accords seront appliqués pour l’évolution du montant des primes. Ainsi, les primes d’astreintes sont réévaluées selon le taux de l’augmentation générale accordée aux ouvriers et ETAM éligibles à l’AG, soit 1.8%.</w:t>
      </w:r>
    </w:p>
    <w:p w:rsidR="00CC73BE" w:rsidRPr="007140A0" w:rsidRDefault="00CC73BE" w:rsidP="007140A0">
      <w:pPr>
        <w:jc w:val="both"/>
        <w:rPr>
          <w:rFonts w:ascii="Arial" w:hAnsi="Arial" w:cs="Arial"/>
        </w:rPr>
      </w:pPr>
      <w:r w:rsidRPr="007140A0">
        <w:rPr>
          <w:rFonts w:ascii="Arial" w:hAnsi="Arial" w:cs="Arial"/>
        </w:rPr>
        <w:t>L’</w:t>
      </w:r>
      <w:r w:rsidR="00DC4F17" w:rsidRPr="007140A0">
        <w:rPr>
          <w:rFonts w:ascii="Arial" w:hAnsi="Arial" w:cs="Arial"/>
        </w:rPr>
        <w:t>évolution</w:t>
      </w:r>
      <w:r w:rsidRPr="007140A0">
        <w:rPr>
          <w:rFonts w:ascii="Arial" w:hAnsi="Arial" w:cs="Arial"/>
        </w:rPr>
        <w:t xml:space="preserve"> des primes de paniers et de la prime froid est fonction de l’indice INSEE, soit 0.9%.</w:t>
      </w:r>
    </w:p>
    <w:p w:rsidR="00CC73BE" w:rsidRPr="007140A0" w:rsidRDefault="00CC73BE" w:rsidP="007140A0">
      <w:pPr>
        <w:jc w:val="both"/>
        <w:rPr>
          <w:rFonts w:ascii="Arial" w:hAnsi="Arial" w:cs="Arial"/>
          <w:b/>
        </w:rPr>
      </w:pPr>
      <w:r w:rsidRPr="007140A0">
        <w:rPr>
          <w:rFonts w:ascii="Arial" w:hAnsi="Arial" w:cs="Arial"/>
          <w:b/>
        </w:rPr>
        <w:t>Article 5 : Augmentation Individuelle</w:t>
      </w:r>
    </w:p>
    <w:p w:rsidR="00CC73BE" w:rsidRPr="007140A0" w:rsidRDefault="00CC73BE" w:rsidP="007140A0">
      <w:pPr>
        <w:jc w:val="both"/>
        <w:rPr>
          <w:rFonts w:ascii="Arial" w:hAnsi="Arial" w:cs="Arial"/>
        </w:rPr>
      </w:pPr>
      <w:r w:rsidRPr="007140A0">
        <w:rPr>
          <w:rFonts w:ascii="Arial" w:hAnsi="Arial" w:cs="Arial"/>
        </w:rPr>
        <w:t>La population des cadres et techniciens des réseaux commerciaux :</w:t>
      </w:r>
    </w:p>
    <w:p w:rsidR="00CC73BE" w:rsidRPr="007140A0" w:rsidRDefault="00CC73BE" w:rsidP="007140A0">
      <w:pPr>
        <w:jc w:val="both"/>
        <w:rPr>
          <w:rFonts w:ascii="Arial" w:hAnsi="Arial" w:cs="Arial"/>
        </w:rPr>
      </w:pPr>
      <w:r w:rsidRPr="007140A0">
        <w:rPr>
          <w:rFonts w:ascii="Arial" w:hAnsi="Arial" w:cs="Arial"/>
        </w:rPr>
        <w:t>Pour cette population, il est convenu une enveloppe de 1.8% gérée par chaque chef de service.</w:t>
      </w:r>
    </w:p>
    <w:p w:rsidR="00CC73BE" w:rsidRPr="007140A0" w:rsidRDefault="00CC73BE" w:rsidP="007140A0">
      <w:pPr>
        <w:jc w:val="both"/>
        <w:rPr>
          <w:rFonts w:ascii="Arial" w:hAnsi="Arial" w:cs="Arial"/>
        </w:rPr>
      </w:pPr>
      <w:r w:rsidRPr="007140A0">
        <w:rPr>
          <w:rFonts w:ascii="Arial" w:hAnsi="Arial" w:cs="Arial"/>
        </w:rPr>
        <w:t>Augmentation Générale et Augmentation individuelle seront appliquées avec effet rétro actif au 1</w:t>
      </w:r>
      <w:r w:rsidRPr="007140A0">
        <w:rPr>
          <w:rFonts w:ascii="Arial" w:hAnsi="Arial" w:cs="Arial"/>
          <w:vertAlign w:val="superscript"/>
        </w:rPr>
        <w:t>er</w:t>
      </w:r>
      <w:r w:rsidRPr="007140A0">
        <w:rPr>
          <w:rFonts w:ascii="Arial" w:hAnsi="Arial" w:cs="Arial"/>
        </w:rPr>
        <w:t xml:space="preserve"> octobre 2017</w:t>
      </w:r>
    </w:p>
    <w:p w:rsidR="007140A0" w:rsidRDefault="007140A0" w:rsidP="007140A0">
      <w:pPr>
        <w:jc w:val="both"/>
        <w:rPr>
          <w:rFonts w:ascii="Arial" w:hAnsi="Arial" w:cs="Arial"/>
          <w:b/>
        </w:rPr>
      </w:pPr>
    </w:p>
    <w:p w:rsidR="00CC73BE" w:rsidRPr="007140A0" w:rsidRDefault="00CC73BE" w:rsidP="007140A0">
      <w:pPr>
        <w:jc w:val="both"/>
        <w:rPr>
          <w:rFonts w:ascii="Arial" w:hAnsi="Arial" w:cs="Arial"/>
          <w:b/>
        </w:rPr>
      </w:pPr>
      <w:r w:rsidRPr="007140A0">
        <w:rPr>
          <w:rFonts w:ascii="Arial" w:hAnsi="Arial" w:cs="Arial"/>
          <w:b/>
        </w:rPr>
        <w:t>Article 6 : Sujets de négociations</w:t>
      </w:r>
    </w:p>
    <w:p w:rsidR="00CC73BE" w:rsidRPr="007140A0" w:rsidRDefault="00CC73BE" w:rsidP="007140A0">
      <w:pPr>
        <w:jc w:val="both"/>
        <w:rPr>
          <w:rFonts w:ascii="Arial" w:hAnsi="Arial" w:cs="Arial"/>
        </w:rPr>
      </w:pPr>
      <w:r w:rsidRPr="007140A0">
        <w:rPr>
          <w:rFonts w:ascii="Arial" w:hAnsi="Arial" w:cs="Arial"/>
        </w:rPr>
        <w:t>Par ailleurs la Direction et les représentants du personnel ont convenu du calendrier de négociations suivant portant sur 4 sujets :</w:t>
      </w:r>
    </w:p>
    <w:p w:rsidR="00CC73BE" w:rsidRPr="007140A0" w:rsidRDefault="00CC73BE" w:rsidP="007140A0">
      <w:pPr>
        <w:pStyle w:val="Paragraphedeliste"/>
        <w:numPr>
          <w:ilvl w:val="0"/>
          <w:numId w:val="1"/>
        </w:numPr>
        <w:jc w:val="both"/>
        <w:rPr>
          <w:rFonts w:ascii="Arial" w:hAnsi="Arial" w:cs="Arial"/>
        </w:rPr>
      </w:pPr>
      <w:r w:rsidRPr="007140A0">
        <w:rPr>
          <w:rFonts w:ascii="Arial" w:hAnsi="Arial" w:cs="Arial"/>
        </w:rPr>
        <w:t>Négociation d’un accord Séniors : début des négociations en décembre 2017</w:t>
      </w:r>
    </w:p>
    <w:p w:rsidR="00CC73BE" w:rsidRPr="007140A0" w:rsidRDefault="00CC73BE" w:rsidP="007140A0">
      <w:pPr>
        <w:pStyle w:val="Paragraphedeliste"/>
        <w:numPr>
          <w:ilvl w:val="0"/>
          <w:numId w:val="1"/>
        </w:numPr>
        <w:jc w:val="both"/>
        <w:rPr>
          <w:rFonts w:ascii="Arial" w:hAnsi="Arial" w:cs="Arial"/>
        </w:rPr>
      </w:pPr>
      <w:r w:rsidRPr="007140A0">
        <w:rPr>
          <w:rFonts w:ascii="Arial" w:hAnsi="Arial" w:cs="Arial"/>
        </w:rPr>
        <w:t>Négociation d’un accord relatif à la classification : début des négociations en décembre 2017</w:t>
      </w:r>
    </w:p>
    <w:p w:rsidR="00CC73BE" w:rsidRPr="007140A0" w:rsidRDefault="007140A0" w:rsidP="007140A0">
      <w:pPr>
        <w:pStyle w:val="Paragraphedeliste"/>
        <w:numPr>
          <w:ilvl w:val="0"/>
          <w:numId w:val="1"/>
        </w:numPr>
        <w:jc w:val="both"/>
        <w:rPr>
          <w:rFonts w:ascii="Arial" w:hAnsi="Arial" w:cs="Arial"/>
        </w:rPr>
      </w:pPr>
      <w:r w:rsidRPr="007140A0">
        <w:rPr>
          <w:rFonts w:ascii="Arial" w:hAnsi="Arial" w:cs="Arial"/>
        </w:rPr>
        <w:t>Mise en place d’un Perco : début des négociations en janvier 2018</w:t>
      </w:r>
    </w:p>
    <w:p w:rsidR="007140A0" w:rsidRPr="007140A0" w:rsidRDefault="007140A0" w:rsidP="007140A0">
      <w:pPr>
        <w:pStyle w:val="Paragraphedeliste"/>
        <w:numPr>
          <w:ilvl w:val="0"/>
          <w:numId w:val="1"/>
        </w:numPr>
        <w:jc w:val="both"/>
        <w:rPr>
          <w:rFonts w:ascii="Arial" w:hAnsi="Arial" w:cs="Arial"/>
        </w:rPr>
      </w:pPr>
      <w:r w:rsidRPr="007140A0">
        <w:rPr>
          <w:rFonts w:ascii="Arial" w:hAnsi="Arial" w:cs="Arial"/>
        </w:rPr>
        <w:t>Intéressement : début des négociations en janvier 2018</w:t>
      </w:r>
    </w:p>
    <w:p w:rsidR="007140A0" w:rsidRDefault="007140A0" w:rsidP="007140A0">
      <w:pPr>
        <w:jc w:val="both"/>
        <w:rPr>
          <w:rFonts w:ascii="Arial" w:hAnsi="Arial" w:cs="Arial"/>
        </w:rPr>
      </w:pPr>
    </w:p>
    <w:p w:rsidR="00C36FE7" w:rsidRPr="00C36FE7" w:rsidRDefault="00C36FE7" w:rsidP="007140A0">
      <w:pPr>
        <w:jc w:val="both"/>
        <w:rPr>
          <w:rFonts w:ascii="Arial" w:hAnsi="Arial" w:cs="Arial"/>
          <w:b/>
        </w:rPr>
      </w:pPr>
      <w:r w:rsidRPr="00C36FE7">
        <w:rPr>
          <w:rFonts w:ascii="Arial" w:hAnsi="Arial" w:cs="Arial"/>
          <w:b/>
        </w:rPr>
        <w:t xml:space="preserve">Article 7 : </w:t>
      </w:r>
      <w:r w:rsidR="00DC4F17" w:rsidRPr="00C36FE7">
        <w:rPr>
          <w:rFonts w:ascii="Arial" w:hAnsi="Arial" w:cs="Arial"/>
          <w:b/>
        </w:rPr>
        <w:t>Dépôt</w:t>
      </w:r>
      <w:r w:rsidRPr="00C36FE7">
        <w:rPr>
          <w:rFonts w:ascii="Arial" w:hAnsi="Arial" w:cs="Arial"/>
          <w:b/>
        </w:rPr>
        <w:t xml:space="preserve"> de l’accord</w:t>
      </w:r>
    </w:p>
    <w:p w:rsidR="00C36FE7" w:rsidRDefault="00C36FE7" w:rsidP="007140A0">
      <w:pPr>
        <w:jc w:val="both"/>
        <w:rPr>
          <w:rFonts w:ascii="Arial" w:hAnsi="Arial" w:cs="Arial"/>
        </w:rPr>
      </w:pPr>
      <w:r>
        <w:rPr>
          <w:rFonts w:ascii="Arial" w:hAnsi="Arial" w:cs="Arial"/>
        </w:rPr>
        <w:t>Le présent accord sera déposé par la Direction de la société en deux exemplaires dont une version sur support papier et une version sur support numérique à la DIRECCTE (Direction Régionale des Entreprises, de la Concurrence, de la Consommation, du Travail et de l’Emploi) dont relève le siège social et au Conseil de Prud’hommes de Grenoble.</w:t>
      </w:r>
    </w:p>
    <w:p w:rsidR="00C36FE7" w:rsidRDefault="00C36FE7" w:rsidP="007140A0">
      <w:pPr>
        <w:jc w:val="both"/>
        <w:rPr>
          <w:rFonts w:ascii="Arial" w:hAnsi="Arial" w:cs="Arial"/>
        </w:rPr>
      </w:pPr>
      <w:r>
        <w:rPr>
          <w:rFonts w:ascii="Arial" w:hAnsi="Arial" w:cs="Arial"/>
        </w:rPr>
        <w:t>Un exemplaire du présent avenant sera affich</w:t>
      </w:r>
      <w:r w:rsidR="00DC4F17">
        <w:rPr>
          <w:rFonts w:ascii="Arial" w:hAnsi="Arial" w:cs="Arial"/>
        </w:rPr>
        <w:t xml:space="preserve">é sur les panneaux réservés aux </w:t>
      </w:r>
      <w:r>
        <w:rPr>
          <w:rFonts w:ascii="Arial" w:hAnsi="Arial" w:cs="Arial"/>
        </w:rPr>
        <w:t>communication</w:t>
      </w:r>
      <w:r w:rsidR="00DC4F17">
        <w:rPr>
          <w:rFonts w:ascii="Arial" w:hAnsi="Arial" w:cs="Arial"/>
        </w:rPr>
        <w:t>s</w:t>
      </w:r>
      <w:r>
        <w:rPr>
          <w:rFonts w:ascii="Arial" w:hAnsi="Arial" w:cs="Arial"/>
        </w:rPr>
        <w:t xml:space="preserve"> de la Direction.</w:t>
      </w:r>
    </w:p>
    <w:p w:rsidR="00DC4F17" w:rsidRDefault="00DC4F17" w:rsidP="007140A0">
      <w:pPr>
        <w:jc w:val="both"/>
        <w:rPr>
          <w:rFonts w:ascii="Arial" w:hAnsi="Arial" w:cs="Arial"/>
        </w:rPr>
      </w:pPr>
    </w:p>
    <w:p w:rsidR="007140A0" w:rsidRDefault="007140A0" w:rsidP="007140A0">
      <w:pPr>
        <w:jc w:val="both"/>
        <w:rPr>
          <w:rFonts w:ascii="Arial" w:hAnsi="Arial" w:cs="Arial"/>
        </w:rPr>
      </w:pPr>
      <w:r w:rsidRPr="007140A0">
        <w:rPr>
          <w:rFonts w:ascii="Arial" w:hAnsi="Arial" w:cs="Arial"/>
        </w:rPr>
        <w:t xml:space="preserve">Fait </w:t>
      </w:r>
      <w:r w:rsidR="00C36FE7">
        <w:rPr>
          <w:rFonts w:ascii="Arial" w:hAnsi="Arial" w:cs="Arial"/>
        </w:rPr>
        <w:t xml:space="preserve">à Crolles, </w:t>
      </w:r>
      <w:r w:rsidRPr="007140A0">
        <w:rPr>
          <w:rFonts w:ascii="Arial" w:hAnsi="Arial" w:cs="Arial"/>
        </w:rPr>
        <w:t>le 5</w:t>
      </w:r>
      <w:r>
        <w:rPr>
          <w:rFonts w:ascii="Arial" w:hAnsi="Arial" w:cs="Arial"/>
        </w:rPr>
        <w:t xml:space="preserve"> octobre 2017</w:t>
      </w:r>
    </w:p>
    <w:p w:rsidR="00C01800" w:rsidRDefault="00C01800" w:rsidP="007140A0">
      <w:pPr>
        <w:jc w:val="both"/>
        <w:rPr>
          <w:rFonts w:ascii="Arial" w:hAnsi="Arial" w:cs="Arial"/>
        </w:rPr>
      </w:pPr>
    </w:p>
    <w:p w:rsidR="00991B2D" w:rsidRPr="007140A0" w:rsidRDefault="00C01800" w:rsidP="00C01800">
      <w:pPr>
        <w:ind w:left="-426" w:right="-284"/>
        <w:rPr>
          <w:rFonts w:ascii="Arial" w:hAnsi="Arial" w:cs="Arial"/>
          <w:b/>
        </w:rPr>
      </w:pPr>
      <w:r w:rsidRPr="00C01800">
        <w:rPr>
          <w:rFonts w:ascii="Arial" w:hAnsi="Arial" w:cs="Arial"/>
          <w:b/>
          <w:i/>
          <w:sz w:val="18"/>
          <w:szCs w:val="18"/>
        </w:rPr>
        <w:t>Le Directeur des Ressources Humaines</w:t>
      </w:r>
      <w:r w:rsidRPr="00C01800">
        <w:rPr>
          <w:rFonts w:ascii="Arial" w:hAnsi="Arial" w:cs="Arial"/>
          <w:b/>
          <w:i/>
          <w:sz w:val="18"/>
          <w:szCs w:val="18"/>
        </w:rPr>
        <w:tab/>
        <w:t xml:space="preserve">Le Délégué Syndical </w:t>
      </w:r>
      <w:r w:rsidRPr="00C01800">
        <w:rPr>
          <w:rFonts w:ascii="Arial" w:hAnsi="Arial" w:cs="Arial"/>
          <w:b/>
          <w:i/>
          <w:sz w:val="18"/>
          <w:szCs w:val="18"/>
        </w:rPr>
        <w:t>CFE-CGC</w:t>
      </w:r>
      <w:r>
        <w:rPr>
          <w:rFonts w:ascii="Arial" w:hAnsi="Arial" w:cs="Arial"/>
          <w:b/>
          <w:i/>
        </w:rPr>
        <w:tab/>
      </w:r>
      <w:r w:rsidRPr="00C01800">
        <w:rPr>
          <w:rFonts w:ascii="Arial" w:hAnsi="Arial" w:cs="Arial"/>
          <w:b/>
          <w:sz w:val="20"/>
          <w:szCs w:val="20"/>
        </w:rPr>
        <w:t xml:space="preserve"> </w:t>
      </w:r>
      <w:r>
        <w:rPr>
          <w:rFonts w:ascii="Arial" w:hAnsi="Arial" w:cs="Arial"/>
          <w:b/>
          <w:sz w:val="20"/>
          <w:szCs w:val="20"/>
        </w:rPr>
        <w:tab/>
      </w:r>
      <w:r w:rsidRPr="00C01800">
        <w:rPr>
          <w:rFonts w:ascii="Arial" w:hAnsi="Arial" w:cs="Arial"/>
          <w:b/>
          <w:i/>
          <w:sz w:val="18"/>
          <w:szCs w:val="18"/>
        </w:rPr>
        <w:t>Le Délégué Syndical C</w:t>
      </w:r>
      <w:r w:rsidRPr="00C01800">
        <w:rPr>
          <w:rFonts w:ascii="Arial" w:hAnsi="Arial" w:cs="Arial"/>
          <w:b/>
          <w:i/>
          <w:sz w:val="18"/>
          <w:szCs w:val="18"/>
        </w:rPr>
        <w:t>GT</w:t>
      </w:r>
      <w:bookmarkStart w:id="0" w:name="_GoBack"/>
      <w:bookmarkEnd w:id="0"/>
    </w:p>
    <w:sectPr w:rsidR="00991B2D" w:rsidRPr="00714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C5E61"/>
    <w:multiLevelType w:val="hybridMultilevel"/>
    <w:tmpl w:val="377E3D54"/>
    <w:lvl w:ilvl="0" w:tplc="F38AB0AC">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B2D"/>
    <w:rsid w:val="003E6412"/>
    <w:rsid w:val="00443018"/>
    <w:rsid w:val="006A4921"/>
    <w:rsid w:val="007140A0"/>
    <w:rsid w:val="00991B2D"/>
    <w:rsid w:val="00C01800"/>
    <w:rsid w:val="00C36FE7"/>
    <w:rsid w:val="00CC73BE"/>
    <w:rsid w:val="00DC4F17"/>
    <w:rsid w:val="00E267C5"/>
    <w:rsid w:val="00F37D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73BE"/>
    <w:pPr>
      <w:ind w:left="720"/>
      <w:contextualSpacing/>
    </w:pPr>
  </w:style>
  <w:style w:type="paragraph" w:styleId="Textedebulles">
    <w:name w:val="Balloon Text"/>
    <w:basedOn w:val="Normal"/>
    <w:link w:val="TextedebullesCar"/>
    <w:uiPriority w:val="99"/>
    <w:semiHidden/>
    <w:unhideWhenUsed/>
    <w:rsid w:val="007140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40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73BE"/>
    <w:pPr>
      <w:ind w:left="720"/>
      <w:contextualSpacing/>
    </w:pPr>
  </w:style>
  <w:style w:type="paragraph" w:styleId="Textedebulles">
    <w:name w:val="Balloon Text"/>
    <w:basedOn w:val="Normal"/>
    <w:link w:val="TextedebullesCar"/>
    <w:uiPriority w:val="99"/>
    <w:semiHidden/>
    <w:unhideWhenUsed/>
    <w:rsid w:val="007140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4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TotalTime>
  <Pages>2</Pages>
  <Words>574</Words>
  <Characters>3160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2017-11-17T12:08:00Z</cp:lastPrinted>
  <dcterms:created xsi:type="dcterms:W3CDTF">2017-11-13T13:55:00Z</dcterms:created>
  <dcterms:modified xsi:type="dcterms:W3CDTF">2017-11-27T15:35:00Z</dcterms:modified>
</cp:coreProperties>
</file>