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agedegarde"/>
        <w:rPr>
          <w:rFonts w:ascii="Arial Black" w:hAnsi="Arial Black" w:cs="Arial Black"/>
          <w:color w:val="0000FF"/>
          <w:sz w:val="36"/>
        </w:rPr>
      </w:pPr>
      <w:r>
        <w:rPr>
          <w:rFonts w:cs="Arial Black" w:ascii="Arial Black" w:hAnsi="Arial Black"/>
          <w:color w:val="0000FF"/>
          <w:sz w:val="36"/>
        </w:rPr>
      </w:r>
    </w:p>
    <w:p>
      <w:pPr>
        <w:pStyle w:val="TitrePagedegarde"/>
        <w:rPr>
          <w:rFonts w:ascii="Arial Black" w:hAnsi="Arial Black" w:cs="Arial Black"/>
          <w:color w:val="0000FF"/>
          <w:sz w:val="36"/>
          <w:lang w:val="en-GB" w:eastAsia="en-GB"/>
        </w:rPr>
      </w:pPr>
      <w:r>
        <w:rPr>
          <w:rFonts w:cs="Arial Black" w:ascii="Arial Black" w:hAnsi="Arial Black"/>
          <w:color w:val="0000FF"/>
          <w:sz w:val="36"/>
          <w:lang w:val="en-GB" w:eastAsia="en-GB"/>
        </w:rPr>
        <w:drawing>
          <wp:anchor behindDoc="1" distT="0" distB="0" distL="114935" distR="114935" simplePos="0" locked="0" layoutInCell="1" allowOverlap="1" relativeHeight="2">
            <wp:simplePos x="0" y="0"/>
            <wp:positionH relativeFrom="column">
              <wp:posOffset>1431925</wp:posOffset>
            </wp:positionH>
            <wp:positionV relativeFrom="paragraph">
              <wp:posOffset>635</wp:posOffset>
            </wp:positionV>
            <wp:extent cx="2630170" cy="274574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630170" cy="2745740"/>
                    </a:xfrm>
                    <a:prstGeom prst="rect">
                      <a:avLst/>
                    </a:prstGeom>
                  </pic:spPr>
                </pic:pic>
              </a:graphicData>
            </a:graphic>
          </wp:anchor>
        </w:drawing>
      </w:r>
    </w:p>
    <w:p>
      <w:pPr>
        <w:pStyle w:val="TitrePagedegarde"/>
        <w:rPr>
          <w:rFonts w:ascii="Arial Black" w:hAnsi="Arial Black" w:cs="Arial Black"/>
          <w:color w:val="0000FF"/>
          <w:sz w:val="36"/>
        </w:rPr>
      </w:pPr>
      <w:r>
        <w:rPr>
          <w:rFonts w:cs="Arial Black" w:ascii="Arial Black" w:hAnsi="Arial Black"/>
          <w:color w:val="0000FF"/>
          <w:sz w:val="36"/>
        </w:rPr>
      </w:r>
    </w:p>
    <w:p>
      <w:pPr>
        <w:pStyle w:val="TitrePagedegarde"/>
        <w:rPr>
          <w:rFonts w:ascii="Arial Black" w:hAnsi="Arial Black" w:cs="Arial Black"/>
          <w:color w:val="0000FF"/>
          <w:sz w:val="36"/>
        </w:rPr>
      </w:pPr>
      <w:r>
        <w:rPr>
          <w:rFonts w:cs="Arial Black" w:ascii="Arial Black" w:hAnsi="Arial Black"/>
          <w:color w:val="0000FF"/>
          <w:sz w:val="36"/>
        </w:rPr>
      </w:r>
    </w:p>
    <w:p>
      <w:pPr>
        <w:pStyle w:val="TitrePagedegarde"/>
        <w:rPr>
          <w:rFonts w:ascii="Arial Black" w:hAnsi="Arial Black" w:cs="Arial Black"/>
          <w:color w:val="0000FF"/>
          <w:sz w:val="36"/>
        </w:rPr>
      </w:pPr>
      <w:r>
        <w:rPr>
          <w:rFonts w:cs="Arial Black" w:ascii="Arial Black" w:hAnsi="Arial Black"/>
          <w:color w:val="0000FF"/>
          <w:sz w:val="36"/>
        </w:rPr>
      </w:r>
    </w:p>
    <w:p>
      <w:pPr>
        <w:pStyle w:val="Normal"/>
        <w:rPr>
          <w:rFonts w:ascii="Arial Black" w:hAnsi="Arial Black" w:cs="Arial Black"/>
          <w:color w:val="0000FF"/>
          <w:sz w:val="36"/>
          <w:lang w:val="en-US"/>
        </w:rPr>
      </w:pPr>
      <w:r>
        <w:rPr>
          <w:rFonts w:cs="Arial Black" w:ascii="Arial Black" w:hAnsi="Arial Black"/>
          <w:color w:val="0000FF"/>
          <w:sz w:val="36"/>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jc w:val="center"/>
        <w:rPr>
          <w:rFonts w:ascii="Arial Black" w:hAnsi="Arial Black" w:cs="Arial Black"/>
          <w:caps/>
          <w:color w:val="0000FF"/>
          <w:spacing w:val="40"/>
          <w:sz w:val="44"/>
          <w:szCs w:val="44"/>
          <w:lang w:eastAsia="en-US"/>
        </w:rPr>
      </w:pPr>
      <w:r>
        <w:rPr>
          <w:rFonts w:cs="Arial Black" w:ascii="Arial Black" w:hAnsi="Arial Black"/>
          <w:caps/>
          <w:color w:val="0000FF"/>
          <w:spacing w:val="40"/>
          <w:sz w:val="44"/>
          <w:szCs w:val="44"/>
          <w:lang w:eastAsia="en-US"/>
        </w:rPr>
        <w:t>ACCORD D’ENTREPRISE</w:t>
      </w:r>
    </w:p>
    <w:p>
      <w:pPr>
        <w:pStyle w:val="Normal"/>
        <w:jc w:val="center"/>
        <w:rPr>
          <w:rFonts w:ascii="Arial Black" w:hAnsi="Arial Black" w:cs="Arial Black"/>
          <w:caps/>
          <w:color w:val="0000FF"/>
          <w:spacing w:val="40"/>
          <w:sz w:val="44"/>
          <w:szCs w:val="44"/>
          <w:lang w:eastAsia="en-US"/>
        </w:rPr>
      </w:pPr>
      <w:r>
        <w:rPr>
          <w:rFonts w:cs="Arial Black" w:ascii="Arial Black" w:hAnsi="Arial Black"/>
          <w:caps/>
          <w:color w:val="0000FF"/>
          <w:spacing w:val="40"/>
          <w:sz w:val="44"/>
          <w:szCs w:val="44"/>
          <w:lang w:eastAsia="en-US"/>
        </w:rPr>
      </w:r>
    </w:p>
    <w:p>
      <w:pPr>
        <w:pStyle w:val="Normal"/>
        <w:jc w:val="center"/>
        <w:rPr>
          <w:rFonts w:ascii="Arial Black" w:hAnsi="Arial Black" w:cs="Arial Black"/>
          <w:caps/>
          <w:color w:val="0000FF"/>
          <w:spacing w:val="40"/>
          <w:sz w:val="44"/>
          <w:szCs w:val="44"/>
          <w:lang w:eastAsia="en-US"/>
        </w:rPr>
      </w:pPr>
      <w:r>
        <w:rPr>
          <w:rFonts w:cs="Arial Black" w:ascii="Arial Black" w:hAnsi="Arial Black"/>
          <w:caps/>
          <w:color w:val="0000FF"/>
          <w:spacing w:val="40"/>
          <w:sz w:val="44"/>
          <w:szCs w:val="44"/>
          <w:lang w:eastAsia="en-US"/>
        </w:rPr>
        <w:t>PRIME DE PRODUCTIVITE</w:t>
      </w:r>
    </w:p>
    <w:p>
      <w:pPr>
        <w:pStyle w:val="Normal"/>
        <w:jc w:val="center"/>
        <w:rPr>
          <w:rFonts w:ascii="Arial Black" w:hAnsi="Arial Black" w:cs="Arial Black"/>
          <w:caps/>
          <w:color w:val="0000FF"/>
          <w:spacing w:val="40"/>
          <w:sz w:val="44"/>
          <w:szCs w:val="44"/>
          <w:lang w:eastAsia="en-US"/>
        </w:rPr>
      </w:pPr>
      <w:r>
        <w:rPr>
          <w:rFonts w:cs="Arial Black" w:ascii="Arial Black" w:hAnsi="Arial Black"/>
          <w:caps/>
          <w:color w:val="0000FF"/>
          <w:spacing w:val="40"/>
          <w:sz w:val="44"/>
          <w:szCs w:val="44"/>
          <w:lang w:eastAsia="en-US"/>
        </w:rPr>
        <w:t>ATELIER MECANIQUE ACE</w:t>
      </w:r>
    </w:p>
    <w:p>
      <w:pPr>
        <w:pStyle w:val="Normal"/>
        <w:jc w:val="center"/>
        <w:rPr>
          <w:rFonts w:ascii="Arial Black" w:hAnsi="Arial Black" w:cs="Arial Black"/>
          <w:caps/>
          <w:color w:val="0000FF"/>
          <w:spacing w:val="40"/>
          <w:sz w:val="44"/>
          <w:szCs w:val="44"/>
          <w:lang w:eastAsia="en-US"/>
        </w:rPr>
      </w:pPr>
      <w:r>
        <w:rPr>
          <w:rFonts w:cs="Arial Black" w:ascii="Arial Black" w:hAnsi="Arial Black"/>
          <w:caps/>
          <w:color w:val="0000FF"/>
          <w:spacing w:val="40"/>
          <w:sz w:val="44"/>
          <w:szCs w:val="44"/>
          <w:lang w:eastAsia="en-US"/>
        </w:rPr>
      </w:r>
    </w:p>
    <w:p>
      <w:pPr>
        <w:pStyle w:val="Normal"/>
        <w:jc w:val="center"/>
        <w:rPr>
          <w:rFonts w:ascii="Arial Black" w:hAnsi="Arial Black" w:cs="Arial Black"/>
          <w:caps/>
          <w:color w:val="0000FF"/>
          <w:spacing w:val="40"/>
          <w:sz w:val="44"/>
          <w:szCs w:val="44"/>
          <w:lang w:eastAsia="en-US"/>
        </w:rPr>
      </w:pPr>
      <w:r>
        <w:rPr>
          <w:rFonts w:cs="Arial Black" w:ascii="Arial Black" w:hAnsi="Arial Black"/>
          <w:caps/>
          <w:color w:val="0000FF"/>
          <w:spacing w:val="40"/>
          <w:sz w:val="44"/>
          <w:szCs w:val="44"/>
          <w:lang w:eastAsia="en-US"/>
        </w:rPr>
      </w:r>
    </w:p>
    <w:p>
      <w:pPr>
        <w:pStyle w:val="Normal"/>
        <w:jc w:val="center"/>
        <w:rPr>
          <w:rFonts w:ascii="Arial Black" w:hAnsi="Arial Black" w:cs="Arial Black"/>
          <w:caps/>
          <w:color w:val="0000FF"/>
          <w:spacing w:val="40"/>
          <w:sz w:val="44"/>
          <w:szCs w:val="44"/>
          <w:lang w:eastAsia="en-US"/>
        </w:rPr>
      </w:pPr>
      <w:r>
        <w:rPr>
          <w:rFonts w:cs="Arial Black" w:ascii="Arial Black" w:hAnsi="Arial Black"/>
          <w:caps/>
          <w:color w:val="0000FF"/>
          <w:spacing w:val="40"/>
          <w:sz w:val="44"/>
          <w:szCs w:val="44"/>
          <w:lang w:eastAsia="en-US"/>
        </w:rPr>
      </w:r>
    </w:p>
    <w:p>
      <w:pPr>
        <w:pStyle w:val="Normal"/>
        <w:rPr>
          <w:rFonts w:ascii="Arial Black" w:hAnsi="Arial Black" w:cs="Arial Black"/>
          <w:caps/>
          <w:color w:val="0000FF"/>
          <w:spacing w:val="40"/>
          <w:sz w:val="44"/>
          <w:szCs w:val="44"/>
          <w:lang w:eastAsia="en-US"/>
        </w:rPr>
      </w:pPr>
      <w:r>
        <w:rPr>
          <w:rFonts w:cs="Arial Black" w:ascii="Arial Black" w:hAnsi="Arial Black"/>
          <w:caps/>
          <w:color w:val="0000FF"/>
          <w:spacing w:val="40"/>
          <w:sz w:val="44"/>
          <w:szCs w:val="44"/>
          <w:lang w:eastAsia="en-US"/>
        </w:rPr>
      </w:r>
    </w:p>
    <w:p>
      <w:pPr>
        <w:pStyle w:val="Heading1"/>
        <w:numPr>
          <w:ilvl w:val="0"/>
          <w:numId w:val="0"/>
        </w:numPr>
        <w:spacing w:before="200" w:after="0"/>
        <w:ind w:left="0" w:hanging="0"/>
        <w:rPr>
          <w:rFonts w:ascii="Arial" w:hAnsi="Arial" w:cs="Arial"/>
          <w:sz w:val="22"/>
          <w:szCs w:val="22"/>
        </w:rPr>
      </w:pPr>
      <w:r>
        <w:rPr>
          <w:rFonts w:cs="Arial" w:ascii="Arial" w:hAnsi="Arial"/>
          <w:sz w:val="22"/>
          <w:szCs w:val="22"/>
        </w:rPr>
      </w:r>
    </w:p>
    <w:p>
      <w:pPr>
        <w:pStyle w:val="Heading1"/>
        <w:numPr>
          <w:ilvl w:val="0"/>
          <w:numId w:val="0"/>
        </w:numPr>
        <w:spacing w:before="200" w:after="0"/>
        <w:ind w:left="0" w:hanging="0"/>
        <w:rPr>
          <w:rFonts w:ascii="Arial" w:hAnsi="Arial" w:cs="Arial"/>
          <w:sz w:val="22"/>
          <w:szCs w:val="22"/>
        </w:rPr>
      </w:pPr>
      <w:r>
        <w:rPr>
          <w:rFonts w:cs="Arial" w:ascii="Arial" w:hAnsi="Arial"/>
          <w:sz w:val="22"/>
          <w:szCs w:val="22"/>
        </w:rPr>
      </w:r>
    </w:p>
    <w:p>
      <w:pPr>
        <w:pStyle w:val="Heading1"/>
        <w:numPr>
          <w:ilvl w:val="0"/>
          <w:numId w:val="0"/>
        </w:numPr>
        <w:spacing w:before="200" w:after="0"/>
        <w:ind w:left="0" w:hanging="0"/>
        <w:rPr>
          <w:rFonts w:ascii="Arial" w:hAnsi="Arial" w:cs="Arial"/>
          <w:sz w:val="22"/>
          <w:szCs w:val="22"/>
        </w:rPr>
      </w:pPr>
      <w:r>
        <w:rPr>
          <w:rFonts w:cs="Arial" w:ascii="Arial" w:hAnsi="Arial"/>
          <w:sz w:val="22"/>
          <w:szCs w:val="22"/>
        </w:rPr>
      </w:r>
    </w:p>
    <w:p>
      <w:pPr>
        <w:pStyle w:val="Heading1"/>
        <w:numPr>
          <w:ilvl w:val="0"/>
          <w:numId w:val="0"/>
        </w:numPr>
        <w:spacing w:before="200" w:after="0"/>
        <w:ind w:left="0" w:hanging="0"/>
        <w:rPr>
          <w:rFonts w:ascii="Arial" w:hAnsi="Arial" w:cs="Arial"/>
          <w:sz w:val="22"/>
          <w:szCs w:val="22"/>
        </w:rPr>
      </w:pPr>
      <w:r>
        <w:rPr>
          <w:rFonts w:cs="Arial" w:ascii="Arial" w:hAnsi="Arial"/>
          <w:sz w:val="22"/>
          <w:szCs w:val="22"/>
        </w:rPr>
      </w:r>
    </w:p>
    <w:p>
      <w:pPr>
        <w:pStyle w:val="Heading1"/>
        <w:numPr>
          <w:ilvl w:val="0"/>
          <w:numId w:val="0"/>
        </w:numPr>
        <w:spacing w:before="200" w:after="0"/>
        <w:ind w:left="0" w:hanging="0"/>
        <w:rPr>
          <w:rFonts w:ascii="Arial" w:hAnsi="Arial" w:cs="Arial"/>
          <w:sz w:val="22"/>
          <w:szCs w:val="22"/>
        </w:rPr>
      </w:pPr>
      <w:r>
        <w:rPr>
          <w:rFonts w:cs="Arial" w:ascii="Arial" w:hAnsi="Arial"/>
          <w:sz w:val="22"/>
          <w:szCs w:val="22"/>
        </w:rPr>
      </w:r>
    </w:p>
    <w:p>
      <w:pPr>
        <w:pStyle w:val="Heading1"/>
        <w:numPr>
          <w:ilvl w:val="0"/>
          <w:numId w:val="0"/>
        </w:numPr>
        <w:spacing w:before="200" w:after="0"/>
        <w:ind w:left="0" w:hanging="0"/>
        <w:rPr>
          <w:rFonts w:ascii="Arial" w:hAnsi="Arial" w:cs="Arial"/>
          <w:sz w:val="22"/>
          <w:szCs w:val="22"/>
        </w:rPr>
      </w:pPr>
      <w:r>
        <w:rPr>
          <w:rFonts w:cs="Arial" w:ascii="Arial" w:hAnsi="Arial"/>
          <w:sz w:val="22"/>
          <w:szCs w:val="22"/>
        </w:rPr>
      </w:r>
      <w:r>
        <w:br w:type="page"/>
      </w:r>
    </w:p>
    <w:p>
      <w:pPr>
        <w:pStyle w:val="Heading1"/>
        <w:numPr>
          <w:ilvl w:val="0"/>
          <w:numId w:val="0"/>
        </w:numPr>
        <w:spacing w:before="200" w:after="0"/>
        <w:ind w:left="0" w:hanging="0"/>
        <w:rPr>
          <w:rFonts w:ascii="Arial" w:hAnsi="Arial" w:cs="Arial"/>
          <w:sz w:val="22"/>
          <w:szCs w:val="22"/>
        </w:rPr>
      </w:pPr>
      <w:r>
        <w:rPr>
          <w:rFonts w:cs="Arial" w:ascii="Arial" w:hAnsi="Arial"/>
          <w:sz w:val="22"/>
          <w:szCs w:val="22"/>
        </w:rPr>
        <w:t xml:space="preserve">Préambule </w:t>
      </w:r>
    </w:p>
    <w:p>
      <w:pPr>
        <w:pStyle w:val="Normal"/>
        <w:spacing w:before="200" w:after="0"/>
        <w:rPr>
          <w:rFonts w:ascii="Arial" w:hAnsi="Arial" w:cs="Arial"/>
          <w:sz w:val="22"/>
          <w:szCs w:val="22"/>
        </w:rPr>
      </w:pPr>
      <w:r>
        <w:rPr>
          <w:rFonts w:cs="Arial" w:ascii="Arial" w:hAnsi="Arial"/>
          <w:sz w:val="22"/>
          <w:szCs w:val="22"/>
        </w:rPr>
        <w:t xml:space="preserve">Le présent accord a pour but de fixer les règles applicables à la prime de productivité mise en place au sein de l’atelier mécanique du GIE ACE. </w:t>
      </w:r>
    </w:p>
    <w:p>
      <w:pPr>
        <w:pStyle w:val="Normal"/>
        <w:spacing w:before="200" w:after="0"/>
        <w:rPr>
          <w:rFonts w:ascii="Arial" w:hAnsi="Arial" w:cs="Arial"/>
          <w:sz w:val="22"/>
          <w:szCs w:val="22"/>
        </w:rPr>
      </w:pPr>
      <w:r>
        <w:rPr>
          <w:rFonts w:cs="Arial" w:ascii="Arial" w:hAnsi="Arial"/>
          <w:sz w:val="22"/>
          <w:szCs w:val="22"/>
        </w:rPr>
        <w:t>Il se substitue aux accords collectifs et aux usages ayant le même objet en vigueur au sein du GIE ACE.</w:t>
      </w:r>
    </w:p>
    <w:p>
      <w:pPr>
        <w:pStyle w:val="Normal"/>
        <w:spacing w:before="200" w:after="0"/>
        <w:rPr>
          <w:rFonts w:ascii="Arial" w:hAnsi="Arial" w:cs="Arial"/>
          <w:sz w:val="22"/>
          <w:szCs w:val="22"/>
        </w:rPr>
      </w:pPr>
      <w:r>
        <w:rPr>
          <w:rFonts w:cs="Arial" w:ascii="Arial" w:hAnsi="Arial"/>
          <w:sz w:val="22"/>
          <w:szCs w:val="22"/>
        </w:rPr>
        <w:t xml:space="preserve">Il définit les conditions d’attribution de la prime de productivité, sa répartition (part individuelle / part collective), et son montant. </w:t>
      </w:r>
    </w:p>
    <w:p>
      <w:pPr>
        <w:pStyle w:val="Normal"/>
        <w:spacing w:before="200" w:after="0"/>
        <w:rPr>
          <w:rFonts w:ascii="Arial" w:hAnsi="Arial" w:cs="Arial"/>
          <w:sz w:val="22"/>
          <w:szCs w:val="22"/>
        </w:rPr>
      </w:pPr>
      <w:r>
        <w:rPr>
          <w:rFonts w:cs="Arial" w:ascii="Arial" w:hAnsi="Arial"/>
          <w:sz w:val="22"/>
          <w:szCs w:val="22"/>
        </w:rPr>
      </w:r>
    </w:p>
    <w:p>
      <w:pPr>
        <w:pStyle w:val="Heading1"/>
        <w:numPr>
          <w:ilvl w:val="0"/>
          <w:numId w:val="1"/>
        </w:numPr>
        <w:spacing w:before="200" w:after="0"/>
        <w:rPr>
          <w:rFonts w:ascii="Arial" w:hAnsi="Arial" w:cs="Arial"/>
          <w:sz w:val="22"/>
          <w:szCs w:val="22"/>
        </w:rPr>
      </w:pPr>
      <w:r>
        <w:rPr>
          <w:rFonts w:cs="Arial" w:ascii="Arial" w:hAnsi="Arial"/>
          <w:sz w:val="22"/>
          <w:szCs w:val="22"/>
        </w:rPr>
        <w:t>DEFINITION DE LA PRIME DE PRODUCTIVITE</w:t>
      </w:r>
    </w:p>
    <w:p>
      <w:pPr>
        <w:pStyle w:val="Normal"/>
        <w:spacing w:before="200" w:after="200"/>
        <w:rPr/>
      </w:pPr>
      <w:r>
        <w:rPr>
          <w:rFonts w:cs="Arial" w:ascii="Arial" w:hAnsi="Arial"/>
          <w:iCs/>
          <w:sz w:val="22"/>
          <w:szCs w:val="22"/>
        </w:rPr>
        <w:t xml:space="preserve">La prime de productivité est destinée à récompenser la performance du personnel de l’atelier mécanique du GIE ACE, qui travaille sur les ilots suivants : </w:t>
      </w:r>
    </w:p>
    <w:p>
      <w:pPr>
        <w:pStyle w:val="Normal"/>
        <w:numPr>
          <w:ilvl w:val="0"/>
          <w:numId w:val="6"/>
        </w:numPr>
        <w:spacing w:before="100" w:after="0"/>
        <w:rPr>
          <w:rFonts w:ascii="Arial" w:hAnsi="Arial" w:cs="Arial"/>
          <w:b/>
          <w:b/>
          <w:iCs/>
          <w:sz w:val="22"/>
          <w:szCs w:val="22"/>
        </w:rPr>
      </w:pPr>
      <w:r>
        <w:rPr>
          <w:rFonts w:cs="Arial" w:ascii="Arial" w:hAnsi="Arial"/>
          <w:b/>
          <w:iCs/>
          <w:sz w:val="22"/>
          <w:szCs w:val="22"/>
        </w:rPr>
        <w:t>HERMLE / CHARMILLES</w:t>
      </w:r>
    </w:p>
    <w:p>
      <w:pPr>
        <w:pStyle w:val="Normal"/>
        <w:numPr>
          <w:ilvl w:val="0"/>
          <w:numId w:val="6"/>
        </w:numPr>
        <w:spacing w:before="100" w:after="0"/>
        <w:rPr/>
      </w:pPr>
      <w:r>
        <w:rPr>
          <w:rFonts w:cs="Arial" w:ascii="Arial" w:hAnsi="Arial"/>
          <w:b/>
          <w:iCs/>
          <w:sz w:val="22"/>
          <w:szCs w:val="22"/>
          <w:lang w:val="en-US"/>
        </w:rPr>
        <w:t>SOMAB / GUILD MASTER</w:t>
      </w:r>
    </w:p>
    <w:p>
      <w:pPr>
        <w:pStyle w:val="Normal"/>
        <w:numPr>
          <w:ilvl w:val="0"/>
          <w:numId w:val="6"/>
        </w:numPr>
        <w:spacing w:before="100" w:after="0"/>
        <w:rPr>
          <w:rFonts w:ascii="Arial" w:hAnsi="Arial" w:cs="Arial"/>
          <w:b/>
          <w:b/>
          <w:iCs/>
          <w:sz w:val="22"/>
          <w:szCs w:val="22"/>
          <w:lang w:val="en-US"/>
        </w:rPr>
      </w:pPr>
      <w:r>
        <w:rPr>
          <w:rFonts w:cs="Arial" w:ascii="Arial" w:hAnsi="Arial"/>
          <w:b/>
          <w:iCs/>
          <w:sz w:val="22"/>
          <w:szCs w:val="22"/>
          <w:lang w:val="en-US"/>
        </w:rPr>
        <w:t>EMCO / DELTA MAB</w:t>
      </w:r>
    </w:p>
    <w:p>
      <w:pPr>
        <w:pStyle w:val="Normal"/>
        <w:numPr>
          <w:ilvl w:val="0"/>
          <w:numId w:val="6"/>
        </w:numPr>
        <w:spacing w:before="100" w:after="0"/>
        <w:rPr>
          <w:rFonts w:ascii="Arial" w:hAnsi="Arial" w:cs="Arial"/>
          <w:b/>
          <w:b/>
          <w:iCs/>
          <w:sz w:val="22"/>
          <w:szCs w:val="22"/>
          <w:lang w:val="en-US"/>
        </w:rPr>
      </w:pPr>
      <w:r>
        <w:rPr>
          <w:rFonts w:cs="Arial" w:ascii="Arial" w:hAnsi="Arial"/>
          <w:b/>
          <w:iCs/>
          <w:sz w:val="22"/>
          <w:szCs w:val="22"/>
          <w:lang w:val="en-US"/>
        </w:rPr>
        <w:t>ANAYAK / HEDELIUS / IBARMIA</w:t>
      </w:r>
    </w:p>
    <w:p>
      <w:pPr>
        <w:pStyle w:val="Normal"/>
        <w:spacing w:before="200" w:after="0"/>
        <w:rPr>
          <w:rFonts w:ascii="Arial" w:hAnsi="Arial" w:cs="Arial"/>
          <w:iCs/>
          <w:sz w:val="22"/>
          <w:szCs w:val="22"/>
        </w:rPr>
      </w:pPr>
      <w:r>
        <w:rPr>
          <w:rFonts w:cs="Arial" w:ascii="Arial" w:hAnsi="Arial"/>
          <w:iCs/>
          <w:sz w:val="22"/>
          <w:szCs w:val="22"/>
        </w:rPr>
        <w:t>Le montant mensuel de la prime de productivité peut s’élever jusqu’à 130 euros maximum, réparti selon des conditions d’attribution spécifiques entre une part individuelle et une part collective.</w:t>
      </w:r>
    </w:p>
    <w:p>
      <w:pPr>
        <w:pStyle w:val="Normal"/>
        <w:spacing w:before="200" w:after="0"/>
        <w:rPr>
          <w:rFonts w:ascii="Arial" w:hAnsi="Arial" w:cs="Arial"/>
          <w:iCs/>
          <w:sz w:val="22"/>
          <w:szCs w:val="22"/>
        </w:rPr>
      </w:pPr>
      <w:r>
        <w:rPr>
          <w:rFonts w:cs="Arial" w:ascii="Arial" w:hAnsi="Arial"/>
          <w:iCs/>
          <w:sz w:val="22"/>
          <w:szCs w:val="22"/>
        </w:rPr>
      </w:r>
    </w:p>
    <w:p>
      <w:pPr>
        <w:pStyle w:val="Heading1"/>
        <w:numPr>
          <w:ilvl w:val="0"/>
          <w:numId w:val="1"/>
        </w:numPr>
        <w:spacing w:before="200" w:after="0"/>
        <w:ind w:left="357" w:hanging="357"/>
        <w:rPr>
          <w:rFonts w:ascii="Arial" w:hAnsi="Arial" w:cs="Arial"/>
          <w:sz w:val="22"/>
          <w:szCs w:val="22"/>
        </w:rPr>
      </w:pPr>
      <w:r>
        <w:rPr>
          <w:rFonts w:cs="Arial" w:ascii="Arial" w:hAnsi="Arial"/>
          <w:sz w:val="22"/>
          <w:szCs w:val="22"/>
        </w:rPr>
        <w:t>CONDITIONS D’ATTRIBUTION DE LA PART INDIVIDUELLE</w:t>
      </w:r>
    </w:p>
    <w:p>
      <w:pPr>
        <w:pStyle w:val="Listepuces"/>
        <w:numPr>
          <w:ilvl w:val="0"/>
          <w:numId w:val="0"/>
        </w:numPr>
        <w:spacing w:before="200" w:after="0"/>
        <w:ind w:left="0" w:hanging="0"/>
        <w:contextualSpacing/>
        <w:rPr/>
      </w:pPr>
      <w:r>
        <w:rPr>
          <w:rFonts w:cs="Arial" w:ascii="Arial" w:hAnsi="Arial"/>
          <w:sz w:val="22"/>
          <w:szCs w:val="22"/>
        </w:rPr>
        <w:t xml:space="preserve">La part individuelle de la prime de productivité est versée selon les conditions suivantes : </w:t>
      </w:r>
    </w:p>
    <w:p>
      <w:pPr>
        <w:pStyle w:val="Listepuces"/>
        <w:numPr>
          <w:ilvl w:val="0"/>
          <w:numId w:val="0"/>
        </w:numPr>
        <w:spacing w:before="200" w:after="0"/>
        <w:ind w:left="0" w:hanging="0"/>
        <w:contextualSpacing/>
        <w:rPr>
          <w:rFonts w:ascii="Arial" w:hAnsi="Arial" w:cs="Arial"/>
          <w:sz w:val="22"/>
          <w:szCs w:val="22"/>
        </w:rPr>
      </w:pPr>
      <w:r>
        <w:rPr>
          <w:rFonts w:cs="Arial" w:ascii="Arial" w:hAnsi="Arial"/>
          <w:sz w:val="22"/>
          <w:szCs w:val="22"/>
        </w:rPr>
      </w:r>
    </w:p>
    <w:p>
      <w:pPr>
        <w:pStyle w:val="Listepuces"/>
        <w:numPr>
          <w:ilvl w:val="0"/>
          <w:numId w:val="3"/>
        </w:numPr>
        <w:spacing w:before="200" w:after="0"/>
        <w:contextualSpacing/>
        <w:rPr>
          <w:rFonts w:ascii="Arial" w:hAnsi="Arial" w:cs="Arial"/>
          <w:sz w:val="22"/>
          <w:szCs w:val="22"/>
        </w:rPr>
      </w:pPr>
      <w:r>
        <w:rPr>
          <w:rFonts w:cs="Arial" w:ascii="Arial" w:hAnsi="Arial"/>
          <w:sz w:val="22"/>
          <w:szCs w:val="22"/>
        </w:rPr>
        <w:t xml:space="preserve">Faire partie du personnel de l’atelier mécanique du GIE ACE ; </w:t>
      </w:r>
    </w:p>
    <w:p>
      <w:pPr>
        <w:pStyle w:val="Listepuces"/>
        <w:numPr>
          <w:ilvl w:val="0"/>
          <w:numId w:val="3"/>
        </w:numPr>
        <w:spacing w:before="200" w:after="0"/>
        <w:contextualSpacing/>
        <w:rPr>
          <w:rFonts w:ascii="Arial" w:hAnsi="Arial" w:cs="Arial"/>
          <w:sz w:val="22"/>
          <w:szCs w:val="22"/>
        </w:rPr>
      </w:pPr>
      <w:r>
        <w:rPr>
          <w:rFonts w:cs="Arial" w:ascii="Arial" w:hAnsi="Arial"/>
          <w:sz w:val="22"/>
          <w:szCs w:val="22"/>
        </w:rPr>
        <w:t xml:space="preserve">Être affecté sur l’un des ilots mentionnés par l’article 2 ; </w:t>
      </w:r>
    </w:p>
    <w:p>
      <w:pPr>
        <w:pStyle w:val="Listepuces"/>
        <w:numPr>
          <w:ilvl w:val="0"/>
          <w:numId w:val="3"/>
        </w:numPr>
        <w:spacing w:before="200" w:after="0"/>
        <w:contextualSpacing/>
        <w:rPr>
          <w:rFonts w:ascii="Arial" w:hAnsi="Arial" w:cs="Arial"/>
          <w:sz w:val="22"/>
          <w:szCs w:val="22"/>
        </w:rPr>
      </w:pPr>
      <w:r>
        <w:rPr>
          <w:rFonts w:cs="Arial" w:ascii="Arial" w:hAnsi="Arial"/>
          <w:sz w:val="22"/>
          <w:szCs w:val="22"/>
        </w:rPr>
        <w:t xml:space="preserve">Avoir son ilot en fonctionnement sur minimum deux machines ; </w:t>
      </w:r>
    </w:p>
    <w:p>
      <w:pPr>
        <w:pStyle w:val="Listepuces"/>
        <w:numPr>
          <w:ilvl w:val="0"/>
          <w:numId w:val="3"/>
        </w:numPr>
        <w:spacing w:before="200" w:after="0"/>
        <w:contextualSpacing/>
        <w:rPr/>
      </w:pPr>
      <w:r>
        <w:rPr>
          <w:rFonts w:cs="Arial" w:ascii="Arial" w:hAnsi="Arial"/>
          <w:sz w:val="22"/>
          <w:szCs w:val="22"/>
        </w:rPr>
        <w:t>Ne pas avoir une absence supérieure ou égale à 2 semaines dans le mois.</w:t>
      </w:r>
    </w:p>
    <w:p>
      <w:pPr>
        <w:pStyle w:val="Listepuces"/>
        <w:numPr>
          <w:ilvl w:val="0"/>
          <w:numId w:val="0"/>
        </w:numPr>
        <w:spacing w:before="200" w:after="0"/>
        <w:ind w:left="0" w:hanging="0"/>
        <w:contextualSpacing/>
        <w:rPr>
          <w:rFonts w:ascii="Arial" w:hAnsi="Arial" w:cs="Arial"/>
          <w:sz w:val="22"/>
          <w:szCs w:val="22"/>
        </w:rPr>
      </w:pPr>
      <w:r>
        <w:rPr>
          <w:rFonts w:cs="Arial" w:ascii="Arial" w:hAnsi="Arial"/>
          <w:sz w:val="22"/>
          <w:szCs w:val="22"/>
        </w:rPr>
      </w:r>
    </w:p>
    <w:p>
      <w:pPr>
        <w:pStyle w:val="Listepuces"/>
        <w:numPr>
          <w:ilvl w:val="0"/>
          <w:numId w:val="0"/>
        </w:numPr>
        <w:spacing w:before="200" w:after="0"/>
        <w:ind w:left="0" w:hanging="0"/>
        <w:contextualSpacing/>
        <w:rPr/>
      </w:pPr>
      <w:r>
        <w:rPr>
          <w:rFonts w:cs="Arial" w:ascii="Arial" w:hAnsi="Arial"/>
          <w:sz w:val="22"/>
          <w:szCs w:val="22"/>
        </w:rPr>
        <w:t xml:space="preserve">Le montant de la part individuelle a été fixé selon le taux moyen de mise à l’arrêt des ilots mentionnés par l’article 2, évalué à 25% selon les indicateurs de 2017 et 20% selon les indicateurs de 2018.  </w:t>
      </w:r>
    </w:p>
    <w:p>
      <w:pPr>
        <w:pStyle w:val="Listepuces"/>
        <w:numPr>
          <w:ilvl w:val="0"/>
          <w:numId w:val="0"/>
        </w:numPr>
        <w:spacing w:before="200" w:after="0"/>
        <w:ind w:left="0" w:hanging="0"/>
        <w:contextualSpacing/>
        <w:rPr>
          <w:rFonts w:ascii="Arial" w:hAnsi="Arial" w:cs="Arial"/>
          <w:sz w:val="22"/>
          <w:szCs w:val="22"/>
        </w:rPr>
      </w:pPr>
      <w:r>
        <w:rPr>
          <w:rFonts w:cs="Arial" w:ascii="Arial" w:hAnsi="Arial"/>
          <w:sz w:val="22"/>
          <w:szCs w:val="22"/>
        </w:rPr>
      </w:r>
    </w:p>
    <w:p>
      <w:pPr>
        <w:pStyle w:val="Listepuces"/>
        <w:numPr>
          <w:ilvl w:val="0"/>
          <w:numId w:val="0"/>
        </w:numPr>
        <w:spacing w:before="200" w:after="0"/>
        <w:ind w:left="0" w:hanging="0"/>
        <w:contextualSpacing/>
        <w:rPr/>
      </w:pPr>
      <w:r>
        <w:rPr>
          <w:rFonts w:cs="Arial" w:ascii="Arial" w:hAnsi="Arial"/>
          <w:sz w:val="22"/>
          <w:szCs w:val="22"/>
        </w:rPr>
        <w:t xml:space="preserve">De cette manière, le montant de la part individuelle est réparti par paliers, de la façon suivante : </w:t>
      </w:r>
    </w:p>
    <w:p>
      <w:pPr>
        <w:pStyle w:val="Listepuces"/>
        <w:numPr>
          <w:ilvl w:val="0"/>
          <w:numId w:val="0"/>
        </w:numPr>
        <w:spacing w:before="200" w:after="0"/>
        <w:ind w:left="360" w:hanging="360"/>
        <w:contextualSpacing/>
        <w:rPr>
          <w:rFonts w:ascii="Arial" w:hAnsi="Arial" w:cs="Arial"/>
          <w:sz w:val="22"/>
          <w:szCs w:val="22"/>
        </w:rPr>
      </w:pPr>
      <w:r>
        <w:rPr>
          <w:rFonts w:cs="Arial" w:ascii="Arial" w:hAnsi="Arial"/>
          <w:sz w:val="22"/>
          <w:szCs w:val="22"/>
        </w:rPr>
      </w:r>
    </w:p>
    <w:tbl>
      <w:tblPr>
        <w:tblW w:w="9072"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694"/>
        <w:gridCol w:w="3260"/>
        <w:gridCol w:w="3118"/>
      </w:tblGrid>
      <w:tr>
        <w:trPr/>
        <w:tc>
          <w:tcPr>
            <w:tcW w:w="26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epuces"/>
              <w:numPr>
                <w:ilvl w:val="0"/>
                <w:numId w:val="0"/>
              </w:numPr>
              <w:spacing w:before="60" w:after="60"/>
              <w:ind w:left="0" w:hanging="0"/>
              <w:contextualSpacing/>
              <w:jc w:val="center"/>
              <w:rPr>
                <w:rFonts w:ascii="Arial" w:hAnsi="Arial" w:cs="Arial"/>
                <w:b/>
                <w:b/>
                <w:sz w:val="22"/>
                <w:szCs w:val="22"/>
              </w:rPr>
            </w:pPr>
            <w:r>
              <w:rPr>
                <w:rFonts w:cs="Arial" w:ascii="Arial" w:hAnsi="Arial"/>
                <w:b/>
                <w:sz w:val="22"/>
                <w:szCs w:val="22"/>
              </w:rPr>
              <w:t>Taux de mise à l’arrêt</w:t>
            </w:r>
          </w:p>
        </w:tc>
        <w:tc>
          <w:tcPr>
            <w:tcW w:w="3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epuces"/>
              <w:numPr>
                <w:ilvl w:val="0"/>
                <w:numId w:val="0"/>
              </w:numPr>
              <w:spacing w:before="60" w:after="60"/>
              <w:ind w:left="0" w:hanging="0"/>
              <w:contextualSpacing/>
              <w:jc w:val="center"/>
              <w:rPr>
                <w:rFonts w:ascii="Arial" w:hAnsi="Arial" w:cs="Arial"/>
                <w:b/>
                <w:b/>
                <w:sz w:val="22"/>
                <w:szCs w:val="22"/>
              </w:rPr>
            </w:pPr>
            <w:r>
              <w:rPr>
                <w:rFonts w:cs="Arial" w:ascii="Arial" w:hAnsi="Arial"/>
                <w:b/>
                <w:sz w:val="22"/>
                <w:szCs w:val="22"/>
              </w:rPr>
              <w:t>Montant mensuel de la prime (non cumulatif)</w:t>
            </w:r>
          </w:p>
        </w:tc>
        <w:tc>
          <w:tcPr>
            <w:tcW w:w="3118" w:type="dxa"/>
            <w:tcBorders>
              <w:left w:val="single" w:sz="4" w:space="0" w:color="000000"/>
            </w:tcBorders>
            <w:shd w:fill="auto" w:val="clear"/>
            <w:tcMar>
              <w:left w:w="103" w:type="dxa"/>
            </w:tcMar>
          </w:tcPr>
          <w:p>
            <w:pPr>
              <w:pStyle w:val="Listepuces"/>
              <w:numPr>
                <w:ilvl w:val="0"/>
                <w:numId w:val="0"/>
              </w:numPr>
              <w:snapToGrid w:val="false"/>
              <w:spacing w:before="60" w:after="60"/>
              <w:ind w:left="0" w:hanging="0"/>
              <w:contextualSpacing/>
              <w:jc w:val="center"/>
              <w:rPr>
                <w:rFonts w:ascii="Arial" w:hAnsi="Arial" w:cs="Arial"/>
                <w:b/>
                <w:b/>
                <w:sz w:val="22"/>
                <w:szCs w:val="22"/>
              </w:rPr>
            </w:pPr>
            <w:r>
              <w:rPr>
                <w:rFonts w:cs="Arial" w:ascii="Arial" w:hAnsi="Arial"/>
                <w:b/>
                <w:sz w:val="22"/>
                <w:szCs w:val="22"/>
              </w:rPr>
            </w:r>
          </w:p>
        </w:tc>
      </w:tr>
      <w:tr>
        <w:trPr/>
        <w:tc>
          <w:tcPr>
            <w:tcW w:w="2694" w:type="dxa"/>
            <w:tcBorders>
              <w:top w:val="single" w:sz="4" w:space="0" w:color="000000"/>
              <w:left w:val="single" w:sz="4" w:space="0" w:color="000000"/>
              <w:bottom w:val="single" w:sz="4" w:space="0" w:color="000000"/>
              <w:insideH w:val="single" w:sz="4" w:space="0" w:color="000000"/>
            </w:tcBorders>
            <w:shd w:fill="FBE4D5" w:val="clear"/>
            <w:tcMar>
              <w:left w:w="103" w:type="dxa"/>
            </w:tcMar>
            <w:vAlign w:val="center"/>
          </w:tcPr>
          <w:p>
            <w:pPr>
              <w:pStyle w:val="Listepuces"/>
              <w:numPr>
                <w:ilvl w:val="0"/>
                <w:numId w:val="0"/>
              </w:numPr>
              <w:spacing w:before="60" w:after="60"/>
              <w:ind w:left="0" w:hanging="0"/>
              <w:contextualSpacing/>
              <w:jc w:val="center"/>
              <w:rPr>
                <w:rFonts w:ascii="Arial" w:hAnsi="Arial" w:cs="Arial"/>
                <w:sz w:val="22"/>
                <w:szCs w:val="22"/>
              </w:rPr>
            </w:pPr>
            <w:r>
              <w:rPr>
                <w:rFonts w:cs="Arial" w:ascii="Arial" w:hAnsi="Arial"/>
                <w:sz w:val="22"/>
                <w:szCs w:val="22"/>
              </w:rPr>
              <w:t xml:space="preserve">Taux </w:t>
            </w:r>
            <w:r>
              <w:rPr/>
              <w:t>&gt;</w:t>
            </w:r>
            <w:r>
              <w:rPr>
                <w:rFonts w:cs="Arial" w:ascii="Arial" w:hAnsi="Arial"/>
                <w:sz w:val="22"/>
                <w:szCs w:val="22"/>
              </w:rPr>
              <w:t xml:space="preserve"> 30%</w:t>
            </w:r>
          </w:p>
        </w:tc>
        <w:tc>
          <w:tcPr>
            <w:tcW w:w="3260" w:type="dxa"/>
            <w:tcBorders>
              <w:top w:val="single" w:sz="4" w:space="0" w:color="000000"/>
              <w:left w:val="single" w:sz="4" w:space="0" w:color="000000"/>
              <w:bottom w:val="single" w:sz="4" w:space="0" w:color="000000"/>
              <w:insideH w:val="single" w:sz="4" w:space="0" w:color="000000"/>
            </w:tcBorders>
            <w:shd w:fill="FBE4D5" w:val="clear"/>
            <w:tcMar>
              <w:left w:w="103" w:type="dxa"/>
            </w:tcMar>
            <w:vAlign w:val="center"/>
          </w:tcPr>
          <w:p>
            <w:pPr>
              <w:pStyle w:val="Listepuces"/>
              <w:numPr>
                <w:ilvl w:val="0"/>
                <w:numId w:val="0"/>
              </w:numPr>
              <w:spacing w:before="60" w:after="60"/>
              <w:ind w:left="0" w:hanging="0"/>
              <w:contextualSpacing/>
              <w:jc w:val="center"/>
              <w:rPr>
                <w:rFonts w:ascii="Arial" w:hAnsi="Arial" w:cs="Arial"/>
                <w:sz w:val="22"/>
                <w:szCs w:val="22"/>
              </w:rPr>
            </w:pPr>
            <w:r>
              <w:rPr>
                <w:rFonts w:cs="Arial" w:ascii="Arial" w:hAnsi="Arial"/>
                <w:sz w:val="22"/>
                <w:szCs w:val="22"/>
              </w:rPr>
              <w:t>0 €</w:t>
            </w:r>
          </w:p>
        </w:tc>
        <w:tc>
          <w:tcPr>
            <w:tcW w:w="3118" w:type="dxa"/>
            <w:tcBorders>
              <w:left w:val="single" w:sz="4" w:space="0" w:color="000000"/>
            </w:tcBorders>
            <w:shd w:fill="FBE4D5" w:val="clear"/>
            <w:tcMar>
              <w:left w:w="103" w:type="dxa"/>
            </w:tcMar>
            <w:vAlign w:val="center"/>
          </w:tcPr>
          <w:p>
            <w:pPr>
              <w:pStyle w:val="Listepuces"/>
              <w:numPr>
                <w:ilvl w:val="0"/>
                <w:numId w:val="0"/>
              </w:numPr>
              <w:spacing w:before="60" w:after="60"/>
              <w:ind w:left="0" w:hanging="0"/>
              <w:contextualSpacing/>
              <w:jc w:val="center"/>
              <w:rPr>
                <w:rFonts w:ascii="Arial" w:hAnsi="Arial" w:cs="Arial"/>
                <w:i/>
                <w:i/>
                <w:sz w:val="20"/>
                <w:szCs w:val="20"/>
              </w:rPr>
            </w:pPr>
            <w:r>
              <w:rPr>
                <w:rFonts w:cs="Arial" w:ascii="Arial" w:hAnsi="Arial"/>
                <w:i/>
                <w:sz w:val="20"/>
                <w:szCs w:val="20"/>
              </w:rPr>
              <w:t>Part individuelle à 0€</w:t>
            </w:r>
          </w:p>
        </w:tc>
      </w:tr>
      <w:tr>
        <w:trPr/>
        <w:tc>
          <w:tcPr>
            <w:tcW w:w="26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epuces"/>
              <w:numPr>
                <w:ilvl w:val="0"/>
                <w:numId w:val="0"/>
              </w:numPr>
              <w:spacing w:before="60" w:after="60"/>
              <w:ind w:left="0" w:hanging="0"/>
              <w:contextualSpacing/>
              <w:jc w:val="center"/>
              <w:rPr/>
            </w:pPr>
            <w:r>
              <w:rPr>
                <w:rFonts w:cs="Arial" w:ascii="Arial" w:hAnsi="Arial"/>
                <w:sz w:val="22"/>
                <w:szCs w:val="22"/>
              </w:rPr>
              <w:t>30% ≥ taux &gt; 25%</w:t>
            </w:r>
          </w:p>
        </w:tc>
        <w:tc>
          <w:tcPr>
            <w:tcW w:w="3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epuces"/>
              <w:numPr>
                <w:ilvl w:val="0"/>
                <w:numId w:val="0"/>
              </w:numPr>
              <w:spacing w:before="60" w:after="60"/>
              <w:ind w:left="0" w:hanging="0"/>
              <w:contextualSpacing/>
              <w:jc w:val="center"/>
              <w:rPr>
                <w:rFonts w:ascii="Arial" w:hAnsi="Arial" w:cs="Arial"/>
                <w:sz w:val="22"/>
                <w:szCs w:val="22"/>
              </w:rPr>
            </w:pPr>
            <w:r>
              <w:rPr>
                <w:rFonts w:cs="Arial" w:ascii="Arial" w:hAnsi="Arial"/>
                <w:sz w:val="22"/>
                <w:szCs w:val="22"/>
              </w:rPr>
              <w:t>20 €</w:t>
            </w:r>
          </w:p>
        </w:tc>
        <w:tc>
          <w:tcPr>
            <w:tcW w:w="3118" w:type="dxa"/>
            <w:tcBorders>
              <w:left w:val="single" w:sz="4" w:space="0" w:color="000000"/>
            </w:tcBorders>
            <w:shd w:fill="FFFFFF" w:val="clear"/>
            <w:tcMar>
              <w:left w:w="103" w:type="dxa"/>
            </w:tcMar>
            <w:vAlign w:val="center"/>
          </w:tcPr>
          <w:p>
            <w:pPr>
              <w:pStyle w:val="Listepuces"/>
              <w:numPr>
                <w:ilvl w:val="0"/>
                <w:numId w:val="0"/>
              </w:numPr>
              <w:snapToGrid w:val="false"/>
              <w:spacing w:before="60" w:after="60"/>
              <w:ind w:left="0" w:hanging="0"/>
              <w:contextualSpacing/>
              <w:jc w:val="center"/>
              <w:rPr>
                <w:rFonts w:ascii="Arial" w:hAnsi="Arial" w:cs="Arial"/>
                <w:sz w:val="20"/>
                <w:szCs w:val="20"/>
              </w:rPr>
            </w:pPr>
            <w:r>
              <w:rPr>
                <w:rFonts w:cs="Arial" w:ascii="Arial" w:hAnsi="Arial"/>
                <w:sz w:val="20"/>
                <w:szCs w:val="20"/>
              </w:rPr>
            </w:r>
          </w:p>
        </w:tc>
      </w:tr>
      <w:tr>
        <w:trPr/>
        <w:tc>
          <w:tcPr>
            <w:tcW w:w="2694" w:type="dxa"/>
            <w:tcBorders>
              <w:top w:val="single" w:sz="4" w:space="0" w:color="000000"/>
              <w:left w:val="single" w:sz="4" w:space="0" w:color="000000"/>
              <w:bottom w:val="single" w:sz="4" w:space="0" w:color="000000"/>
              <w:insideH w:val="single" w:sz="4" w:space="0" w:color="000000"/>
            </w:tcBorders>
            <w:shd w:fill="DEEAF6" w:val="clear"/>
            <w:tcMar>
              <w:left w:w="103" w:type="dxa"/>
            </w:tcMar>
            <w:vAlign w:val="center"/>
          </w:tcPr>
          <w:p>
            <w:pPr>
              <w:pStyle w:val="Listepuces"/>
              <w:numPr>
                <w:ilvl w:val="0"/>
                <w:numId w:val="0"/>
              </w:numPr>
              <w:spacing w:before="60" w:after="60"/>
              <w:ind w:left="0" w:hanging="0"/>
              <w:contextualSpacing/>
              <w:jc w:val="center"/>
              <w:rPr/>
            </w:pPr>
            <w:r>
              <w:rPr>
                <w:rFonts w:cs="Arial" w:ascii="Arial" w:hAnsi="Arial"/>
                <w:b/>
                <w:sz w:val="22"/>
                <w:szCs w:val="22"/>
              </w:rPr>
              <w:t>25% ≥ taux &gt; 20%</w:t>
            </w:r>
          </w:p>
        </w:tc>
        <w:tc>
          <w:tcPr>
            <w:tcW w:w="3260" w:type="dxa"/>
            <w:tcBorders>
              <w:top w:val="single" w:sz="4" w:space="0" w:color="000000"/>
              <w:left w:val="single" w:sz="4" w:space="0" w:color="000000"/>
              <w:bottom w:val="single" w:sz="4" w:space="0" w:color="000000"/>
              <w:insideH w:val="single" w:sz="4" w:space="0" w:color="000000"/>
            </w:tcBorders>
            <w:shd w:fill="DEEAF6" w:val="clear"/>
            <w:tcMar>
              <w:left w:w="103" w:type="dxa"/>
            </w:tcMar>
            <w:vAlign w:val="center"/>
          </w:tcPr>
          <w:p>
            <w:pPr>
              <w:pStyle w:val="Listepuces"/>
              <w:numPr>
                <w:ilvl w:val="0"/>
                <w:numId w:val="0"/>
              </w:numPr>
              <w:spacing w:before="60" w:after="60"/>
              <w:ind w:left="0" w:hanging="0"/>
              <w:contextualSpacing/>
              <w:jc w:val="center"/>
              <w:rPr>
                <w:rFonts w:ascii="Arial" w:hAnsi="Arial" w:cs="Arial"/>
                <w:b/>
                <w:b/>
                <w:sz w:val="22"/>
                <w:szCs w:val="22"/>
              </w:rPr>
            </w:pPr>
            <w:r>
              <w:rPr>
                <w:rFonts w:cs="Arial" w:ascii="Arial" w:hAnsi="Arial"/>
                <w:b/>
                <w:sz w:val="22"/>
                <w:szCs w:val="22"/>
              </w:rPr>
              <w:t>40 €</w:t>
            </w:r>
          </w:p>
        </w:tc>
        <w:tc>
          <w:tcPr>
            <w:tcW w:w="3118" w:type="dxa"/>
            <w:tcBorders>
              <w:left w:val="single" w:sz="4" w:space="0" w:color="000000"/>
            </w:tcBorders>
            <w:shd w:fill="DEEAF6" w:val="clear"/>
            <w:tcMar>
              <w:left w:w="103" w:type="dxa"/>
            </w:tcMar>
            <w:vAlign w:val="center"/>
          </w:tcPr>
          <w:p>
            <w:pPr>
              <w:pStyle w:val="Listepuces"/>
              <w:numPr>
                <w:ilvl w:val="0"/>
                <w:numId w:val="0"/>
              </w:numPr>
              <w:ind w:left="0" w:hanging="0"/>
              <w:jc w:val="center"/>
              <w:rPr>
                <w:rFonts w:ascii="Arial" w:hAnsi="Arial" w:cs="Arial"/>
                <w:i/>
                <w:i/>
                <w:color w:val="000000"/>
                <w:sz w:val="20"/>
                <w:szCs w:val="20"/>
              </w:rPr>
            </w:pPr>
            <w:r>
              <w:rPr>
                <w:rFonts w:cs="Arial" w:ascii="Arial" w:hAnsi="Arial"/>
                <w:i/>
                <w:color w:val="000000"/>
                <w:sz w:val="20"/>
                <w:szCs w:val="20"/>
              </w:rPr>
              <w:t>Seuil de départ de la prime</w:t>
            </w:r>
          </w:p>
          <w:p>
            <w:pPr>
              <w:pStyle w:val="Listepuces"/>
              <w:numPr>
                <w:ilvl w:val="0"/>
                <w:numId w:val="0"/>
              </w:numPr>
              <w:ind w:left="0" w:hanging="0"/>
              <w:jc w:val="center"/>
              <w:rPr>
                <w:rFonts w:ascii="Arial" w:hAnsi="Arial" w:cs="Arial"/>
                <w:b/>
                <w:b/>
                <w:i/>
                <w:i/>
                <w:color w:val="000000"/>
                <w:sz w:val="20"/>
                <w:szCs w:val="20"/>
                <w:u w:val="single"/>
              </w:rPr>
            </w:pPr>
            <w:r>
              <w:rPr>
                <w:rFonts w:cs="Arial" w:ascii="Arial" w:hAnsi="Arial"/>
                <w:i/>
                <w:color w:val="000000"/>
                <w:sz w:val="20"/>
                <w:szCs w:val="20"/>
              </w:rPr>
              <w:t>(taux de mise à l’arrêt moyen)</w:t>
            </w:r>
          </w:p>
        </w:tc>
      </w:tr>
      <w:tr>
        <w:trPr/>
        <w:tc>
          <w:tcPr>
            <w:tcW w:w="26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epuces"/>
              <w:numPr>
                <w:ilvl w:val="0"/>
                <w:numId w:val="0"/>
              </w:numPr>
              <w:spacing w:before="60" w:after="60"/>
              <w:ind w:left="0" w:hanging="0"/>
              <w:contextualSpacing/>
              <w:jc w:val="center"/>
              <w:rPr/>
            </w:pPr>
            <w:r>
              <w:rPr>
                <w:rFonts w:cs="Arial" w:ascii="Arial" w:hAnsi="Arial"/>
                <w:sz w:val="22"/>
                <w:szCs w:val="22"/>
              </w:rPr>
              <w:t>20% ≥ taux &gt; 15%</w:t>
            </w:r>
          </w:p>
        </w:tc>
        <w:tc>
          <w:tcPr>
            <w:tcW w:w="3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epuces"/>
              <w:numPr>
                <w:ilvl w:val="0"/>
                <w:numId w:val="0"/>
              </w:numPr>
              <w:spacing w:before="60" w:after="60"/>
              <w:ind w:left="0" w:hanging="0"/>
              <w:contextualSpacing/>
              <w:jc w:val="center"/>
              <w:rPr>
                <w:rFonts w:ascii="Arial" w:hAnsi="Arial" w:cs="Arial"/>
                <w:sz w:val="22"/>
                <w:szCs w:val="22"/>
              </w:rPr>
            </w:pPr>
            <w:r>
              <w:rPr>
                <w:rFonts w:cs="Arial" w:ascii="Arial" w:hAnsi="Arial"/>
                <w:sz w:val="22"/>
                <w:szCs w:val="22"/>
              </w:rPr>
              <w:t>80 €</w:t>
            </w:r>
          </w:p>
        </w:tc>
        <w:tc>
          <w:tcPr>
            <w:tcW w:w="3118" w:type="dxa"/>
            <w:tcBorders>
              <w:left w:val="single" w:sz="4" w:space="0" w:color="000000"/>
            </w:tcBorders>
            <w:shd w:fill="FFFFFF" w:val="clear"/>
            <w:tcMar>
              <w:left w:w="103" w:type="dxa"/>
            </w:tcMar>
            <w:vAlign w:val="center"/>
          </w:tcPr>
          <w:p>
            <w:pPr>
              <w:pStyle w:val="Listepuces"/>
              <w:numPr>
                <w:ilvl w:val="0"/>
                <w:numId w:val="0"/>
              </w:numPr>
              <w:snapToGrid w:val="false"/>
              <w:spacing w:before="60" w:after="60"/>
              <w:ind w:left="0" w:hanging="0"/>
              <w:contextualSpacing/>
              <w:jc w:val="center"/>
              <w:rPr>
                <w:rFonts w:ascii="Arial" w:hAnsi="Arial" w:cs="Arial"/>
                <w:sz w:val="22"/>
                <w:szCs w:val="22"/>
              </w:rPr>
            </w:pPr>
            <w:r>
              <w:rPr>
                <w:rFonts w:cs="Arial" w:ascii="Arial" w:hAnsi="Arial"/>
                <w:sz w:val="22"/>
                <w:szCs w:val="22"/>
              </w:rPr>
            </w:r>
          </w:p>
        </w:tc>
      </w:tr>
      <w:tr>
        <w:trPr/>
        <w:tc>
          <w:tcPr>
            <w:tcW w:w="2694" w:type="dxa"/>
            <w:tcBorders>
              <w:top w:val="single" w:sz="4" w:space="0" w:color="000000"/>
              <w:left w:val="single" w:sz="4" w:space="0" w:color="000000"/>
              <w:bottom w:val="single" w:sz="4" w:space="0" w:color="000000"/>
              <w:insideH w:val="single" w:sz="4" w:space="0" w:color="000000"/>
            </w:tcBorders>
            <w:shd w:fill="E2EFD9" w:val="clear"/>
            <w:tcMar>
              <w:left w:w="103" w:type="dxa"/>
            </w:tcMar>
            <w:vAlign w:val="center"/>
          </w:tcPr>
          <w:p>
            <w:pPr>
              <w:pStyle w:val="Listepuces"/>
              <w:numPr>
                <w:ilvl w:val="0"/>
                <w:numId w:val="0"/>
              </w:numPr>
              <w:spacing w:before="60" w:after="60"/>
              <w:ind w:left="0" w:hanging="0"/>
              <w:contextualSpacing/>
              <w:jc w:val="center"/>
              <w:rPr>
                <w:rFonts w:ascii="Arial" w:hAnsi="Arial" w:cs="Arial"/>
                <w:sz w:val="22"/>
                <w:szCs w:val="22"/>
              </w:rPr>
            </w:pPr>
            <w:r>
              <w:rPr>
                <w:rFonts w:cs="Arial" w:ascii="Arial" w:hAnsi="Arial"/>
                <w:sz w:val="22"/>
                <w:szCs w:val="22"/>
              </w:rPr>
              <w:t>Taux ≤ 15 %</w:t>
            </w:r>
          </w:p>
        </w:tc>
        <w:tc>
          <w:tcPr>
            <w:tcW w:w="3260" w:type="dxa"/>
            <w:tcBorders>
              <w:top w:val="single" w:sz="4" w:space="0" w:color="000000"/>
              <w:left w:val="single" w:sz="4" w:space="0" w:color="000000"/>
              <w:bottom w:val="single" w:sz="4" w:space="0" w:color="000000"/>
              <w:insideH w:val="single" w:sz="4" w:space="0" w:color="000000"/>
            </w:tcBorders>
            <w:shd w:fill="E2EFD9" w:val="clear"/>
            <w:tcMar>
              <w:left w:w="103" w:type="dxa"/>
            </w:tcMar>
            <w:vAlign w:val="center"/>
          </w:tcPr>
          <w:p>
            <w:pPr>
              <w:pStyle w:val="Listepuces"/>
              <w:numPr>
                <w:ilvl w:val="0"/>
                <w:numId w:val="0"/>
              </w:numPr>
              <w:spacing w:before="60" w:after="60"/>
              <w:ind w:left="0" w:hanging="0"/>
              <w:contextualSpacing/>
              <w:jc w:val="center"/>
              <w:rPr>
                <w:rFonts w:ascii="Arial" w:hAnsi="Arial" w:cs="Arial"/>
                <w:sz w:val="22"/>
                <w:szCs w:val="22"/>
              </w:rPr>
            </w:pPr>
            <w:r>
              <w:rPr>
                <w:rFonts w:cs="Arial" w:ascii="Arial" w:hAnsi="Arial"/>
                <w:sz w:val="22"/>
                <w:szCs w:val="22"/>
              </w:rPr>
              <w:t>100 €</w:t>
            </w:r>
          </w:p>
        </w:tc>
        <w:tc>
          <w:tcPr>
            <w:tcW w:w="3118" w:type="dxa"/>
            <w:tcBorders>
              <w:left w:val="single" w:sz="4" w:space="0" w:color="000000"/>
            </w:tcBorders>
            <w:shd w:fill="E2EFD9" w:val="clear"/>
            <w:tcMar>
              <w:left w:w="103" w:type="dxa"/>
            </w:tcMar>
            <w:vAlign w:val="center"/>
          </w:tcPr>
          <w:p>
            <w:pPr>
              <w:pStyle w:val="Listepuces"/>
              <w:numPr>
                <w:ilvl w:val="0"/>
                <w:numId w:val="0"/>
              </w:numPr>
              <w:spacing w:before="60" w:after="60"/>
              <w:ind w:left="0" w:hanging="0"/>
              <w:contextualSpacing/>
              <w:jc w:val="center"/>
              <w:rPr>
                <w:rFonts w:ascii="Arial" w:hAnsi="Arial" w:cs="Arial"/>
                <w:i/>
                <w:i/>
                <w:sz w:val="20"/>
                <w:szCs w:val="20"/>
              </w:rPr>
            </w:pPr>
            <w:r>
              <w:rPr>
                <w:rFonts w:cs="Arial" w:ascii="Arial" w:hAnsi="Arial"/>
                <w:i/>
                <w:sz w:val="20"/>
                <w:szCs w:val="20"/>
              </w:rPr>
              <w:t>Challenge « Excellence »</w:t>
            </w:r>
          </w:p>
        </w:tc>
      </w:tr>
    </w:tbl>
    <w:p>
      <w:pPr>
        <w:pStyle w:val="Normal"/>
        <w:spacing w:before="200" w:after="0"/>
        <w:rPr>
          <w:rFonts w:ascii="Arial" w:hAnsi="Arial" w:cs="Arial"/>
          <w:sz w:val="22"/>
          <w:szCs w:val="22"/>
        </w:rPr>
      </w:pPr>
      <w:r>
        <w:rPr>
          <w:rFonts w:cs="Arial" w:ascii="Arial" w:hAnsi="Arial"/>
          <w:sz w:val="22"/>
          <w:szCs w:val="22"/>
        </w:rPr>
        <w:t>Un montant de 5 euros sera déduit de la part individuelle par jour non travaillé, dans la limite de 0€.</w:t>
      </w:r>
    </w:p>
    <w:p>
      <w:pPr>
        <w:pStyle w:val="Listepuces"/>
        <w:numPr>
          <w:ilvl w:val="0"/>
          <w:numId w:val="0"/>
        </w:numPr>
        <w:spacing w:before="200" w:after="0"/>
        <w:ind w:left="0" w:hanging="0"/>
        <w:contextualSpacing/>
        <w:rPr>
          <w:rFonts w:ascii="Arial" w:hAnsi="Arial" w:cs="Arial"/>
          <w:color w:val="000000"/>
          <w:sz w:val="22"/>
          <w:szCs w:val="22"/>
        </w:rPr>
      </w:pPr>
      <w:r>
        <w:rPr>
          <w:rFonts w:cs="Arial" w:ascii="Arial" w:hAnsi="Arial"/>
          <w:color w:val="000000"/>
          <w:sz w:val="22"/>
          <w:szCs w:val="22"/>
          <w:u w:val="single"/>
        </w:rPr>
        <w:t>Nota</w:t>
      </w:r>
      <w:r>
        <w:rPr>
          <w:rFonts w:cs="Arial" w:ascii="Arial" w:hAnsi="Arial"/>
          <w:color w:val="000000"/>
          <w:sz w:val="22"/>
          <w:szCs w:val="22"/>
        </w:rPr>
        <w:t xml:space="preserve"> : Le taux de mise à l’arrêt comprend le temps où la machine est à l’arrêt durant une journée de travail effectif (hors nettoyage, programmation, réglage, et absence programmée). </w:t>
      </w:r>
    </w:p>
    <w:p>
      <w:pPr>
        <w:pStyle w:val="Listepuces"/>
        <w:numPr>
          <w:ilvl w:val="0"/>
          <w:numId w:val="0"/>
        </w:numPr>
        <w:spacing w:before="200" w:after="0"/>
        <w:ind w:left="0" w:hanging="0"/>
        <w:contextualSpacing/>
        <w:rPr>
          <w:rFonts w:ascii="Arial" w:hAnsi="Arial" w:cs="Arial"/>
          <w:color w:val="000000"/>
          <w:sz w:val="22"/>
          <w:szCs w:val="22"/>
        </w:rPr>
      </w:pPr>
      <w:r>
        <w:rPr>
          <w:rFonts w:cs="Arial" w:ascii="Arial" w:hAnsi="Arial"/>
          <w:color w:val="000000"/>
          <w:sz w:val="22"/>
          <w:szCs w:val="22"/>
        </w:rPr>
      </w:r>
    </w:p>
    <w:p>
      <w:pPr>
        <w:pStyle w:val="Heading1"/>
        <w:numPr>
          <w:ilvl w:val="0"/>
          <w:numId w:val="1"/>
        </w:numPr>
        <w:spacing w:before="200" w:after="0"/>
        <w:rPr>
          <w:rFonts w:ascii="Arial" w:hAnsi="Arial" w:cs="Arial"/>
          <w:sz w:val="22"/>
          <w:szCs w:val="22"/>
        </w:rPr>
      </w:pPr>
      <w:r>
        <w:rPr>
          <w:rFonts w:cs="Arial" w:ascii="Arial" w:hAnsi="Arial"/>
          <w:sz w:val="22"/>
          <w:szCs w:val="22"/>
        </w:rPr>
        <w:t xml:space="preserve">CONDITIONS D’ATTRIBUTION DE LA PART COLLECTIVE </w:t>
      </w:r>
    </w:p>
    <w:p>
      <w:pPr>
        <w:pStyle w:val="Normal"/>
        <w:spacing w:before="200" w:after="0"/>
        <w:rPr>
          <w:sz w:val="22"/>
          <w:szCs w:val="22"/>
        </w:rPr>
      </w:pPr>
      <w:r>
        <w:rPr>
          <w:rFonts w:cs="Arial" w:ascii="Arial" w:hAnsi="Arial"/>
          <w:sz w:val="22"/>
          <w:szCs w:val="22"/>
        </w:rPr>
        <w:t xml:space="preserve">La part collective de la prime de productivité est versée selon les conditions suivantes : </w:t>
      </w:r>
    </w:p>
    <w:p>
      <w:pPr>
        <w:pStyle w:val="Listepuces"/>
        <w:numPr>
          <w:ilvl w:val="0"/>
          <w:numId w:val="3"/>
        </w:numPr>
        <w:spacing w:before="200" w:after="0"/>
        <w:contextualSpacing/>
        <w:rPr>
          <w:rFonts w:ascii="Arial" w:hAnsi="Arial" w:cs="Arial"/>
          <w:sz w:val="22"/>
          <w:szCs w:val="22"/>
        </w:rPr>
      </w:pPr>
      <w:r>
        <w:rPr>
          <w:rFonts w:cs="Arial" w:ascii="Arial" w:hAnsi="Arial"/>
          <w:sz w:val="22"/>
          <w:szCs w:val="22"/>
        </w:rPr>
        <w:t xml:space="preserve">Faire partie du personnel de l’atelier mécanique du GIE ACE ; </w:t>
      </w:r>
    </w:p>
    <w:p>
      <w:pPr>
        <w:pStyle w:val="Listepuces"/>
        <w:numPr>
          <w:ilvl w:val="0"/>
          <w:numId w:val="3"/>
        </w:numPr>
        <w:spacing w:before="200" w:after="0"/>
        <w:contextualSpacing/>
        <w:rPr>
          <w:rFonts w:ascii="Arial" w:hAnsi="Arial" w:cs="Arial"/>
          <w:sz w:val="22"/>
          <w:szCs w:val="22"/>
        </w:rPr>
      </w:pPr>
      <w:r>
        <w:rPr>
          <w:rFonts w:cs="Arial" w:ascii="Arial" w:hAnsi="Arial"/>
          <w:sz w:val="22"/>
          <w:szCs w:val="22"/>
        </w:rPr>
        <w:t xml:space="preserve">Être affecté sur l’un des ilots mentionnés par l’article 2 ; </w:t>
      </w:r>
    </w:p>
    <w:p>
      <w:pPr>
        <w:pStyle w:val="Listepuces"/>
        <w:numPr>
          <w:ilvl w:val="0"/>
          <w:numId w:val="3"/>
        </w:numPr>
        <w:spacing w:before="200" w:after="0"/>
        <w:contextualSpacing/>
        <w:rPr>
          <w:rFonts w:ascii="Arial" w:hAnsi="Arial" w:cs="Arial"/>
          <w:sz w:val="22"/>
          <w:szCs w:val="22"/>
        </w:rPr>
      </w:pPr>
      <w:r>
        <w:rPr>
          <w:rFonts w:cs="Arial" w:ascii="Arial" w:hAnsi="Arial"/>
          <w:sz w:val="22"/>
          <w:szCs w:val="22"/>
        </w:rPr>
        <w:t>Avoir son ilot en fonctionnement sur minimum deux machines ;</w:t>
      </w:r>
    </w:p>
    <w:p>
      <w:pPr>
        <w:pStyle w:val="Listepuces"/>
        <w:numPr>
          <w:ilvl w:val="0"/>
          <w:numId w:val="3"/>
        </w:numPr>
        <w:spacing w:before="200" w:after="0"/>
        <w:contextualSpacing/>
        <w:rPr/>
      </w:pPr>
      <w:r>
        <w:rPr>
          <w:rFonts w:cs="Arial" w:ascii="Arial" w:hAnsi="Arial"/>
          <w:sz w:val="22"/>
          <w:szCs w:val="22"/>
        </w:rPr>
        <w:t>Ne pas avoir une absence supérieure ou égale à 3 semaines dans le mois.</w:t>
      </w:r>
    </w:p>
    <w:p>
      <w:pPr>
        <w:pStyle w:val="Listepuces"/>
        <w:numPr>
          <w:ilvl w:val="0"/>
          <w:numId w:val="0"/>
        </w:numPr>
        <w:spacing w:before="200" w:after="0"/>
        <w:ind w:left="720" w:hanging="0"/>
        <w:contextualSpacing/>
        <w:rPr>
          <w:rFonts w:ascii="Arial" w:hAnsi="Arial" w:cs="Arial"/>
          <w:sz w:val="22"/>
          <w:szCs w:val="22"/>
        </w:rPr>
      </w:pPr>
      <w:r>
        <w:rPr>
          <w:rFonts w:cs="Arial" w:ascii="Arial" w:hAnsi="Arial"/>
          <w:sz w:val="22"/>
          <w:szCs w:val="22"/>
        </w:rPr>
      </w:r>
    </w:p>
    <w:p>
      <w:pPr>
        <w:pStyle w:val="Normal"/>
        <w:spacing w:before="200" w:after="0"/>
        <w:rPr/>
      </w:pPr>
      <w:r>
        <w:rPr>
          <w:rFonts w:cs="Arial" w:ascii="Arial" w:hAnsi="Arial"/>
          <w:sz w:val="22"/>
          <w:szCs w:val="22"/>
        </w:rPr>
        <w:t xml:space="preserve">Le montant de la part collective est fixé à 30 euros, si le nombre d’heures productives mensuelles de l’ensemble des ilots mentionnés par l’article 2, atteint les seuils suivants : </w:t>
      </w:r>
    </w:p>
    <w:p>
      <w:pPr>
        <w:pStyle w:val="Normal"/>
        <w:numPr>
          <w:ilvl w:val="0"/>
          <w:numId w:val="5"/>
        </w:numPr>
        <w:spacing w:before="200" w:after="0"/>
        <w:rPr>
          <w:rFonts w:ascii="Arial" w:hAnsi="Arial" w:cs="Arial"/>
          <w:sz w:val="22"/>
          <w:szCs w:val="22"/>
        </w:rPr>
      </w:pPr>
      <w:r>
        <w:rPr>
          <w:rFonts w:cs="Arial" w:ascii="Arial" w:hAnsi="Arial"/>
          <w:sz w:val="22"/>
          <w:szCs w:val="22"/>
        </w:rPr>
        <w:t>1 600 heures / mois (tous les mois de l’année, hors juillet / août),</w:t>
      </w:r>
    </w:p>
    <w:p>
      <w:pPr>
        <w:pStyle w:val="Normal"/>
        <w:numPr>
          <w:ilvl w:val="0"/>
          <w:numId w:val="5"/>
        </w:numPr>
        <w:spacing w:before="200" w:after="0"/>
        <w:rPr>
          <w:rFonts w:ascii="Arial" w:hAnsi="Arial" w:cs="Arial"/>
          <w:sz w:val="22"/>
          <w:szCs w:val="22"/>
        </w:rPr>
      </w:pPr>
      <w:r>
        <w:rPr>
          <w:rFonts w:cs="Arial" w:ascii="Arial" w:hAnsi="Arial"/>
          <w:sz w:val="22"/>
          <w:szCs w:val="22"/>
        </w:rPr>
        <w:t>1 200 heures / mois (juillet / août).</w:t>
      </w:r>
    </w:p>
    <w:p>
      <w:pPr>
        <w:pStyle w:val="Normal"/>
        <w:spacing w:before="200" w:after="200"/>
        <w:rPr/>
      </w:pPr>
      <w:r>
        <w:rPr>
          <w:rFonts w:cs="Arial" w:ascii="Arial" w:hAnsi="Arial"/>
          <w:sz w:val="22"/>
          <w:szCs w:val="22"/>
        </w:rPr>
        <w:t>Le montant de la part collective variera en fonction du nombre de jour ouvré non travaillé de la manière suivante</w:t>
      </w:r>
      <w:r>
        <w:rPr/>
        <w:t xml:space="preserve"> : </w:t>
      </w:r>
    </w:p>
    <w:tbl>
      <w:tblPr>
        <w:tblW w:w="922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05"/>
        <w:gridCol w:w="4615"/>
      </w:tblGrid>
      <w:tr>
        <w:trPr/>
        <w:tc>
          <w:tcPr>
            <w:tcW w:w="46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60" w:after="60"/>
              <w:jc w:val="center"/>
              <w:rPr>
                <w:rFonts w:ascii="Arial" w:hAnsi="Arial" w:cs="Arial"/>
                <w:b/>
                <w:b/>
                <w:sz w:val="22"/>
                <w:szCs w:val="22"/>
              </w:rPr>
            </w:pPr>
            <w:r>
              <w:rPr>
                <w:rFonts w:cs="Arial" w:ascii="Arial" w:hAnsi="Arial"/>
                <w:b/>
                <w:sz w:val="22"/>
                <w:szCs w:val="22"/>
              </w:rPr>
              <w:t>Nombre de jour ouvré non travaillé</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epuces"/>
              <w:numPr>
                <w:ilvl w:val="0"/>
                <w:numId w:val="0"/>
              </w:numPr>
              <w:spacing w:before="60" w:after="60"/>
              <w:ind w:left="0" w:hanging="0"/>
              <w:contextualSpacing/>
              <w:jc w:val="center"/>
              <w:rPr>
                <w:rFonts w:ascii="Arial" w:hAnsi="Arial" w:cs="Arial"/>
                <w:b/>
                <w:b/>
                <w:sz w:val="22"/>
                <w:szCs w:val="22"/>
              </w:rPr>
            </w:pPr>
            <w:r>
              <w:rPr>
                <w:rFonts w:cs="Arial" w:ascii="Arial" w:hAnsi="Arial"/>
                <w:b/>
                <w:sz w:val="22"/>
                <w:szCs w:val="22"/>
              </w:rPr>
              <w:t xml:space="preserve">Montant mensuel de la prime </w:t>
              <w:br/>
              <w:t>(non cumulatif)</w:t>
            </w:r>
          </w:p>
        </w:tc>
      </w:tr>
      <w:tr>
        <w:trPr/>
        <w:tc>
          <w:tcPr>
            <w:tcW w:w="46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60" w:after="60"/>
              <w:jc w:val="center"/>
              <w:rPr>
                <w:rFonts w:ascii="Arial" w:hAnsi="Arial" w:cs="Arial"/>
                <w:sz w:val="22"/>
                <w:szCs w:val="22"/>
              </w:rPr>
            </w:pPr>
            <w:r>
              <w:rPr>
                <w:rFonts w:cs="Arial" w:ascii="Arial" w:hAnsi="Arial"/>
                <w:sz w:val="22"/>
                <w:szCs w:val="22"/>
              </w:rPr>
              <w:t>Entre 1 et 5 jours ouvrés d’absence</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60" w:after="60"/>
              <w:jc w:val="center"/>
              <w:rPr>
                <w:rFonts w:ascii="Arial" w:hAnsi="Arial" w:cs="Arial"/>
                <w:sz w:val="22"/>
                <w:szCs w:val="22"/>
              </w:rPr>
            </w:pPr>
            <w:r>
              <w:rPr>
                <w:rFonts w:cs="Arial" w:ascii="Arial" w:hAnsi="Arial"/>
                <w:sz w:val="22"/>
                <w:szCs w:val="22"/>
              </w:rPr>
              <w:t>30 euros</w:t>
            </w:r>
          </w:p>
        </w:tc>
      </w:tr>
      <w:tr>
        <w:trPr/>
        <w:tc>
          <w:tcPr>
            <w:tcW w:w="46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60" w:after="60"/>
              <w:jc w:val="center"/>
              <w:rPr>
                <w:rFonts w:ascii="Arial" w:hAnsi="Arial" w:cs="Arial"/>
                <w:sz w:val="22"/>
                <w:szCs w:val="22"/>
              </w:rPr>
            </w:pPr>
            <w:r>
              <w:rPr>
                <w:rFonts w:cs="Arial" w:ascii="Arial" w:hAnsi="Arial"/>
                <w:sz w:val="22"/>
                <w:szCs w:val="22"/>
              </w:rPr>
              <w:t>Entre 6 et 10 jours ouvrés d’absence</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60" w:after="60"/>
              <w:jc w:val="center"/>
              <w:rPr>
                <w:rFonts w:ascii="Arial" w:hAnsi="Arial" w:cs="Arial"/>
                <w:sz w:val="22"/>
                <w:szCs w:val="22"/>
              </w:rPr>
            </w:pPr>
            <w:r>
              <w:rPr>
                <w:rFonts w:cs="Arial" w:ascii="Arial" w:hAnsi="Arial"/>
                <w:sz w:val="22"/>
                <w:szCs w:val="22"/>
              </w:rPr>
              <w:t>20 euros</w:t>
            </w:r>
          </w:p>
        </w:tc>
      </w:tr>
      <w:tr>
        <w:trPr/>
        <w:tc>
          <w:tcPr>
            <w:tcW w:w="46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60" w:after="60"/>
              <w:jc w:val="center"/>
              <w:rPr>
                <w:rFonts w:ascii="Arial" w:hAnsi="Arial" w:cs="Arial"/>
                <w:sz w:val="22"/>
                <w:szCs w:val="22"/>
              </w:rPr>
            </w:pPr>
            <w:r>
              <w:rPr>
                <w:rFonts w:cs="Arial" w:ascii="Arial" w:hAnsi="Arial"/>
                <w:sz w:val="22"/>
                <w:szCs w:val="22"/>
              </w:rPr>
              <w:t>Entre 11 et 14 jours ouvrés d’absence</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60" w:after="60"/>
              <w:jc w:val="center"/>
              <w:rPr>
                <w:rFonts w:ascii="Arial" w:hAnsi="Arial" w:cs="Arial"/>
                <w:sz w:val="22"/>
                <w:szCs w:val="22"/>
              </w:rPr>
            </w:pPr>
            <w:r>
              <w:rPr>
                <w:rFonts w:cs="Arial" w:ascii="Arial" w:hAnsi="Arial"/>
                <w:sz w:val="22"/>
                <w:szCs w:val="22"/>
              </w:rPr>
              <w:t>10 euros</w:t>
            </w:r>
          </w:p>
        </w:tc>
      </w:tr>
    </w:tbl>
    <w:p>
      <w:pPr>
        <w:pStyle w:val="Normal"/>
        <w:spacing w:before="200" w:after="0"/>
        <w:rPr>
          <w:rFonts w:ascii="Arial" w:hAnsi="Arial" w:cs="Arial"/>
          <w:sz w:val="22"/>
          <w:szCs w:val="22"/>
        </w:rPr>
      </w:pPr>
      <w:r>
        <w:rPr>
          <w:rFonts w:cs="Arial" w:ascii="Arial" w:hAnsi="Arial"/>
          <w:sz w:val="22"/>
          <w:szCs w:val="22"/>
        </w:rPr>
      </w:r>
    </w:p>
    <w:p>
      <w:pPr>
        <w:pStyle w:val="Heading1"/>
        <w:numPr>
          <w:ilvl w:val="0"/>
          <w:numId w:val="1"/>
        </w:numPr>
        <w:spacing w:before="200" w:after="0"/>
        <w:ind w:left="357" w:hanging="357"/>
        <w:rPr>
          <w:rFonts w:ascii="Arial" w:hAnsi="Arial" w:cs="Arial"/>
          <w:sz w:val="22"/>
          <w:szCs w:val="22"/>
        </w:rPr>
      </w:pPr>
      <w:r>
        <w:rPr>
          <w:rFonts w:cs="Arial" w:ascii="Arial" w:hAnsi="Arial"/>
          <w:sz w:val="22"/>
          <w:szCs w:val="22"/>
        </w:rPr>
        <w:t xml:space="preserve">MODALITES DE REGLEMENT </w:t>
      </w:r>
    </w:p>
    <w:p>
      <w:pPr>
        <w:pStyle w:val="Normal"/>
        <w:spacing w:before="200" w:after="0"/>
        <w:rPr/>
      </w:pPr>
      <w:r>
        <w:rPr>
          <w:rFonts w:cs="Arial" w:ascii="Arial" w:hAnsi="Arial"/>
          <w:sz w:val="22"/>
          <w:szCs w:val="22"/>
        </w:rPr>
        <w:t xml:space="preserve">Pour permettre le calcul du taux de mise à l’arrêt des machines appartenant aux ilots mentionnés par l’article 2, la prime sera versée sur les paies à N +1 mois. </w:t>
      </w:r>
    </w:p>
    <w:p>
      <w:pPr>
        <w:pStyle w:val="Normal"/>
        <w:spacing w:before="200" w:after="0"/>
        <w:rPr/>
      </w:pPr>
      <w:r>
        <w:rPr>
          <w:rFonts w:cs="Arial" w:ascii="Arial" w:hAnsi="Arial"/>
          <w:sz w:val="22"/>
          <w:szCs w:val="22"/>
        </w:rPr>
        <w:t xml:space="preserve">La prime sera soumise aux cotisations de sécurité sociale selon les dispositions légales en vigueur au moment de leur paiement. </w:t>
      </w:r>
    </w:p>
    <w:p>
      <w:pPr>
        <w:pStyle w:val="Normal"/>
        <w:spacing w:before="200" w:after="0"/>
        <w:rPr>
          <w:rFonts w:ascii="Arial" w:hAnsi="Arial" w:cs="Arial"/>
          <w:sz w:val="22"/>
          <w:szCs w:val="22"/>
        </w:rPr>
      </w:pPr>
      <w:r>
        <w:rPr>
          <w:rFonts w:cs="Arial" w:ascii="Arial" w:hAnsi="Arial"/>
          <w:sz w:val="22"/>
          <w:szCs w:val="22"/>
        </w:rPr>
      </w:r>
    </w:p>
    <w:p>
      <w:pPr>
        <w:pStyle w:val="Heading1"/>
        <w:numPr>
          <w:ilvl w:val="0"/>
          <w:numId w:val="1"/>
        </w:numPr>
        <w:spacing w:before="200" w:after="0"/>
        <w:rPr>
          <w:rFonts w:ascii="Arial" w:hAnsi="Arial" w:cs="Arial"/>
          <w:sz w:val="22"/>
          <w:szCs w:val="22"/>
        </w:rPr>
      </w:pPr>
      <w:r>
        <w:rPr>
          <w:rFonts w:cs="Arial" w:ascii="Arial" w:hAnsi="Arial"/>
          <w:sz w:val="22"/>
          <w:szCs w:val="22"/>
        </w:rPr>
        <w:t>Litiges</w:t>
      </w:r>
    </w:p>
    <w:p>
      <w:pPr>
        <w:pStyle w:val="Normal"/>
        <w:spacing w:before="200" w:after="0"/>
        <w:rPr>
          <w:rFonts w:ascii="Arial" w:hAnsi="Arial" w:cs="Arial"/>
          <w:sz w:val="22"/>
          <w:szCs w:val="22"/>
        </w:rPr>
      </w:pPr>
      <w:r>
        <w:rPr>
          <w:rFonts w:cs="Arial" w:ascii="Arial" w:hAnsi="Arial"/>
          <w:sz w:val="22"/>
          <w:szCs w:val="22"/>
        </w:rPr>
        <w:t>Les parties s’efforceront de résoudre à l’amiable les litiges afférents à l’application du présent accord. A défaut, les parties signataires pourront saisir la juridiction compétente.</w:t>
      </w:r>
    </w:p>
    <w:p>
      <w:pPr>
        <w:pStyle w:val="Normal"/>
        <w:spacing w:before="200" w:after="0"/>
        <w:rPr>
          <w:rFonts w:ascii="Arial" w:hAnsi="Arial" w:cs="Arial"/>
          <w:sz w:val="22"/>
          <w:szCs w:val="22"/>
        </w:rPr>
      </w:pPr>
      <w:r>
        <w:rPr>
          <w:rFonts w:cs="Arial" w:ascii="Arial" w:hAnsi="Arial"/>
          <w:sz w:val="22"/>
          <w:szCs w:val="22"/>
        </w:rPr>
      </w:r>
    </w:p>
    <w:p>
      <w:pPr>
        <w:pStyle w:val="Heading1"/>
        <w:numPr>
          <w:ilvl w:val="0"/>
          <w:numId w:val="1"/>
        </w:numPr>
        <w:spacing w:before="200" w:after="0"/>
        <w:rPr>
          <w:rFonts w:ascii="Arial" w:hAnsi="Arial" w:cs="Arial"/>
          <w:sz w:val="22"/>
          <w:szCs w:val="22"/>
        </w:rPr>
      </w:pPr>
      <w:r>
        <w:rPr>
          <w:rFonts w:cs="Arial" w:ascii="Arial" w:hAnsi="Arial"/>
          <w:sz w:val="22"/>
          <w:szCs w:val="22"/>
        </w:rPr>
        <w:t>REVISION de l’accord</w:t>
      </w:r>
    </w:p>
    <w:p>
      <w:pPr>
        <w:pStyle w:val="Normal"/>
        <w:spacing w:before="200" w:after="0"/>
        <w:rPr>
          <w:rFonts w:ascii="Arial" w:hAnsi="Arial" w:cs="Arial"/>
          <w:sz w:val="22"/>
          <w:szCs w:val="22"/>
        </w:rPr>
      </w:pPr>
      <w:r>
        <w:rPr>
          <w:rFonts w:cs="Arial" w:ascii="Arial" w:hAnsi="Arial"/>
          <w:sz w:val="22"/>
          <w:szCs w:val="22"/>
        </w:rPr>
        <w:t>Le présent accord ne pourra être modifié que par l’ensemble des parties signataires.</w:t>
      </w:r>
    </w:p>
    <w:p>
      <w:pPr>
        <w:pStyle w:val="Normal"/>
        <w:spacing w:before="200" w:after="0"/>
        <w:rPr>
          <w:rFonts w:ascii="Arial" w:hAnsi="Arial" w:cs="Arial"/>
          <w:sz w:val="22"/>
          <w:szCs w:val="22"/>
        </w:rPr>
      </w:pPr>
      <w:r>
        <w:rPr>
          <w:rFonts w:cs="Arial" w:ascii="Arial" w:hAnsi="Arial"/>
          <w:sz w:val="22"/>
          <w:szCs w:val="22"/>
        </w:rPr>
        <w:t xml:space="preserve">Toute modification du présent accord ne pourra être effectuée que par avenant. </w:t>
      </w:r>
    </w:p>
    <w:p>
      <w:pPr>
        <w:pStyle w:val="Normal"/>
        <w:spacing w:before="200" w:after="0"/>
        <w:rPr>
          <w:rFonts w:ascii="Arial" w:hAnsi="Arial" w:cs="Arial"/>
          <w:sz w:val="22"/>
          <w:szCs w:val="22"/>
        </w:rPr>
      </w:pPr>
      <w:r>
        <w:rPr>
          <w:rFonts w:cs="Arial" w:ascii="Arial" w:hAnsi="Arial"/>
          <w:sz w:val="22"/>
          <w:szCs w:val="22"/>
        </w:rPr>
        <w:t>Toute modification du présent accord devra être effectuée dans les mêmes conditions que celles de sa mise en place.</w:t>
      </w:r>
    </w:p>
    <w:p>
      <w:pPr>
        <w:pStyle w:val="Normal"/>
        <w:spacing w:before="200" w:after="0"/>
        <w:rPr>
          <w:rFonts w:ascii="Arial" w:hAnsi="Arial" w:cs="Arial"/>
          <w:sz w:val="22"/>
          <w:szCs w:val="22"/>
        </w:rPr>
      </w:pPr>
      <w:r>
        <w:rPr>
          <w:rFonts w:cs="Arial" w:ascii="Arial" w:hAnsi="Arial"/>
          <w:sz w:val="22"/>
          <w:szCs w:val="22"/>
        </w:rPr>
      </w:r>
    </w:p>
    <w:p>
      <w:pPr>
        <w:pStyle w:val="Heading1"/>
        <w:numPr>
          <w:ilvl w:val="0"/>
          <w:numId w:val="1"/>
        </w:numPr>
        <w:spacing w:before="200" w:after="0"/>
        <w:rPr>
          <w:rFonts w:ascii="Arial" w:hAnsi="Arial" w:cs="Arial"/>
          <w:sz w:val="22"/>
          <w:szCs w:val="22"/>
        </w:rPr>
      </w:pPr>
      <w:r>
        <w:rPr>
          <w:rFonts w:cs="Arial" w:ascii="Arial" w:hAnsi="Arial"/>
          <w:sz w:val="22"/>
          <w:szCs w:val="22"/>
        </w:rPr>
        <w:t>dénonciation DE l’ACCORD</w:t>
      </w:r>
    </w:p>
    <w:p>
      <w:pPr>
        <w:pStyle w:val="Normal"/>
        <w:spacing w:before="200" w:after="0"/>
        <w:rPr/>
      </w:pPr>
      <w:r>
        <w:rPr>
          <w:rFonts w:cs="Arial" w:ascii="Arial" w:hAnsi="Arial"/>
          <w:sz w:val="22"/>
          <w:szCs w:val="22"/>
        </w:rPr>
        <w:t xml:space="preserve">Le présent accord ne pourra être dénoncé que par l’une ou l’autre des parties signataires, sous réserve d’un préavis de 3 mois. </w:t>
      </w:r>
    </w:p>
    <w:p>
      <w:pPr>
        <w:pStyle w:val="Normal"/>
        <w:spacing w:before="200" w:after="0"/>
        <w:rPr>
          <w:rFonts w:ascii="Arial" w:hAnsi="Arial" w:cs="Arial"/>
          <w:sz w:val="22"/>
          <w:szCs w:val="22"/>
        </w:rPr>
      </w:pPr>
      <w:r>
        <w:rPr>
          <w:rFonts w:cs="Arial" w:ascii="Arial" w:hAnsi="Arial"/>
          <w:sz w:val="22"/>
          <w:szCs w:val="22"/>
        </w:rPr>
        <w:t xml:space="preserve">La partie qui dénonce l’accord doit notifier cette décision aux autres signataires de l’accord et à la Direction Régionale des Entreprises, de la Concurrence, de la Consommation, du Travail et de l’Emploi.  </w:t>
      </w:r>
    </w:p>
    <w:p>
      <w:pPr>
        <w:pStyle w:val="Normal"/>
        <w:spacing w:before="200" w:after="0"/>
        <w:rPr>
          <w:rFonts w:ascii="Arial" w:hAnsi="Arial" w:cs="Arial"/>
          <w:sz w:val="22"/>
          <w:szCs w:val="22"/>
        </w:rPr>
      </w:pPr>
      <w:r>
        <w:rPr>
          <w:rFonts w:cs="Arial" w:ascii="Arial" w:hAnsi="Arial"/>
          <w:sz w:val="22"/>
          <w:szCs w:val="22"/>
        </w:rPr>
      </w:r>
    </w:p>
    <w:p>
      <w:pPr>
        <w:pStyle w:val="Heading1"/>
        <w:numPr>
          <w:ilvl w:val="0"/>
          <w:numId w:val="1"/>
        </w:numPr>
        <w:spacing w:before="200" w:after="0"/>
        <w:rPr>
          <w:rFonts w:ascii="Arial" w:hAnsi="Arial" w:cs="Arial"/>
          <w:sz w:val="22"/>
          <w:szCs w:val="22"/>
        </w:rPr>
      </w:pPr>
      <w:r>
        <w:rPr>
          <w:rFonts w:cs="Arial" w:ascii="Arial" w:hAnsi="Arial"/>
          <w:sz w:val="22"/>
          <w:szCs w:val="22"/>
        </w:rPr>
        <w:t>Entrée en vigueur ET durée</w:t>
      </w:r>
    </w:p>
    <w:p>
      <w:pPr>
        <w:pStyle w:val="Normal"/>
        <w:spacing w:before="200" w:after="0"/>
        <w:rPr>
          <w:rFonts w:ascii="Arial" w:hAnsi="Arial" w:cs="Arial"/>
          <w:sz w:val="22"/>
          <w:szCs w:val="22"/>
        </w:rPr>
      </w:pPr>
      <w:r>
        <w:rPr>
          <w:rFonts w:cs="Arial" w:ascii="Arial" w:hAnsi="Arial"/>
          <w:sz w:val="22"/>
          <w:szCs w:val="22"/>
        </w:rPr>
        <w:t>Le présent accord est conclu pour une durée déterminée de deux ans.</w:t>
      </w:r>
    </w:p>
    <w:p>
      <w:pPr>
        <w:pStyle w:val="Normal"/>
        <w:spacing w:before="200" w:after="0"/>
        <w:rPr>
          <w:rFonts w:ascii="Arial" w:hAnsi="Arial" w:cs="Arial"/>
          <w:sz w:val="22"/>
          <w:szCs w:val="22"/>
        </w:rPr>
      </w:pPr>
      <w:r>
        <w:rPr>
          <w:rFonts w:cs="Arial" w:ascii="Arial" w:hAnsi="Arial"/>
          <w:sz w:val="22"/>
          <w:szCs w:val="22"/>
        </w:rPr>
        <w:t>Il entrera en vigueur, en cas d’absence d’opposition majoritaire, à compter du 1</w:t>
      </w:r>
      <w:r>
        <w:rPr>
          <w:rFonts w:cs="Arial" w:ascii="Arial" w:hAnsi="Arial"/>
          <w:sz w:val="22"/>
          <w:szCs w:val="22"/>
          <w:vertAlign w:val="superscript"/>
        </w:rPr>
        <w:t>er</w:t>
      </w:r>
      <w:r>
        <w:rPr>
          <w:rFonts w:cs="Arial" w:ascii="Arial" w:hAnsi="Arial"/>
          <w:sz w:val="22"/>
          <w:szCs w:val="22"/>
        </w:rPr>
        <w:t xml:space="preserve"> mars 2019. </w:t>
      </w:r>
    </w:p>
    <w:p>
      <w:pPr>
        <w:pStyle w:val="Normal"/>
        <w:spacing w:before="200" w:after="0"/>
        <w:rPr>
          <w:rFonts w:ascii="Arial" w:hAnsi="Arial" w:cs="Arial"/>
          <w:sz w:val="22"/>
          <w:szCs w:val="22"/>
        </w:rPr>
      </w:pPr>
      <w:r>
        <w:rPr>
          <w:rFonts w:cs="Arial" w:ascii="Arial" w:hAnsi="Arial"/>
          <w:sz w:val="22"/>
          <w:szCs w:val="22"/>
        </w:rPr>
      </w:r>
    </w:p>
    <w:p>
      <w:pPr>
        <w:pStyle w:val="Heading1"/>
        <w:numPr>
          <w:ilvl w:val="0"/>
          <w:numId w:val="1"/>
        </w:numPr>
        <w:spacing w:before="200" w:after="0"/>
        <w:rPr>
          <w:rFonts w:ascii="Arial" w:hAnsi="Arial" w:cs="Arial"/>
          <w:sz w:val="22"/>
          <w:szCs w:val="22"/>
        </w:rPr>
      </w:pPr>
      <w:r>
        <w:rPr>
          <w:rFonts w:cs="Arial" w:ascii="Arial" w:hAnsi="Arial"/>
          <w:sz w:val="22"/>
          <w:szCs w:val="22"/>
        </w:rPr>
        <w:t>Dépôt et Publicité</w:t>
      </w:r>
    </w:p>
    <w:p>
      <w:pPr>
        <w:pStyle w:val="Normal"/>
        <w:spacing w:before="200" w:after="0"/>
        <w:rPr>
          <w:rFonts w:ascii="Arial" w:hAnsi="Arial" w:cs="Arial"/>
          <w:sz w:val="22"/>
          <w:szCs w:val="22"/>
        </w:rPr>
      </w:pPr>
      <w:r>
        <w:rPr>
          <w:rFonts w:cs="Arial" w:ascii="Arial" w:hAnsi="Arial"/>
          <w:sz w:val="22"/>
          <w:szCs w:val="22"/>
        </w:rPr>
        <w:t>Le présent accord sera déposé à l’initiative de la Direction au greffe du Conseil de Prud’hommes de Cherbourg en un exemplaire.</w:t>
      </w:r>
    </w:p>
    <w:p>
      <w:pPr>
        <w:pStyle w:val="Normal"/>
        <w:spacing w:before="200" w:after="0"/>
        <w:rPr>
          <w:rFonts w:ascii="Arial" w:hAnsi="Arial" w:cs="Arial"/>
          <w:sz w:val="22"/>
          <w:szCs w:val="22"/>
        </w:rPr>
      </w:pPr>
      <w:r>
        <w:rPr>
          <w:rFonts w:cs="Arial" w:ascii="Arial" w:hAnsi="Arial"/>
          <w:sz w:val="22"/>
          <w:szCs w:val="22"/>
        </w:rPr>
        <w:t>Deux exemplaires seront transmis à la Direction Régionale des Entreprises, de la Concurrence, de la Consommation, du Travail et de l’Emploi (DIRECCTE), dont une version sur support électronique et une version anonyme. L’organisation syndicale signataire recevra un exemplaire original du présent accord.</w:t>
      </w:r>
    </w:p>
    <w:p>
      <w:pPr>
        <w:pStyle w:val="Normal"/>
        <w:spacing w:before="200" w:after="0"/>
        <w:rPr>
          <w:rFonts w:ascii="Arial" w:hAnsi="Arial" w:cs="Arial"/>
          <w:sz w:val="22"/>
          <w:szCs w:val="22"/>
        </w:rPr>
      </w:pPr>
      <w:r>
        <w:rPr>
          <w:rFonts w:cs="Arial" w:ascii="Arial" w:hAnsi="Arial"/>
          <w:sz w:val="22"/>
          <w:szCs w:val="22"/>
        </w:rPr>
        <w:t>Une information complète et rapide sera assurée par la Direction au travers des publications internes, de réunions d’information ou de tout autre moyen qui sera approprié.</w:t>
      </w:r>
    </w:p>
    <w:p>
      <w:pPr>
        <w:pStyle w:val="TextBody"/>
        <w:spacing w:lineRule="atLeast" w:line="340" w:before="200" w:after="0"/>
        <w:ind w:hanging="0"/>
        <w:rPr>
          <w:rFonts w:ascii="Arial" w:hAnsi="Arial" w:cs="Arial"/>
          <w:szCs w:val="22"/>
        </w:rPr>
      </w:pPr>
      <w:r>
        <w:rPr>
          <w:rFonts w:cs="Arial" w:ascii="Arial" w:hAnsi="Arial"/>
          <w:szCs w:val="22"/>
        </w:rPr>
        <w:t>Fait à Querqueville, en 4 exemplaires, le 28/03/2019</w:t>
      </w:r>
    </w:p>
    <w:p>
      <w:pPr>
        <w:pStyle w:val="TextBody"/>
        <w:shd w:fill="C3C3C3" w:val="clear"/>
        <w:spacing w:lineRule="atLeast" w:line="340" w:before="200" w:after="0"/>
        <w:jc w:val="center"/>
        <w:rPr>
          <w:rFonts w:ascii="Arial" w:hAnsi="Arial" w:cs="Arial"/>
          <w:b/>
          <w:b/>
          <w:bCs/>
          <w:szCs w:val="22"/>
        </w:rPr>
      </w:pPr>
      <w:r>
        <w:rPr>
          <w:rFonts w:cs="Arial" w:ascii="Arial" w:hAnsi="Arial"/>
          <w:b/>
          <w:bCs/>
          <w:szCs w:val="22"/>
        </w:rPr>
        <w:t>Pour la Direction</w:t>
      </w:r>
    </w:p>
    <w:p>
      <w:pPr>
        <w:pStyle w:val="TextBody"/>
        <w:tabs>
          <w:tab w:val="left" w:pos="4860" w:leader="none"/>
        </w:tabs>
        <w:spacing w:before="200" w:after="0"/>
        <w:ind w:right="-601" w:firstLine="180"/>
        <w:jc w:val="left"/>
        <w:rPr>
          <w:rFonts w:ascii="Arial" w:hAnsi="Arial" w:cs="Arial"/>
          <w:sz w:val="24"/>
        </w:rPr>
      </w:pPr>
      <w:r>
        <w:rPr>
          <w:rFonts w:eastAsia="Arial" w:cs="Arial" w:ascii="Arial" w:hAnsi="Arial"/>
          <w:sz w:val="24"/>
        </w:rPr>
        <w:t xml:space="preserve"> </w:t>
      </w:r>
      <w:r>
        <w:rPr>
          <w:rFonts w:cs="Arial" w:ascii="Arial" w:hAnsi="Arial"/>
          <w:sz w:val="24"/>
        </w:rPr>
        <w:tab/>
        <w:t xml:space="preserve"> </w:t>
      </w:r>
    </w:p>
    <w:p>
      <w:pPr>
        <w:pStyle w:val="TextBody"/>
        <w:spacing w:before="200" w:after="0"/>
        <w:ind w:right="-601" w:hanging="0"/>
        <w:jc w:val="left"/>
        <w:rPr>
          <w:rFonts w:ascii="Arial" w:hAnsi="Arial" w:cs="Arial"/>
          <w:b/>
          <w:b/>
          <w:bCs/>
          <w:sz w:val="24"/>
          <w:szCs w:val="22"/>
        </w:rPr>
      </w:pPr>
      <w:r>
        <w:rPr>
          <w:rFonts w:cs="Arial" w:ascii="Arial" w:hAnsi="Arial"/>
          <w:b/>
          <w:bCs/>
          <w:sz w:val="24"/>
          <w:szCs w:val="22"/>
        </w:rPr>
      </w:r>
    </w:p>
    <w:p>
      <w:pPr>
        <w:pStyle w:val="TextBody"/>
        <w:shd w:fill="C3C3C3" w:val="clear"/>
        <w:spacing w:lineRule="atLeast" w:line="340" w:before="200" w:after="0"/>
        <w:ind w:firstLine="357"/>
        <w:jc w:val="center"/>
        <w:rPr>
          <w:rFonts w:ascii="Arial" w:hAnsi="Arial" w:cs="Arial"/>
          <w:b/>
          <w:b/>
          <w:bCs/>
          <w:szCs w:val="22"/>
        </w:rPr>
      </w:pPr>
      <w:r>
        <w:rPr>
          <w:rFonts w:cs="Arial" w:ascii="Arial" w:hAnsi="Arial"/>
          <w:b/>
          <w:bCs/>
          <w:szCs w:val="22"/>
        </w:rPr>
        <w:t>Pour l’Organisation Syndicale</w:t>
      </w:r>
    </w:p>
    <w:p>
      <w:pPr>
        <w:pStyle w:val="TextBody"/>
        <w:spacing w:before="200" w:after="0"/>
        <w:ind w:right="-601" w:hanging="0"/>
        <w:jc w:val="left"/>
        <w:rPr/>
      </w:pPr>
      <w:r>
        <w:rPr>
          <w:rFonts w:cs="Arial" w:ascii="Arial" w:hAnsi="Arial"/>
          <w:b/>
          <w:bCs/>
          <w:sz w:val="24"/>
        </w:rPr>
        <w:t>CFDT</w:t>
        <w:tab/>
        <w:tab/>
        <w:tab/>
      </w:r>
      <w:r>
        <w:rPr>
          <w:rFonts w:cs="Arial" w:ascii="Arial" w:hAnsi="Arial"/>
          <w:sz w:val="24"/>
        </w:rPr>
        <w:t xml:space="preserve"> </w:t>
      </w:r>
    </w:p>
    <w:sectPr>
      <w:footerReference w:type="default" r:id="rId3"/>
      <w:footerReference w:type="first" r:id="rId4"/>
      <w:type w:val="nextPage"/>
      <w:pgSz w:w="11906" w:h="16838"/>
      <w:pgMar w:left="1418" w:right="1418" w:header="0" w:top="993" w:footer="0" w:bottom="70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0"/>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Tahoma">
    <w:charset w:val="00"/>
    <w:family w:val="swiss"/>
    <w:pitch w:val="variable"/>
  </w:font>
  <w:font w:name="Calibri">
    <w:charset w:val="00"/>
    <w:family w:val="swiss"/>
    <w:pitch w:val="variable"/>
  </w:font>
  <w:font w:name="Arial Black">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cs="Arial" w:ascii="Arial" w:hAnsi="Arial"/>
        <w:sz w:val="20"/>
        <w:szCs w:val="20"/>
      </w:rPr>
      <w:t>Accord Prime de Productivité Atelier Mécanique</w:t>
    </w:r>
  </w:p>
  <w:p>
    <w:pPr>
      <w:pStyle w:val="Normal"/>
      <w:jc w:val="center"/>
      <w:rPr>
        <w:rStyle w:val="PageNumber"/>
        <w:rFonts w:ascii="Arial" w:hAnsi="Arial" w:cs="Arial"/>
        <w:sz w:val="20"/>
        <w:szCs w:val="20"/>
      </w:rPr>
    </w:pPr>
    <w:r>
      <w:rPr>
        <w:rFonts w:cs="Arial" w:ascii="Arial" w:hAnsi="Arial"/>
        <w:sz w:val="20"/>
        <w:szCs w:val="20"/>
      </w:rPr>
      <w:t xml:space="preserve">Page </w:t>
    </w:r>
    <w:r>
      <w:rPr>
        <w:rStyle w:val="PageNumber"/>
        <w:rFonts w:cs="Arial" w:ascii="Arial" w:hAnsi="Arial"/>
        <w:sz w:val="20"/>
        <w:szCs w:val="20"/>
      </w:rPr>
      <w:fldChar w:fldCharType="begin"/>
    </w:r>
    <w:r>
      <w:instrText> PAGE </w:instrText>
    </w:r>
    <w:r>
      <w:fldChar w:fldCharType="separate"/>
    </w:r>
    <w:r>
      <w:t>4</w:t>
    </w:r>
    <w:r>
      <w:fldChar w:fldCharType="end"/>
    </w:r>
    <w:r>
      <w:rPr>
        <w:rStyle w:val="PageNumber"/>
        <w:rFonts w:cs="Arial" w:ascii="Arial" w:hAnsi="Arial"/>
        <w:sz w:val="20"/>
        <w:szCs w:val="20"/>
      </w:rPr>
      <w:t>/</w:t>
    </w:r>
    <w:r>
      <w:rPr>
        <w:rStyle w:val="PageNumber"/>
        <w:rFonts w:cs="Arial" w:ascii="Arial" w:hAnsi="Arial"/>
        <w:sz w:val="20"/>
        <w:szCs w:val="20"/>
      </w:rPr>
      <w:fldChar w:fldCharType="begin"/>
    </w:r>
    <w:r>
      <w:instrText> NUMPAGES \* ARABIC </w:instrText>
    </w:r>
    <w:r>
      <w:fldChar w:fldCharType="separate"/>
    </w:r>
    <w:r>
      <w:t>4</w:t>
    </w:r>
    <w:r>
      <w:fldChar w:fldCharType="end"/>
    </w:r>
  </w:p>
  <w:p>
    <w:pPr>
      <w:pStyle w:val="Footer"/>
      <w:jc w:val="center"/>
      <w:rPr>
        <w:rFonts w:ascii="Arial" w:hAnsi="Arial" w:cs="Arial"/>
        <w:sz w:val="20"/>
        <w:szCs w:val="20"/>
      </w:rPr>
    </w:pPr>
    <w:r>
      <w:rPr>
        <w:rFonts w:cs="Arial" w:ascii="Arial" w:hAnsi="Arial"/>
        <w:sz w:val="20"/>
        <w:szCs w:val="20"/>
      </w:rPr>
      <w:tab/>
    </w:r>
  </w:p>
  <w:p>
    <w:pPr>
      <w:pStyle w:val="Normal"/>
      <w:rPr>
        <w:rFonts w:ascii="Arial" w:hAnsi="Arial" w:cs="Arial"/>
        <w:sz w:val="20"/>
        <w:szCs w:val="20"/>
      </w:rPr>
    </w:pPr>
    <w:r>
      <w:rPr>
        <w:rFonts w:cs="Arial" w:ascii="Arial" w:hAnsi="Arial"/>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2"/>
        <w:szCs w:val="22"/>
        <w:rFonts w:ascii="Arial" w:hAnsi="Arial" w:cs="Arial"/>
      </w:rPr>
    </w:lvl>
    <w:lvl w:ilvl="1">
      <w:start w:val="1"/>
      <w:numFmt w:val="decimal"/>
      <w:lvlText w:val="%1.%2"/>
      <w:lvlJc w:val="left"/>
      <w:pPr>
        <w:tabs>
          <w:tab w:val="num" w:pos="576"/>
        </w:tabs>
        <w:ind w:left="576" w:hanging="576"/>
      </w:pPr>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sz w:val="22"/>
        <w:szCs w:val="22"/>
        <w:rFonts w:cs="Symbol"/>
      </w:rPr>
    </w:lvl>
  </w:abstractNum>
  <w:abstractNum w:abstractNumId="4">
    <w:lvl w:ilvl="0">
      <w:start w:val="2"/>
      <w:numFmt w:val="decimal"/>
      <w:lvlText w:val="%1"/>
      <w:lvlJc w:val="left"/>
      <w:pPr>
        <w:tabs>
          <w:tab w:val="num" w:pos="789"/>
        </w:tabs>
        <w:ind w:left="789" w:hanging="432"/>
      </w:pPr>
      <w:rPr/>
    </w:lvl>
    <w:lvl w:ilvl="1">
      <w:start w:val="1"/>
      <w:numFmt w:val="decimal"/>
      <w:lvlText w:val="%1.%2"/>
      <w:lvlJc w:val="left"/>
      <w:pPr>
        <w:tabs>
          <w:tab w:val="num" w:pos="576"/>
        </w:tabs>
        <w:ind w:left="576" w:hanging="576"/>
      </w:pPr>
      <w:rPr/>
    </w:lvl>
    <w:lvl w:ilvl="2">
      <w:start w:val="1"/>
      <w:numFmt w:val="decimal"/>
      <w:lvlText w:val="%1.%2.%3"/>
      <w:lvlJc w:val="left"/>
      <w:pPr>
        <w:tabs>
          <w:tab w:val="num" w:pos="1077"/>
        </w:tabs>
        <w:ind w:left="1077" w:hanging="720"/>
      </w:pPr>
      <w:rPr/>
    </w:lvl>
    <w:lvl w:ilvl="3">
      <w:start w:val="1"/>
      <w:numFmt w:val="decimal"/>
      <w:lvlText w:val="%1.%2.%3.%4"/>
      <w:lvlJc w:val="left"/>
      <w:pPr>
        <w:tabs>
          <w:tab w:val="num" w:pos="1221"/>
        </w:tabs>
        <w:ind w:left="1221" w:hanging="864"/>
      </w:pPr>
      <w:rPr/>
    </w:lvl>
    <w:lvl w:ilvl="4">
      <w:start w:val="1"/>
      <w:numFmt w:val="decimal"/>
      <w:lvlText w:val="%1.%2.%3.%4.%5"/>
      <w:lvlJc w:val="left"/>
      <w:pPr>
        <w:tabs>
          <w:tab w:val="num" w:pos="1365"/>
        </w:tabs>
        <w:ind w:left="1365" w:hanging="1008"/>
      </w:pPr>
      <w:rPr/>
    </w:lvl>
    <w:lvl w:ilvl="5">
      <w:start w:val="1"/>
      <w:numFmt w:val="decimal"/>
      <w:lvlText w:val="%1.%2.%3.%4.%5.%6"/>
      <w:lvlJc w:val="left"/>
      <w:pPr>
        <w:tabs>
          <w:tab w:val="num" w:pos="1509"/>
        </w:tabs>
        <w:ind w:left="1509" w:hanging="1152"/>
      </w:pPr>
      <w:rPr/>
    </w:lvl>
    <w:lvl w:ilvl="6">
      <w:start w:val="1"/>
      <w:numFmt w:val="decimal"/>
      <w:lvlText w:val="%1.%2.%3.%4.%5.%6.%7"/>
      <w:lvlJc w:val="left"/>
      <w:pPr>
        <w:tabs>
          <w:tab w:val="num" w:pos="1653"/>
        </w:tabs>
        <w:ind w:left="1653" w:hanging="1296"/>
      </w:pPr>
      <w:rPr/>
    </w:lvl>
    <w:lvl w:ilvl="7">
      <w:start w:val="1"/>
      <w:numFmt w:val="decimal"/>
      <w:lvlText w:val="%1.%2.%3.%4.%5.%6.%7.%8"/>
      <w:lvlJc w:val="left"/>
      <w:pPr>
        <w:tabs>
          <w:tab w:val="num" w:pos="1797"/>
        </w:tabs>
        <w:ind w:left="1797" w:hanging="1440"/>
      </w:pPr>
      <w:rPr/>
    </w:lvl>
    <w:lvl w:ilvl="8">
      <w:start w:val="1"/>
      <w:numFmt w:val="decimal"/>
      <w:lvlText w:val="%1.%2.%3.%4.%5.%6.%7.%8.%9"/>
      <w:lvlJc w:val="left"/>
      <w:pPr>
        <w:tabs>
          <w:tab w:val="num" w:pos="1941"/>
        </w:tabs>
        <w:ind w:left="1941" w:hanging="1584"/>
      </w:pPr>
      <w:rPr/>
    </w:lvl>
  </w:abstractNum>
  <w:abstractNum w:abstractNumId="5">
    <w:lvl w:ilvl="0">
      <w:start w:val="5"/>
      <w:numFmt w:val="bullet"/>
      <w:lvlText w:val="-"/>
      <w:lvlJc w:val="left"/>
      <w:pPr>
        <w:ind w:left="720" w:hanging="360"/>
      </w:pPr>
      <w:rPr>
        <w:rFonts w:ascii="Arial" w:hAnsi="Arial" w:cs="Arial" w:hint="default"/>
        <w:sz w:val="22"/>
        <w:szCs w:val="22"/>
        <w:rFonts w:cs="Arial"/>
      </w:rPr>
    </w:lvl>
  </w:abstractNum>
  <w:abstractNum w:abstractNumId="6">
    <w:lvl w:ilvl="0">
      <w:numFmt w:val="bullet"/>
      <w:lvlText w:val="-"/>
      <w:lvlJc w:val="left"/>
      <w:pPr>
        <w:ind w:left="720" w:hanging="360"/>
      </w:pPr>
      <w:rPr>
        <w:rFonts w:ascii="Arial" w:hAnsi="Arial" w:cs="Arial" w:hint="default"/>
        <w:sz w:val="22"/>
        <w:szCs w:val="22"/>
        <w:rFonts w:cs="Arial"/>
        <w:lang w:val="en-U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jc w:val="both"/>
    </w:pPr>
    <w:rPr>
      <w:rFonts w:ascii="Garamond" w:hAnsi="Garamond" w:eastAsia="Times New Roman" w:cs="Garamond"/>
      <w:color w:val="auto"/>
      <w:sz w:val="24"/>
      <w:szCs w:val="24"/>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cs="Arial"/>
      <w:b/>
      <w:bCs/>
      <w:caps/>
      <w:sz w:val="32"/>
      <w:szCs w:val="32"/>
    </w:rPr>
  </w:style>
  <w:style w:type="paragraph" w:styleId="Heading2">
    <w:name w:val="Heading 2"/>
    <w:basedOn w:val="Normal"/>
    <w:next w:val="Normal"/>
    <w:qFormat/>
    <w:pPr>
      <w:keepNext/>
      <w:numPr>
        <w:ilvl w:val="0"/>
        <w:numId w:val="4"/>
      </w:numPr>
      <w:spacing w:before="240" w:after="60"/>
      <w:outlineLvl w:val="1"/>
    </w:pPr>
    <w:rPr>
      <w:rFonts w:cs="Arial"/>
      <w:b/>
      <w:bCs/>
      <w:i/>
      <w:iCs/>
      <w:smallCap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styleId="WW8Num1z0">
    <w:name w:val="WW8Num1z0"/>
    <w:qFormat/>
    <w:rPr>
      <w:rFonts w:ascii="Symbol" w:hAnsi="Symbol" w:cs="Symbol"/>
    </w:rPr>
  </w:style>
  <w:style w:type="character" w:styleId="WW8Num2z0">
    <w:name w:val="WW8Num2z0"/>
    <w:qFormat/>
    <w:rPr>
      <w:rFonts w:ascii="Times New Roman" w:hAnsi="Times New Roman" w:eastAsia="Times New Roman" w:cs="Times New Roman"/>
      <w:w w:val="96"/>
      <w:sz w:val="23"/>
      <w:szCs w:val="23"/>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eastAsia="Times New Roman" w:cs="Times New Roman"/>
      <w:w w:val="96"/>
      <w:sz w:val="23"/>
      <w:szCs w:val="23"/>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sz w:val="22"/>
      <w:szCs w:val="22"/>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10z0">
    <w:name w:val="WW8Num10z0"/>
    <w:qFormat/>
    <w:rPr>
      <w:rFonts w:ascii="Arial" w:hAnsi="Arial" w:eastAsia="Times New Roman"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Arial" w:hAnsi="Arial" w:cs="Arial"/>
      <w:sz w:val="22"/>
      <w:szCs w:val="22"/>
    </w:rPr>
  </w:style>
  <w:style w:type="character" w:styleId="WW8Num11z1">
    <w:name w:val="WW8Num11z1"/>
    <w:qFormat/>
    <w:rPr/>
  </w:style>
  <w:style w:type="character" w:styleId="WW8Num12z0">
    <w:name w:val="WW8Num12z0"/>
    <w:qFormat/>
    <w:rPr>
      <w:rFonts w:ascii="Arial" w:hAnsi="Arial" w:eastAsia="Times New Roman" w:cs="Arial"/>
      <w:sz w:val="22"/>
      <w:szCs w:val="22"/>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w w:val="96"/>
      <w:sz w:val="23"/>
      <w:szCs w:val="23"/>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Arial" w:hAnsi="Arial" w:eastAsia="Times New Roman" w:cs="Arial"/>
      <w:sz w:val="22"/>
      <w:szCs w:val="22"/>
      <w:lang w:val="en-US"/>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Policepardfaut">
    <w:name w:val="Police par défaut"/>
    <w:qFormat/>
    <w:rPr/>
  </w:style>
  <w:style w:type="character" w:styleId="InternetLink">
    <w:name w:val="Internet Link"/>
    <w:rPr>
      <w:color w:val="0000FF"/>
      <w:u w:val="single"/>
    </w:rPr>
  </w:style>
  <w:style w:type="character" w:styleId="CorpsdetexteCar">
    <w:name w:val="Corps de texte Car"/>
    <w:qFormat/>
    <w:rPr>
      <w:rFonts w:ascii="Garamond" w:hAnsi="Garamond" w:cs="Garamond"/>
      <w:sz w:val="22"/>
      <w:szCs w:val="24"/>
      <w:lang w:val="fr-FR" w:bidi="ar-SA"/>
    </w:rPr>
  </w:style>
  <w:style w:type="character" w:styleId="PageNumber">
    <w:name w:val="Page Number"/>
    <w:basedOn w:val="Policepardfaut"/>
    <w:rPr/>
  </w:style>
  <w:style w:type="character" w:styleId="Marquedecommentaire">
    <w:name w:val="Marque de commentaire"/>
    <w:qFormat/>
    <w:rPr>
      <w:sz w:val="16"/>
      <w:szCs w:val="16"/>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tLeast" w:line="240" w:before="0" w:after="240"/>
      <w:ind w:firstLine="360"/>
    </w:pPr>
    <w:rPr>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tents1">
    <w:name w:val="Contents 1"/>
    <w:basedOn w:val="Normal"/>
    <w:next w:val="Normal"/>
    <w:pPr>
      <w:spacing w:before="120" w:after="0"/>
    </w:pPr>
    <w:rPr>
      <w:b/>
      <w:bCs/>
      <w:caps/>
    </w:rPr>
  </w:style>
  <w:style w:type="paragraph" w:styleId="TitrePagedegarde">
    <w:name w:val="Titre (Page de garde)"/>
    <w:basedOn w:val="Normal"/>
    <w:next w:val="Normal"/>
    <w:qFormat/>
    <w:pPr>
      <w:keepNext/>
      <w:keepLines/>
      <w:spacing w:lineRule="atLeast" w:line="720" w:before="0" w:after="240"/>
      <w:jc w:val="center"/>
    </w:pPr>
    <w:rPr>
      <w:caps/>
      <w:spacing w:val="65"/>
      <w:sz w:val="64"/>
      <w:szCs w:val="64"/>
    </w:rPr>
  </w:style>
  <w:style w:type="paragraph" w:styleId="SoustitrePagedegarde">
    <w:name w:val="Sous-titre (Page de garde)"/>
    <w:basedOn w:val="TitrePagedegarde"/>
    <w:next w:val="Normal"/>
    <w:qFormat/>
    <w:pPr>
      <w:pBdr>
        <w:top w:val="single" w:sz="6" w:space="12" w:color="808080"/>
      </w:pBdr>
      <w:spacing w:lineRule="atLeast" w:line="440" w:before="0" w:after="0"/>
    </w:pPr>
    <w:rPr>
      <w:spacing w:val="30"/>
      <w:sz w:val="36"/>
      <w:szCs w:val="36"/>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ntents2">
    <w:name w:val="Contents 2"/>
    <w:basedOn w:val="Normal"/>
    <w:next w:val="Normal"/>
    <w:pPr>
      <w:tabs>
        <w:tab w:val="left" w:pos="720" w:leader="none"/>
        <w:tab w:val="right" w:pos="9062" w:leader="underscore"/>
      </w:tabs>
      <w:spacing w:before="120" w:after="0"/>
      <w:ind w:left="240" w:hanging="0"/>
    </w:pPr>
    <w:rPr>
      <w:b/>
      <w:bCs/>
      <w:i/>
      <w:iCs/>
      <w:smallCaps/>
      <w:sz w:val="22"/>
      <w:szCs w:val="22"/>
    </w:rPr>
  </w:style>
  <w:style w:type="paragraph" w:styleId="Textedebulles">
    <w:name w:val="Texte de bulles"/>
    <w:basedOn w:val="Normal"/>
    <w:qFormat/>
    <w:pPr/>
    <w:rPr>
      <w:rFonts w:ascii="Tahoma" w:hAnsi="Tahoma" w:cs="Tahoma"/>
      <w:sz w:val="16"/>
      <w:szCs w:val="16"/>
    </w:rPr>
  </w:style>
  <w:style w:type="paragraph" w:styleId="TextBodyIndent">
    <w:name w:val="Text Body Indent"/>
    <w:basedOn w:val="Normal"/>
    <w:pPr>
      <w:spacing w:before="0" w:after="120"/>
      <w:ind w:left="283" w:hanging="0"/>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Paragraphedeliste">
    <w:name w:val="Paragraphe de liste"/>
    <w:basedOn w:val="Normal"/>
    <w:qFormat/>
    <w:pPr>
      <w:spacing w:lineRule="auto" w:line="276" w:before="0" w:after="200"/>
      <w:ind w:left="720" w:hanging="0"/>
      <w:contextualSpacing/>
      <w:jc w:val="left"/>
    </w:pPr>
    <w:rPr>
      <w:rFonts w:ascii="Calibri" w:hAnsi="Calibri" w:eastAsia="Calibri" w:cs="Times New Roman"/>
      <w:sz w:val="22"/>
      <w:szCs w:val="22"/>
    </w:rPr>
  </w:style>
  <w:style w:type="paragraph" w:styleId="Listepuces">
    <w:name w:val="Liste à puces"/>
    <w:basedOn w:val="Normal"/>
    <w:qFormat/>
    <w:pPr>
      <w:numPr>
        <w:ilvl w:val="0"/>
        <w:numId w:val="2"/>
      </w:numPr>
      <w:spacing w:before="0" w:after="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2019-05-20T12:16:00Z</dcterms:created>
  <dc:language>en-GB</dc:language>
  <cp:lastPrinted>2019-04-25T12:00:00Z</cp:lastPrinted>
  <dcterms:modified xsi:type="dcterms:W3CDTF">2019-05-20T12:16:00Z</dcterms:modified>
  <cp:revision>2</cp:revision>
  <dc:title>AVENANT A L’ACCORD D’ENTREPRISE ENDEL</dc:title>
</cp:coreProperties>
</file>