
<file path=[Content_Types].xml><?xml version="1.0" encoding="utf-8"?>
<Types xmlns="http://schemas.openxmlformats.org/package/2006/content-types">
  <Override PartName="/_rels/.rels" ContentType="application/vnd.openxmlformats-package.relationships+xml"/>
  <Override PartName="/word/fontTable.xml" ContentType="application/vnd.openxmlformats-officedocument.wordprocessingml.fontTable+xml"/>
  <Override PartName="/word/_rels/header1.xml.rels" ContentType="application/vnd.openxmlformats-package.relationships+xml"/>
  <Override PartName="/word/_rels/document.xml.rels" ContentType="application/vnd.openxmlformats-package.relationships+xml"/>
  <Override PartName="/word/settings.xml" ContentType="application/vnd.openxmlformats-officedocument.wordprocessingml.settings+xml"/>
  <Override PartName="/word/media/image1.jpeg" ContentType="image/jpeg"/>
  <Override PartName="/word/header1.xml" ContentType="application/vnd.openxmlformats-officedocument.wordprocessingml.header+xml"/>
  <Override PartName="/word/styles.xml" ContentType="application/vnd.openxmlformats-officedocument.wordprocessingml.styles+xml"/>
  <Override PartName="/word/numbering.xml" ContentType="application/vnd.openxmlformats-officedocument.wordprocessingml.numbering+xml"/>
  <Override PartName="/word/footer1.xml" ContentType="application/vnd.openxmlformats-officedocument.wordprocessingml.footer+xml"/>
  <Override PartName="/word/document.xml" ContentType="application/vnd.openxmlformats-officedocument.wordprocessingml.document.main+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ackground w:color="FFFFFF"/>
  <w:body>
    <w:p>
      <w:pPr>
        <w:pStyle w:val="Normal"/>
        <w:spacing w:before="0" w:after="120"/>
        <w:jc w:val="both"/>
        <w:rPr>
          <w:rFonts w:ascii="Calibri" w:hAnsi="Calibri" w:eastAsia="Calibri" w:cs="Calibri"/>
          <w:b/>
          <w:b/>
          <w:color w:val="FF0000"/>
          <w:sz w:val="28"/>
          <w:u w:val="single"/>
        </w:rPr>
      </w:pPr>
      <w:r>
        <w:rPr>
          <w:rFonts w:eastAsia="Calibri" w:cs="Calibri" w:ascii="Calibri" w:hAnsi="Calibri"/>
          <w:b/>
          <w:color w:val="FF0000"/>
          <w:sz w:val="28"/>
          <w:u w:val="single"/>
        </w:rPr>
      </w:r>
    </w:p>
    <w:p>
      <w:pPr>
        <w:pStyle w:val="Normal"/>
        <w:spacing w:before="0" w:after="120"/>
        <w:jc w:val="both"/>
        <w:rPr>
          <w:rFonts w:ascii="Calibri" w:hAnsi="Calibri" w:eastAsia="Calibri" w:cs="Calibri"/>
          <w:b/>
          <w:b/>
          <w:color w:val="FF0000"/>
          <w:sz w:val="28"/>
          <w:u w:val="single"/>
        </w:rPr>
      </w:pPr>
      <w:r>
        <w:rPr>
          <w:rFonts w:eastAsia="Calibri" w:cs="Calibri" w:ascii="Calibri" w:hAnsi="Calibri"/>
          <w:b/>
          <w:color w:val="FF0000"/>
          <w:sz w:val="28"/>
          <w:u w:val="single"/>
        </w:rPr>
      </w:r>
    </w:p>
    <w:p>
      <w:pPr>
        <w:pStyle w:val="Normal"/>
        <w:spacing w:before="0" w:after="120"/>
        <w:jc w:val="both"/>
        <w:rPr>
          <w:rFonts w:ascii="Calibri" w:hAnsi="Calibri" w:eastAsia="Calibri" w:cs="Calibri"/>
          <w:b/>
          <w:b/>
          <w:color w:val="FF0000"/>
          <w:sz w:val="28"/>
          <w:u w:val="single"/>
        </w:rPr>
      </w:pPr>
      <w:r>
        <w:rPr>
          <w:rFonts w:eastAsia="Calibri" w:cs="Calibri" w:ascii="Calibri" w:hAnsi="Calibri"/>
          <w:b/>
          <w:color w:val="FF0000"/>
          <w:sz w:val="28"/>
          <w:u w:val="single"/>
        </w:rPr>
      </w:r>
    </w:p>
    <w:p>
      <w:pPr>
        <w:pStyle w:val="Normal"/>
        <w:pBdr>
          <w:top w:val="single" w:sz="4" w:space="1" w:color="548DD4" w:shadow="1"/>
          <w:left w:val="single" w:sz="4" w:space="4" w:color="548DD4" w:shadow="1"/>
          <w:bottom w:val="single" w:sz="4" w:space="1" w:color="548DD4" w:shadow="1"/>
          <w:right w:val="single" w:sz="4" w:space="4" w:color="548DD4" w:shadow="1"/>
        </w:pBdr>
        <w:shd w:fill="DFDFDF" w:val="clear"/>
        <w:spacing w:before="0" w:after="120"/>
        <w:jc w:val="center"/>
        <w:rPr>
          <w:rFonts w:ascii="Calibri" w:hAnsi="Calibri" w:eastAsia="Calibri" w:cs="Calibri"/>
          <w:b/>
          <w:b/>
          <w:i/>
          <w:i/>
          <w:color w:val="FF0000"/>
          <w:sz w:val="28"/>
          <w:u w:val="single"/>
        </w:rPr>
      </w:pPr>
      <w:r>
        <w:rPr>
          <w:rFonts w:eastAsia="Calibri" w:cs="Calibri" w:ascii="Calibri" w:hAnsi="Calibri"/>
          <w:b/>
          <w:i/>
          <w:color w:val="FF0000"/>
          <w:sz w:val="28"/>
          <w:u w:val="single"/>
        </w:rPr>
      </w:r>
    </w:p>
    <w:p>
      <w:pPr>
        <w:pStyle w:val="Normal"/>
        <w:pBdr>
          <w:top w:val="single" w:sz="4" w:space="1" w:color="548DD4" w:shadow="1"/>
          <w:left w:val="single" w:sz="4" w:space="4" w:color="548DD4" w:shadow="1"/>
          <w:bottom w:val="single" w:sz="4" w:space="1" w:color="548DD4" w:shadow="1"/>
          <w:right w:val="single" w:sz="4" w:space="4" w:color="548DD4" w:shadow="1"/>
        </w:pBdr>
        <w:shd w:fill="DFDFDF" w:val="clear"/>
        <w:spacing w:before="0" w:after="120"/>
        <w:jc w:val="center"/>
        <w:rPr>
          <w:rFonts w:ascii="Calibri" w:hAnsi="Calibri" w:eastAsia="Calibri" w:cs="Calibri"/>
          <w:b/>
          <w:b/>
          <w:sz w:val="36"/>
        </w:rPr>
      </w:pPr>
      <w:r>
        <w:rPr>
          <w:rFonts w:eastAsia="Calibri" w:cs="Calibri" w:ascii="Calibri" w:hAnsi="Calibri"/>
          <w:b/>
          <w:sz w:val="36"/>
        </w:rPr>
        <w:t>ACCORD D’ENTREPRISE RELATIF A LA MISE EN PLACE</w:t>
      </w:r>
    </w:p>
    <w:p>
      <w:pPr>
        <w:pStyle w:val="Normal"/>
        <w:pBdr>
          <w:top w:val="single" w:sz="4" w:space="1" w:color="548DD4" w:shadow="1"/>
          <w:left w:val="single" w:sz="4" w:space="4" w:color="548DD4" w:shadow="1"/>
          <w:bottom w:val="single" w:sz="4" w:space="1" w:color="548DD4" w:shadow="1"/>
          <w:right w:val="single" w:sz="4" w:space="4" w:color="548DD4" w:shadow="1"/>
        </w:pBdr>
        <w:shd w:fill="DFDFDF" w:val="clear"/>
        <w:spacing w:before="0" w:after="120"/>
        <w:jc w:val="center"/>
        <w:rPr>
          <w:rFonts w:ascii="Calibri" w:hAnsi="Calibri" w:eastAsia="Calibri" w:cs="Calibri"/>
          <w:b/>
          <w:b/>
          <w:sz w:val="36"/>
        </w:rPr>
      </w:pPr>
      <w:r>
        <w:rPr>
          <w:rFonts w:eastAsia="Calibri" w:cs="Calibri" w:ascii="Calibri" w:hAnsi="Calibri"/>
          <w:b/>
          <w:sz w:val="36"/>
        </w:rPr>
        <w:t>DU TRAVAIL DOMINICAL A TITRE EXCEPTIONNEL</w:t>
      </w:r>
    </w:p>
    <w:p>
      <w:pPr>
        <w:pStyle w:val="Normal"/>
        <w:pBdr>
          <w:top w:val="single" w:sz="4" w:space="1" w:color="548DD4" w:shadow="1"/>
          <w:left w:val="single" w:sz="4" w:space="4" w:color="548DD4" w:shadow="1"/>
          <w:bottom w:val="single" w:sz="4" w:space="1" w:color="548DD4" w:shadow="1"/>
          <w:right w:val="single" w:sz="4" w:space="4" w:color="548DD4" w:shadow="1"/>
        </w:pBdr>
        <w:shd w:fill="DFDFDF" w:val="clear"/>
        <w:spacing w:before="0" w:after="120"/>
        <w:jc w:val="center"/>
        <w:rPr/>
      </w:pPr>
      <w:r>
        <w:rPr>
          <w:rFonts w:eastAsia="Calibri" w:cs="Calibri" w:ascii="Calibri" w:hAnsi="Calibri"/>
          <w:b/>
          <w:sz w:val="36"/>
        </w:rPr>
        <w:t>DU 10 JUILLET 2019</w:t>
      </w:r>
    </w:p>
    <w:p>
      <w:pPr>
        <w:pStyle w:val="Normal"/>
        <w:pBdr>
          <w:top w:val="single" w:sz="4" w:space="1" w:color="548DD4" w:shadow="1"/>
          <w:left w:val="single" w:sz="4" w:space="4" w:color="548DD4" w:shadow="1"/>
          <w:bottom w:val="single" w:sz="4" w:space="1" w:color="548DD4" w:shadow="1"/>
          <w:right w:val="single" w:sz="4" w:space="4" w:color="548DD4" w:shadow="1"/>
        </w:pBdr>
        <w:shd w:fill="DFDFDF" w:val="clear"/>
        <w:spacing w:before="0" w:after="120"/>
        <w:jc w:val="center"/>
        <w:rPr>
          <w:rFonts w:ascii="Calibri" w:hAnsi="Calibri" w:eastAsia="Calibri" w:cs="Calibri"/>
          <w:b/>
          <w:b/>
          <w:i/>
          <w:i/>
          <w:sz w:val="22"/>
        </w:rPr>
      </w:pPr>
      <w:r>
        <w:rPr>
          <w:rFonts w:eastAsia="Calibri" w:cs="Calibri" w:ascii="Calibri" w:hAnsi="Calibri"/>
          <w:b/>
          <w:i/>
          <w:sz w:val="22"/>
        </w:rPr>
      </w:r>
    </w:p>
    <w:p>
      <w:pPr>
        <w:pStyle w:val="Normal"/>
        <w:jc w:val="both"/>
        <w:rPr>
          <w:rFonts w:ascii="Calibri" w:hAnsi="Calibri" w:eastAsia="Calibri" w:cs="Calibri"/>
          <w:b/>
          <w:b/>
          <w:i/>
          <w:i/>
          <w:sz w:val="22"/>
          <w:szCs w:val="22"/>
        </w:rPr>
      </w:pPr>
      <w:r>
        <w:rPr>
          <w:rFonts w:eastAsia="Calibri" w:cs="Calibri" w:ascii="Calibri" w:hAnsi="Calibri"/>
          <w:b/>
          <w:i/>
          <w:sz w:val="22"/>
          <w:szCs w:val="22"/>
        </w:rPr>
      </w:r>
    </w:p>
    <w:p>
      <w:pPr>
        <w:pStyle w:val="Normal"/>
        <w:rPr>
          <w:rFonts w:ascii="Calibri" w:hAnsi="Calibri" w:cs="Calibri"/>
          <w:sz w:val="22"/>
        </w:rPr>
      </w:pPr>
      <w:r>
        <w:rPr>
          <w:rFonts w:cs="Calibri" w:ascii="Calibri" w:hAnsi="Calibri"/>
          <w:sz w:val="22"/>
        </w:rPr>
        <w:t>ENTRE :</w:t>
      </w:r>
    </w:p>
    <w:p>
      <w:pPr>
        <w:pStyle w:val="Normal"/>
        <w:rPr>
          <w:rFonts w:ascii="Calibri" w:hAnsi="Calibri" w:cs="Calibri"/>
          <w:sz w:val="22"/>
        </w:rPr>
      </w:pPr>
      <w:r>
        <w:rPr>
          <w:rFonts w:cs="Calibri" w:ascii="Calibri" w:hAnsi="Calibri"/>
          <w:sz w:val="22"/>
        </w:rPr>
      </w:r>
    </w:p>
    <w:p>
      <w:pPr>
        <w:pStyle w:val="Normal"/>
        <w:rPr>
          <w:rFonts w:ascii="Calibri" w:hAnsi="Calibri" w:cs="Calibri"/>
          <w:sz w:val="22"/>
        </w:rPr>
      </w:pPr>
      <w:r>
        <w:rPr>
          <w:rFonts w:cs="Calibri" w:ascii="Calibri" w:hAnsi="Calibri"/>
          <w:sz w:val="22"/>
        </w:rPr>
      </w:r>
    </w:p>
    <w:p>
      <w:pPr>
        <w:pStyle w:val="Normal"/>
        <w:jc w:val="both"/>
        <w:rPr/>
      </w:pPr>
      <w:r>
        <w:rPr>
          <w:rFonts w:cs="Calibri" w:ascii="Calibri" w:hAnsi="Calibri"/>
          <w:sz w:val="22"/>
        </w:rPr>
        <w:t>- SARL GAÏA, représentée par XXXXX, Directeur des Ressources Humaines</w:t>
      </w:r>
    </w:p>
    <w:p>
      <w:pPr>
        <w:pStyle w:val="Normal"/>
        <w:rPr>
          <w:rFonts w:ascii="Calibri" w:hAnsi="Calibri" w:cs="Calibri"/>
          <w:sz w:val="22"/>
        </w:rPr>
      </w:pPr>
      <w:r>
        <w:rPr>
          <w:rFonts w:cs="Calibri" w:ascii="Calibri" w:hAnsi="Calibri"/>
          <w:sz w:val="22"/>
        </w:rPr>
      </w:r>
    </w:p>
    <w:p>
      <w:pPr>
        <w:pStyle w:val="Normal"/>
        <w:rPr>
          <w:rFonts w:ascii="Calibri" w:hAnsi="Calibri" w:cs="Calibri"/>
          <w:sz w:val="22"/>
        </w:rPr>
      </w:pPr>
      <w:r>
        <w:rPr>
          <w:rFonts w:cs="Calibri" w:ascii="Calibri" w:hAnsi="Calibri"/>
          <w:sz w:val="22"/>
        </w:rPr>
      </w:r>
    </w:p>
    <w:p>
      <w:pPr>
        <w:pStyle w:val="Normal"/>
        <w:rPr>
          <w:rFonts w:ascii="Calibri" w:hAnsi="Calibri" w:cs="Calibri"/>
          <w:sz w:val="22"/>
        </w:rPr>
      </w:pPr>
      <w:r>
        <w:rPr>
          <w:rFonts w:cs="Calibri" w:ascii="Calibri" w:hAnsi="Calibri"/>
          <w:sz w:val="22"/>
        </w:rPr>
        <w:t>et</w:t>
      </w:r>
    </w:p>
    <w:p>
      <w:pPr>
        <w:pStyle w:val="Normal"/>
        <w:rPr>
          <w:rFonts w:ascii="Calibri" w:hAnsi="Calibri" w:cs="Calibri"/>
          <w:sz w:val="22"/>
        </w:rPr>
      </w:pPr>
      <w:r>
        <w:rPr>
          <w:rFonts w:cs="Calibri" w:ascii="Calibri" w:hAnsi="Calibri"/>
          <w:sz w:val="22"/>
        </w:rPr>
      </w:r>
    </w:p>
    <w:p>
      <w:pPr>
        <w:pStyle w:val="Normal"/>
        <w:rPr>
          <w:rFonts w:ascii="Calibri" w:hAnsi="Calibri" w:cs="Calibri"/>
          <w:sz w:val="22"/>
        </w:rPr>
      </w:pPr>
      <w:r>
        <w:rPr>
          <w:rFonts w:cs="Calibri" w:ascii="Calibri" w:hAnsi="Calibri"/>
          <w:sz w:val="22"/>
        </w:rPr>
      </w:r>
    </w:p>
    <w:p>
      <w:pPr>
        <w:pStyle w:val="Normal"/>
        <w:rPr>
          <w:rFonts w:ascii="Calibri" w:hAnsi="Calibri" w:cs="Calibri"/>
          <w:sz w:val="22"/>
        </w:rPr>
      </w:pPr>
      <w:r>
        <w:rPr>
          <w:rFonts w:cs="Calibri" w:ascii="Calibri" w:hAnsi="Calibri"/>
          <w:sz w:val="22"/>
        </w:rPr>
        <w:t>- les ORGANISATIONS SYNDICALES Représentatives dans l’entreprise :</w:t>
      </w:r>
    </w:p>
    <w:p>
      <w:pPr>
        <w:pStyle w:val="Normal"/>
        <w:rPr>
          <w:rFonts w:ascii="Calibri" w:hAnsi="Calibri" w:cs="Calibri"/>
          <w:sz w:val="22"/>
        </w:rPr>
      </w:pPr>
      <w:r>
        <w:rPr>
          <w:rFonts w:cs="Calibri" w:ascii="Calibri" w:hAnsi="Calibri"/>
          <w:sz w:val="22"/>
        </w:rPr>
      </w:r>
    </w:p>
    <w:p>
      <w:pPr>
        <w:pStyle w:val="Normal"/>
        <w:rPr>
          <w:rFonts w:ascii="Calibri" w:hAnsi="Calibri" w:cs="Calibri"/>
          <w:sz w:val="22"/>
        </w:rPr>
      </w:pPr>
      <w:r>
        <w:rPr>
          <w:rFonts w:cs="Calibri" w:ascii="Calibri" w:hAnsi="Calibri"/>
          <w:sz w:val="22"/>
        </w:rPr>
      </w:r>
    </w:p>
    <w:p>
      <w:pPr>
        <w:pStyle w:val="Normal"/>
        <w:rPr>
          <w:rFonts w:ascii="Calibri" w:hAnsi="Calibri" w:cs="Calibri"/>
          <w:sz w:val="22"/>
        </w:rPr>
      </w:pPr>
      <w:r>
        <w:rPr>
          <w:rFonts w:cs="Calibri" w:ascii="Calibri" w:hAnsi="Calibri"/>
          <w:sz w:val="22"/>
        </w:rPr>
        <w:t>pour la C.F.T.C</w:t>
        <w:tab/>
        <w:tab/>
        <w:t>XXXXX</w:t>
      </w:r>
      <w:r>
        <w:rPr>
          <w:rFonts w:cs="Calibri" w:ascii="Calibri" w:hAnsi="Calibri"/>
        </w:rPr>
        <w:t>, Déléguée syndicale</w:t>
      </w:r>
    </w:p>
    <w:p>
      <w:pPr>
        <w:pStyle w:val="Normal"/>
        <w:rPr>
          <w:rFonts w:ascii="Calibri" w:hAnsi="Calibri" w:cs="Calibri"/>
          <w:sz w:val="22"/>
        </w:rPr>
      </w:pPr>
      <w:r>
        <w:rPr>
          <w:rFonts w:eastAsia="Calibri" w:cs="Calibri" w:ascii="Calibri" w:hAnsi="Calibri"/>
          <w:sz w:val="22"/>
        </w:rPr>
        <w:t xml:space="preserve"> </w:t>
      </w:r>
    </w:p>
    <w:p>
      <w:pPr>
        <w:pStyle w:val="Normal"/>
        <w:tabs>
          <w:tab w:val="left" w:pos="1985" w:leader="none"/>
        </w:tabs>
        <w:ind w:left="3240" w:hanging="0"/>
        <w:jc w:val="both"/>
        <w:rPr>
          <w:rFonts w:ascii="Calibri" w:hAnsi="Calibri" w:cs="Calibri"/>
          <w:sz w:val="22"/>
          <w:szCs w:val="22"/>
        </w:rPr>
      </w:pPr>
      <w:r>
        <w:rPr>
          <w:rFonts w:cs="Calibri" w:ascii="Calibri" w:hAnsi="Calibri"/>
          <w:sz w:val="22"/>
          <w:szCs w:val="22"/>
        </w:rPr>
      </w:r>
    </w:p>
    <w:p>
      <w:pPr>
        <w:pStyle w:val="Normal"/>
        <w:tabs>
          <w:tab w:val="left" w:pos="3969" w:leader="none"/>
        </w:tabs>
        <w:spacing w:before="0" w:after="120"/>
        <w:ind w:right="-286" w:firstLine="8222"/>
        <w:jc w:val="both"/>
        <w:rPr>
          <w:rFonts w:ascii="Calibri" w:hAnsi="Calibri" w:cs="Calibri"/>
          <w:bCs/>
          <w:i/>
          <w:i/>
          <w:iCs/>
          <w:sz w:val="22"/>
          <w:szCs w:val="22"/>
        </w:rPr>
      </w:pPr>
      <w:r>
        <w:rPr>
          <w:rFonts w:cs="Calibri" w:ascii="Calibri" w:hAnsi="Calibri"/>
          <w:bCs/>
          <w:i/>
          <w:iCs/>
          <w:sz w:val="22"/>
          <w:szCs w:val="22"/>
        </w:rPr>
        <w:t>d’autre part.</w:t>
      </w:r>
    </w:p>
    <w:p>
      <w:pPr>
        <w:pStyle w:val="Normal"/>
        <w:jc w:val="right"/>
        <w:rPr>
          <w:rFonts w:ascii="Calibri" w:hAnsi="Calibri" w:cs="Calibri"/>
          <w:bCs/>
          <w:i/>
          <w:i/>
          <w:iCs/>
          <w:sz w:val="22"/>
          <w:szCs w:val="22"/>
        </w:rPr>
      </w:pPr>
      <w:r>
        <w:rPr>
          <w:rFonts w:cs="Calibri" w:ascii="Calibri" w:hAnsi="Calibri"/>
          <w:bCs/>
          <w:i/>
          <w:iCs/>
          <w:sz w:val="22"/>
          <w:szCs w:val="22"/>
        </w:rPr>
      </w:r>
    </w:p>
    <w:p>
      <w:pPr>
        <w:pStyle w:val="Normal"/>
        <w:jc w:val="both"/>
        <w:rPr>
          <w:rFonts w:ascii="Calibri" w:hAnsi="Calibri" w:cs="Calibri"/>
          <w:sz w:val="22"/>
          <w:szCs w:val="22"/>
        </w:rPr>
      </w:pPr>
      <w:r>
        <w:rPr>
          <w:rFonts w:cs="Calibri" w:ascii="Calibri" w:hAnsi="Calibri"/>
          <w:sz w:val="22"/>
          <w:szCs w:val="22"/>
        </w:rPr>
        <w:t>Il a été convenu le présent accord :</w:t>
      </w:r>
    </w:p>
    <w:p>
      <w:pPr>
        <w:pStyle w:val="Normal"/>
        <w:jc w:val="both"/>
        <w:rPr>
          <w:rFonts w:ascii="Calibri" w:hAnsi="Calibri" w:cs="Calibri"/>
          <w:sz w:val="22"/>
          <w:szCs w:val="22"/>
        </w:rPr>
      </w:pPr>
      <w:r>
        <w:rPr>
          <w:rFonts w:cs="Calibri" w:ascii="Calibri" w:hAnsi="Calibri"/>
          <w:sz w:val="22"/>
          <w:szCs w:val="22"/>
        </w:rPr>
      </w:r>
    </w:p>
    <w:p>
      <w:pPr>
        <w:pStyle w:val="Normal"/>
        <w:jc w:val="both"/>
        <w:rPr>
          <w:rFonts w:ascii="Calibri" w:hAnsi="Calibri" w:cs="Calibri"/>
        </w:rPr>
      </w:pPr>
      <w:r>
        <w:rPr>
          <w:rFonts w:cs="Calibri" w:ascii="Calibri" w:hAnsi="Calibri"/>
        </w:rPr>
      </w:r>
    </w:p>
    <w:p>
      <w:pPr>
        <w:pStyle w:val="Normal"/>
        <w:jc w:val="both"/>
        <w:rPr>
          <w:rFonts w:ascii="Calibri" w:hAnsi="Calibri" w:cs="Calibri"/>
          <w:b/>
          <w:b/>
          <w:sz w:val="22"/>
          <w:szCs w:val="20"/>
          <w:u w:val="single"/>
        </w:rPr>
      </w:pPr>
      <w:r>
        <w:rPr>
          <w:rFonts w:cs="Calibri" w:ascii="Calibri" w:hAnsi="Calibri"/>
          <w:b/>
          <w:sz w:val="22"/>
          <w:szCs w:val="20"/>
          <w:u w:val="single"/>
        </w:rPr>
        <w:t>PREAMBULE</w:t>
      </w:r>
    </w:p>
    <w:p>
      <w:pPr>
        <w:pStyle w:val="Normal"/>
        <w:jc w:val="both"/>
        <w:rPr>
          <w:rFonts w:ascii="Calibri" w:hAnsi="Calibri" w:cs="Calibri"/>
          <w:b/>
          <w:b/>
          <w:sz w:val="22"/>
          <w:szCs w:val="20"/>
          <w:u w:val="single"/>
        </w:rPr>
      </w:pPr>
      <w:r>
        <w:rPr>
          <w:rFonts w:cs="Calibri" w:ascii="Calibri" w:hAnsi="Calibri"/>
          <w:b/>
          <w:sz w:val="22"/>
          <w:szCs w:val="20"/>
          <w:u w:val="single"/>
        </w:rPr>
      </w:r>
    </w:p>
    <w:p>
      <w:pPr>
        <w:pStyle w:val="Normal"/>
        <w:spacing w:before="0" w:after="120"/>
        <w:jc w:val="both"/>
        <w:rPr>
          <w:rFonts w:ascii="Calibri" w:hAnsi="Calibri" w:cs="Calibri"/>
          <w:sz w:val="22"/>
        </w:rPr>
      </w:pPr>
      <w:r>
        <w:rPr>
          <w:rFonts w:cs="Calibri" w:ascii="Calibri" w:hAnsi="Calibri"/>
          <w:sz w:val="22"/>
        </w:rPr>
        <w:t>Dans le cadre de son activité, la société GAÏA peut être amenée à exécuter à la demande de ses clients publics ou privés, dans le cadre de l’exécution de contrats spécifiques, des interventions le dimanche, afin notamment de limiter les conséquences préjudiciables au public.</w:t>
      </w:r>
    </w:p>
    <w:p>
      <w:pPr>
        <w:pStyle w:val="Normal"/>
        <w:spacing w:before="0" w:after="120"/>
        <w:jc w:val="both"/>
        <w:rPr/>
      </w:pPr>
      <w:r>
        <w:rPr>
          <w:rFonts w:eastAsia="Calibri" w:cs="Calibri" w:ascii="Calibri" w:hAnsi="Calibri"/>
          <w:sz w:val="16"/>
        </w:rPr>
        <w:t xml:space="preserve"> </w:t>
      </w:r>
      <w:r>
        <w:rPr>
          <w:rFonts w:cs="Calibri" w:ascii="Calibri" w:hAnsi="Calibri"/>
          <w:sz w:val="22"/>
        </w:rPr>
        <w:t>Le présent accord relatif à l’organisation du temps de travail dans l’entreprise a pour objet de répondre aux obligations définies par la loi du 10 aout 2009 relative au repos dominical.</w:t>
      </w:r>
    </w:p>
    <w:p>
      <w:pPr>
        <w:pStyle w:val="Normal"/>
        <w:jc w:val="both"/>
        <w:rPr/>
      </w:pPr>
      <w:r>
        <w:rPr>
          <w:rFonts w:cs="Calibri" w:ascii="Calibri" w:hAnsi="Calibri"/>
          <w:sz w:val="22"/>
        </w:rPr>
        <w:t>Il doit ainsi permettre de répondre aux exigences liées à toute demande préalable de dérogation temporaire et exceptionnelle faite auprès des préfectures et d’en simplifier les démarches, tout en posant les principes de gestion et les garanties et contreparties accordées à l’ensemble des salariés de l’Entreprise.</w:t>
      </w:r>
    </w:p>
    <w:p>
      <w:pPr>
        <w:pStyle w:val="Normal"/>
        <w:jc w:val="both"/>
        <w:rPr>
          <w:rFonts w:ascii="Calibri" w:hAnsi="Calibri" w:cs="Calibri"/>
          <w:sz w:val="22"/>
        </w:rPr>
      </w:pPr>
      <w:r>
        <w:rPr>
          <w:rFonts w:cs="Calibri" w:ascii="Calibri" w:hAnsi="Calibri"/>
          <w:sz w:val="22"/>
        </w:rPr>
        <w:t>Dans ce cadre, il définit les engagements pris par l’entreprise en termes d’emploi ou en faveur de certains publics en difficultés ou de personnes handicapées, tels que définis par l’article L3132-25-3 du code du travail.</w:t>
      </w:r>
    </w:p>
    <w:p>
      <w:pPr>
        <w:pStyle w:val="Normal"/>
        <w:jc w:val="both"/>
        <w:rPr>
          <w:rFonts w:ascii="Calibri" w:hAnsi="Calibri" w:cs="Calibri"/>
          <w:sz w:val="22"/>
        </w:rPr>
      </w:pPr>
      <w:r>
        <w:rPr>
          <w:rFonts w:cs="Calibri" w:ascii="Calibri" w:hAnsi="Calibri"/>
          <w:sz w:val="22"/>
        </w:rPr>
      </w:r>
    </w:p>
    <w:p>
      <w:pPr>
        <w:pStyle w:val="Normal"/>
        <w:jc w:val="both"/>
        <w:rPr>
          <w:rFonts w:ascii="Calibri" w:hAnsi="Calibri" w:cs="Calibri"/>
          <w:sz w:val="22"/>
        </w:rPr>
      </w:pPr>
      <w:r>
        <w:rPr>
          <w:rFonts w:cs="Calibri" w:ascii="Calibri" w:hAnsi="Calibri"/>
          <w:sz w:val="22"/>
        </w:rPr>
      </w:r>
    </w:p>
    <w:p>
      <w:pPr>
        <w:pStyle w:val="Normal"/>
        <w:jc w:val="both"/>
        <w:rPr>
          <w:rFonts w:ascii="Calibri" w:hAnsi="Calibri" w:cs="Calibri"/>
          <w:b/>
          <w:b/>
          <w:sz w:val="22"/>
        </w:rPr>
      </w:pPr>
      <w:r>
        <w:rPr>
          <w:rFonts w:cs="Calibri" w:ascii="Calibri" w:hAnsi="Calibri"/>
          <w:b/>
          <w:sz w:val="22"/>
        </w:rPr>
      </w:r>
    </w:p>
    <w:p>
      <w:pPr>
        <w:pStyle w:val="Normal"/>
        <w:jc w:val="both"/>
        <w:rPr>
          <w:rFonts w:ascii="Calibri" w:hAnsi="Calibri" w:cs="Calibri"/>
          <w:b/>
          <w:b/>
        </w:rPr>
      </w:pPr>
      <w:r>
        <w:rPr>
          <w:rFonts w:cs="Calibri" w:ascii="Calibri" w:hAnsi="Calibri"/>
          <w:b/>
        </w:rPr>
        <w:t xml:space="preserve">Article 1 - </w:t>
      </w:r>
      <w:r>
        <w:rPr>
          <w:rFonts w:cs="Calibri" w:ascii="Calibri" w:hAnsi="Calibri"/>
          <w:b/>
          <w:u w:val="single"/>
        </w:rPr>
        <w:t>Principes du repos dominical</w:t>
      </w:r>
    </w:p>
    <w:p>
      <w:pPr>
        <w:pStyle w:val="Normal"/>
        <w:jc w:val="both"/>
        <w:rPr>
          <w:rFonts w:ascii="Calibri" w:hAnsi="Calibri" w:cs="Calibri"/>
          <w:b/>
          <w:b/>
          <w:sz w:val="22"/>
          <w:szCs w:val="22"/>
        </w:rPr>
      </w:pPr>
      <w:r>
        <w:rPr>
          <w:rFonts w:cs="Calibri" w:ascii="Calibri" w:hAnsi="Calibri"/>
          <w:b/>
          <w:sz w:val="22"/>
          <w:szCs w:val="22"/>
        </w:rPr>
      </w:r>
    </w:p>
    <w:p>
      <w:pPr>
        <w:pStyle w:val="Normal"/>
        <w:numPr>
          <w:ilvl w:val="0"/>
          <w:numId w:val="2"/>
        </w:numPr>
        <w:spacing w:before="0" w:after="120"/>
        <w:ind w:left="714" w:hanging="357"/>
        <w:jc w:val="both"/>
        <w:rPr>
          <w:rFonts w:ascii="Calibri" w:hAnsi="Calibri" w:cs="Calibri"/>
          <w:sz w:val="22"/>
          <w:szCs w:val="22"/>
        </w:rPr>
      </w:pPr>
      <w:r>
        <w:rPr>
          <w:rFonts w:cs="Calibri" w:ascii="Calibri" w:hAnsi="Calibri"/>
          <w:sz w:val="22"/>
          <w:szCs w:val="22"/>
        </w:rPr>
        <w:t>La semaine de travail est fixée à 5 jours de travail consécutifs du lundi au vendredi,</w:t>
      </w:r>
    </w:p>
    <w:p>
      <w:pPr>
        <w:pStyle w:val="Normal"/>
        <w:numPr>
          <w:ilvl w:val="0"/>
          <w:numId w:val="2"/>
        </w:numPr>
        <w:jc w:val="both"/>
        <w:rPr>
          <w:rFonts w:ascii="Calibri" w:hAnsi="Calibri" w:cs="Calibri"/>
          <w:sz w:val="22"/>
          <w:szCs w:val="22"/>
        </w:rPr>
      </w:pPr>
      <w:r>
        <w:rPr>
          <w:rFonts w:cs="Calibri" w:ascii="Calibri" w:hAnsi="Calibri"/>
          <w:sz w:val="22"/>
          <w:szCs w:val="22"/>
        </w:rPr>
        <w:t>le repos hebdomadaire est en principe pris le dimanche, conformément à l’article L 3132-3 du code du travail.</w:t>
      </w:r>
    </w:p>
    <w:p>
      <w:pPr>
        <w:pStyle w:val="Normal"/>
        <w:jc w:val="both"/>
        <w:rPr>
          <w:rFonts w:ascii="Calibri" w:hAnsi="Calibri" w:cs="Calibri"/>
          <w:sz w:val="22"/>
          <w:szCs w:val="22"/>
        </w:rPr>
      </w:pPr>
      <w:r>
        <w:rPr>
          <w:rFonts w:cs="Calibri" w:ascii="Calibri" w:hAnsi="Calibri"/>
          <w:sz w:val="22"/>
          <w:szCs w:val="22"/>
        </w:rPr>
      </w:r>
    </w:p>
    <w:p>
      <w:pPr>
        <w:pStyle w:val="Normal"/>
        <w:jc w:val="both"/>
        <w:rPr>
          <w:rFonts w:ascii="Calibri" w:hAnsi="Calibri" w:cs="Calibri"/>
          <w:b/>
          <w:b/>
          <w:sz w:val="22"/>
          <w:szCs w:val="22"/>
        </w:rPr>
      </w:pPr>
      <w:r>
        <w:rPr>
          <w:rFonts w:cs="Calibri" w:ascii="Calibri" w:hAnsi="Calibri"/>
          <w:b/>
          <w:sz w:val="22"/>
          <w:szCs w:val="22"/>
        </w:rPr>
      </w:r>
    </w:p>
    <w:p>
      <w:pPr>
        <w:pStyle w:val="Normal"/>
        <w:jc w:val="both"/>
        <w:rPr>
          <w:rFonts w:ascii="Calibri" w:hAnsi="Calibri" w:cs="Calibri"/>
          <w:b/>
          <w:b/>
        </w:rPr>
      </w:pPr>
      <w:r>
        <w:rPr>
          <w:rFonts w:cs="Calibri" w:ascii="Calibri" w:hAnsi="Calibri"/>
          <w:b/>
        </w:rPr>
        <w:t xml:space="preserve">Article 2 - </w:t>
      </w:r>
      <w:r>
        <w:rPr>
          <w:rFonts w:cs="Calibri" w:ascii="Calibri" w:hAnsi="Calibri"/>
          <w:b/>
          <w:u w:val="single"/>
        </w:rPr>
        <w:t>Les dérogations au repos dominical : conditions de mise en œuvre</w:t>
      </w:r>
    </w:p>
    <w:p>
      <w:pPr>
        <w:pStyle w:val="Normal"/>
        <w:ind w:right="1" w:hanging="0"/>
        <w:jc w:val="both"/>
        <w:rPr>
          <w:rFonts w:ascii="Calibri" w:hAnsi="Calibri" w:cs="Calibri"/>
          <w:b/>
          <w:b/>
          <w:color w:val="000000"/>
          <w:sz w:val="14"/>
          <w:szCs w:val="20"/>
          <w:u w:val="single"/>
        </w:rPr>
      </w:pPr>
      <w:r>
        <w:rPr>
          <w:rFonts w:cs="Calibri" w:ascii="Calibri" w:hAnsi="Calibri"/>
          <w:b/>
          <w:color w:val="000000"/>
          <w:sz w:val="14"/>
          <w:szCs w:val="20"/>
          <w:u w:val="single"/>
        </w:rPr>
      </w:r>
    </w:p>
    <w:p>
      <w:pPr>
        <w:pStyle w:val="Normal"/>
        <w:jc w:val="both"/>
        <w:rPr/>
      </w:pPr>
      <w:r>
        <w:rPr>
          <w:rFonts w:cs="Calibri" w:ascii="Calibri" w:hAnsi="Calibri"/>
          <w:color w:val="000000"/>
          <w:sz w:val="22"/>
        </w:rPr>
        <w:t>Il est toutefois possible de déroger au principe du repos dominical, notamment lorsqu’il est établi que « le repos simultané, le dimanche, de tous les salariés d’un établissement serait préjudiciable au public »</w:t>
      </w:r>
    </w:p>
    <w:p>
      <w:pPr>
        <w:pStyle w:val="Normal"/>
        <w:jc w:val="both"/>
        <w:rPr>
          <w:rFonts w:ascii="Calibri" w:hAnsi="Calibri" w:cs="Calibri"/>
          <w:color w:val="000000"/>
          <w:sz w:val="22"/>
        </w:rPr>
      </w:pPr>
      <w:r>
        <w:rPr>
          <w:rFonts w:cs="Calibri" w:ascii="Calibri" w:hAnsi="Calibri"/>
          <w:color w:val="000000"/>
          <w:sz w:val="22"/>
        </w:rPr>
        <w:t>Ce cas de dérogations prévues aux articles L. 3132-20 et L 3132-25-1 est accordé sur demande expresse auprès des services administratifs compétents (Préfecture - DIRECCTE …)</w:t>
      </w:r>
    </w:p>
    <w:p>
      <w:pPr>
        <w:pStyle w:val="Normal"/>
        <w:jc w:val="both"/>
        <w:rPr>
          <w:rFonts w:ascii="Calibri" w:hAnsi="Calibri" w:cs="Calibri"/>
          <w:color w:val="000000"/>
          <w:sz w:val="22"/>
        </w:rPr>
      </w:pPr>
      <w:r>
        <w:rPr>
          <w:rFonts w:cs="Calibri" w:ascii="Calibri" w:hAnsi="Calibri"/>
          <w:color w:val="000000"/>
          <w:sz w:val="22"/>
        </w:rPr>
      </w:r>
    </w:p>
    <w:p>
      <w:pPr>
        <w:pStyle w:val="Normal"/>
        <w:jc w:val="both"/>
        <w:rPr>
          <w:rFonts w:ascii="Calibri" w:hAnsi="Calibri" w:cs="Calibri"/>
          <w:color w:val="000000"/>
          <w:sz w:val="22"/>
        </w:rPr>
      </w:pPr>
      <w:r>
        <w:rPr>
          <w:rFonts w:cs="Calibri" w:ascii="Calibri" w:hAnsi="Calibri"/>
          <w:color w:val="000000"/>
          <w:sz w:val="22"/>
        </w:rPr>
        <w:t>Dans tous les cas :</w:t>
      </w:r>
    </w:p>
    <w:p>
      <w:pPr>
        <w:pStyle w:val="Normal"/>
        <w:ind w:left="720" w:hanging="0"/>
        <w:jc w:val="both"/>
        <w:rPr>
          <w:rFonts w:ascii="Calibri" w:hAnsi="Calibri" w:cs="Calibri"/>
          <w:color w:val="000000"/>
          <w:sz w:val="22"/>
        </w:rPr>
      </w:pPr>
      <w:r>
        <w:rPr>
          <w:rFonts w:cs="Calibri" w:ascii="Calibri" w:hAnsi="Calibri"/>
          <w:color w:val="000000"/>
          <w:sz w:val="22"/>
        </w:rPr>
      </w:r>
    </w:p>
    <w:p>
      <w:pPr>
        <w:pStyle w:val="Normal"/>
        <w:numPr>
          <w:ilvl w:val="0"/>
          <w:numId w:val="2"/>
        </w:numPr>
        <w:ind w:left="720" w:right="-2" w:hanging="360"/>
        <w:jc w:val="both"/>
        <w:rPr>
          <w:rFonts w:ascii="Calibri" w:hAnsi="Calibri" w:cs="Calibri"/>
          <w:color w:val="000000"/>
          <w:sz w:val="22"/>
        </w:rPr>
      </w:pPr>
      <w:r>
        <w:rPr>
          <w:rFonts w:cs="Calibri" w:ascii="Calibri" w:hAnsi="Calibri"/>
          <w:color w:val="000000"/>
          <w:sz w:val="22"/>
        </w:rPr>
        <w:t>Cette dérogation est temporaire et exceptionnelle, limitée aux circonstances fixées par la loi ;</w:t>
      </w:r>
    </w:p>
    <w:p>
      <w:pPr>
        <w:pStyle w:val="Normal"/>
        <w:numPr>
          <w:ilvl w:val="0"/>
          <w:numId w:val="2"/>
        </w:numPr>
        <w:ind w:left="720" w:right="-2" w:hanging="360"/>
        <w:jc w:val="both"/>
        <w:rPr>
          <w:rFonts w:ascii="Calibri" w:hAnsi="Calibri" w:cs="Calibri"/>
          <w:color w:val="000000"/>
          <w:sz w:val="22"/>
        </w:rPr>
      </w:pPr>
      <w:r>
        <w:rPr>
          <w:rFonts w:cs="Calibri" w:ascii="Calibri" w:hAnsi="Calibri"/>
          <w:color w:val="000000"/>
          <w:sz w:val="22"/>
        </w:rPr>
        <w:t>Le travail ainsi autorisé le dimanche ne peut s’appliquer qu’au personnel volontaire ;</w:t>
      </w:r>
    </w:p>
    <w:p>
      <w:pPr>
        <w:pStyle w:val="Normal"/>
        <w:numPr>
          <w:ilvl w:val="0"/>
          <w:numId w:val="2"/>
        </w:numPr>
        <w:ind w:left="720" w:right="-2" w:hanging="360"/>
        <w:jc w:val="both"/>
        <w:rPr>
          <w:rFonts w:ascii="Calibri" w:hAnsi="Calibri" w:cs="Calibri"/>
          <w:color w:val="000000"/>
          <w:sz w:val="22"/>
        </w:rPr>
      </w:pPr>
      <w:r>
        <w:rPr>
          <w:rFonts w:cs="Calibri" w:ascii="Calibri" w:hAnsi="Calibri"/>
          <w:color w:val="000000"/>
          <w:sz w:val="22"/>
        </w:rPr>
        <w:t>Afin de permettre aux salariés de gérer la compatibilité de leur activité avec leur obligations familiales ou personnelles, un délai de prévenance d’un minimum de 7 jours calendaires doit être respecté avant la mise en œuvre du travail dominical autorisé, sauf circonstances exceptionnelles non prévisibles ;</w:t>
      </w:r>
    </w:p>
    <w:p>
      <w:pPr>
        <w:pStyle w:val="Normal"/>
        <w:numPr>
          <w:ilvl w:val="0"/>
          <w:numId w:val="2"/>
        </w:numPr>
        <w:ind w:left="720" w:right="-2" w:hanging="360"/>
        <w:jc w:val="both"/>
        <w:rPr>
          <w:rFonts w:ascii="Calibri" w:hAnsi="Calibri" w:cs="Calibri"/>
          <w:color w:val="000000"/>
          <w:sz w:val="22"/>
        </w:rPr>
      </w:pPr>
      <w:r>
        <w:rPr>
          <w:rFonts w:cs="Calibri" w:ascii="Calibri" w:hAnsi="Calibri"/>
          <w:color w:val="000000"/>
          <w:sz w:val="22"/>
        </w:rPr>
        <w:t>En aucun cas, le refus du travail exceptionnel du dimanche par un salarié ne peut justifier une sanction ou tout autre décision d’ordre professionnel à son encontre ;</w:t>
      </w:r>
    </w:p>
    <w:p>
      <w:pPr>
        <w:pStyle w:val="Normal"/>
        <w:numPr>
          <w:ilvl w:val="0"/>
          <w:numId w:val="2"/>
        </w:numPr>
        <w:ind w:left="720" w:right="-2" w:hanging="360"/>
        <w:jc w:val="both"/>
        <w:rPr>
          <w:rFonts w:ascii="Calibri" w:hAnsi="Calibri" w:cs="Calibri"/>
          <w:color w:val="000000"/>
          <w:sz w:val="22"/>
        </w:rPr>
      </w:pPr>
      <w:r>
        <w:rPr>
          <w:rFonts w:cs="Calibri" w:ascii="Calibri" w:hAnsi="Calibri"/>
          <w:color w:val="000000"/>
          <w:sz w:val="22"/>
        </w:rPr>
        <w:t>Tout travail dominical doit faire l’objet d’une validation par la hiérarchie et doit être justifié par des situations exceptionnelles. Il ne peut donc résulter d’un acte volontaire d’un salarié dans l’organisation de son temps de travail.</w:t>
      </w:r>
    </w:p>
    <w:p>
      <w:pPr>
        <w:pStyle w:val="Normal"/>
        <w:jc w:val="both"/>
        <w:rPr>
          <w:rFonts w:ascii="Calibri" w:hAnsi="Calibri" w:cs="Calibri"/>
          <w:color w:val="000000"/>
          <w:sz w:val="22"/>
        </w:rPr>
      </w:pPr>
      <w:r>
        <w:rPr>
          <w:rFonts w:cs="Calibri" w:ascii="Calibri" w:hAnsi="Calibri"/>
          <w:color w:val="000000"/>
          <w:sz w:val="22"/>
        </w:rPr>
      </w:r>
    </w:p>
    <w:p>
      <w:pPr>
        <w:pStyle w:val="Normal"/>
        <w:jc w:val="both"/>
        <w:rPr>
          <w:rFonts w:ascii="Calibri" w:hAnsi="Calibri" w:cs="Calibri"/>
          <w:color w:val="000000"/>
          <w:sz w:val="22"/>
        </w:rPr>
      </w:pPr>
      <w:r>
        <w:rPr>
          <w:rFonts w:cs="Calibri" w:ascii="Calibri" w:hAnsi="Calibri"/>
          <w:color w:val="000000"/>
          <w:sz w:val="22"/>
        </w:rPr>
      </w:r>
    </w:p>
    <w:p>
      <w:pPr>
        <w:pStyle w:val="Normal"/>
        <w:jc w:val="both"/>
        <w:rPr>
          <w:rFonts w:ascii="Calibri" w:hAnsi="Calibri" w:cs="Calibri"/>
          <w:b/>
          <w:b/>
          <w:u w:val="single"/>
        </w:rPr>
      </w:pPr>
      <w:r>
        <w:rPr>
          <w:rFonts w:cs="Calibri" w:ascii="Calibri" w:hAnsi="Calibri"/>
          <w:b/>
        </w:rPr>
        <w:t xml:space="preserve">Article 3 – </w:t>
      </w:r>
      <w:r>
        <w:rPr>
          <w:rFonts w:cs="Calibri" w:ascii="Calibri" w:hAnsi="Calibri"/>
          <w:b/>
          <w:u w:val="single"/>
        </w:rPr>
        <w:t>Contreparties accordées aux salariés</w:t>
      </w:r>
    </w:p>
    <w:p>
      <w:pPr>
        <w:pStyle w:val="Normal"/>
        <w:jc w:val="both"/>
        <w:rPr>
          <w:rFonts w:ascii="Calibri" w:hAnsi="Calibri" w:cs="Calibri"/>
          <w:b/>
          <w:b/>
          <w:sz w:val="14"/>
          <w:u w:val="single"/>
        </w:rPr>
      </w:pPr>
      <w:r>
        <w:rPr>
          <w:rFonts w:cs="Calibri" w:ascii="Calibri" w:hAnsi="Calibri"/>
          <w:b/>
          <w:sz w:val="14"/>
          <w:u w:val="single"/>
        </w:rPr>
      </w:r>
    </w:p>
    <w:p>
      <w:pPr>
        <w:pStyle w:val="Normal"/>
        <w:spacing w:before="0" w:after="120"/>
        <w:jc w:val="both"/>
        <w:rPr>
          <w:rFonts w:ascii="Calibri" w:hAnsi="Calibri" w:cs="Calibri"/>
          <w:color w:val="000000"/>
          <w:sz w:val="22"/>
        </w:rPr>
      </w:pPr>
      <w:r>
        <w:rPr>
          <w:rFonts w:cs="Calibri" w:ascii="Calibri" w:hAnsi="Calibri"/>
          <w:color w:val="000000"/>
          <w:sz w:val="22"/>
        </w:rPr>
        <w:t xml:space="preserve">Les salariés amenés à travailler exceptionnellement le dimanche bénéficieront d’une majoration de leur rémunération de 100%. Ces dispositions existent conventionnellement pour les Ouvriers (article 5 § 12 de la CCN du 22 avril 1955) et pour les ETAM (article 5 § 8 de la CCN du 12 juillet 1955).  </w:t>
      </w:r>
    </w:p>
    <w:p>
      <w:pPr>
        <w:pStyle w:val="Normal"/>
        <w:spacing w:before="0" w:after="120"/>
        <w:jc w:val="both"/>
        <w:rPr>
          <w:rFonts w:ascii="Calibri" w:hAnsi="Calibri" w:cs="Calibri"/>
          <w:color w:val="000000"/>
          <w:sz w:val="22"/>
        </w:rPr>
      </w:pPr>
      <w:r>
        <w:rPr>
          <w:rFonts w:cs="Calibri" w:ascii="Calibri" w:hAnsi="Calibri"/>
          <w:color w:val="000000"/>
          <w:sz w:val="22"/>
        </w:rPr>
      </w:r>
    </w:p>
    <w:p>
      <w:pPr>
        <w:pStyle w:val="Normal"/>
        <w:numPr>
          <w:ilvl w:val="0"/>
          <w:numId w:val="2"/>
        </w:numPr>
        <w:jc w:val="both"/>
        <w:rPr>
          <w:rFonts w:ascii="Calibri" w:hAnsi="Calibri" w:cs="Calibri"/>
          <w:color w:val="000000"/>
          <w:sz w:val="22"/>
        </w:rPr>
      </w:pPr>
      <w:r>
        <w:rPr>
          <w:rFonts w:cs="Calibri" w:ascii="Calibri" w:hAnsi="Calibri"/>
          <w:color w:val="000000"/>
          <w:sz w:val="22"/>
        </w:rPr>
        <w:t xml:space="preserve">Les heures ainsi rémunérées sont celles effectivement réalisées le dimanche de 00h00 à 24h00. </w:t>
      </w:r>
    </w:p>
    <w:p>
      <w:pPr>
        <w:pStyle w:val="Normal"/>
        <w:numPr>
          <w:ilvl w:val="0"/>
          <w:numId w:val="2"/>
        </w:numPr>
        <w:jc w:val="both"/>
        <w:rPr/>
      </w:pPr>
      <w:r>
        <w:rPr>
          <w:rFonts w:cs="Calibri" w:ascii="Calibri" w:hAnsi="Calibri"/>
          <w:color w:val="000000"/>
          <w:sz w:val="22"/>
        </w:rPr>
        <w:t>Pour les salariés sous convention de forfait en jours, ce temps de travail exceptionnel sera décompté en journée ou ½ journée et donnera lieu sur cette base à majoration.</w:t>
      </w:r>
    </w:p>
    <w:p>
      <w:pPr>
        <w:pStyle w:val="Normal"/>
        <w:numPr>
          <w:ilvl w:val="0"/>
          <w:numId w:val="2"/>
        </w:numPr>
        <w:jc w:val="both"/>
        <w:rPr/>
      </w:pPr>
      <w:r>
        <w:rPr>
          <w:rFonts w:cs="Calibri" w:ascii="Calibri" w:hAnsi="Calibri"/>
          <w:sz w:val="22"/>
        </w:rPr>
        <w:t>La majoration de 100% des heures du dimanche ne se cumule pas avec les autres majorations éventuelles sauf les majorations relatives aux heures supplémentaires ou heures majorées.</w:t>
      </w:r>
    </w:p>
    <w:p>
      <w:pPr>
        <w:pStyle w:val="Normal"/>
        <w:numPr>
          <w:ilvl w:val="0"/>
          <w:numId w:val="2"/>
        </w:numPr>
        <w:jc w:val="both"/>
        <w:rPr>
          <w:rFonts w:ascii="Calibri" w:hAnsi="Calibri" w:cs="Calibri"/>
          <w:color w:val="000000"/>
          <w:sz w:val="22"/>
        </w:rPr>
      </w:pPr>
      <w:r>
        <w:rPr>
          <w:rFonts w:cs="Calibri" w:ascii="Calibri" w:hAnsi="Calibri"/>
          <w:color w:val="000000"/>
          <w:sz w:val="22"/>
        </w:rPr>
        <w:t>Les salariés privés de repos dominical bénéficieront d’un repos compensateur équivalent.</w:t>
      </w:r>
    </w:p>
    <w:p>
      <w:pPr>
        <w:pStyle w:val="Normal"/>
        <w:jc w:val="both"/>
        <w:rPr>
          <w:rFonts w:ascii="Calibri" w:hAnsi="Calibri" w:cs="Calibri"/>
          <w:color w:val="000000"/>
          <w:sz w:val="22"/>
        </w:rPr>
      </w:pPr>
      <w:r>
        <w:rPr>
          <w:rFonts w:cs="Calibri" w:ascii="Calibri" w:hAnsi="Calibri"/>
          <w:color w:val="000000"/>
          <w:sz w:val="22"/>
        </w:rPr>
      </w:r>
    </w:p>
    <w:p>
      <w:pPr>
        <w:pStyle w:val="Normal"/>
        <w:jc w:val="both"/>
        <w:rPr>
          <w:rFonts w:ascii="Calibri" w:hAnsi="Calibri" w:cs="Calibri"/>
          <w:color w:val="000000"/>
          <w:sz w:val="22"/>
        </w:rPr>
      </w:pPr>
      <w:r>
        <w:rPr>
          <w:rFonts w:cs="Calibri" w:ascii="Calibri" w:hAnsi="Calibri"/>
          <w:color w:val="000000"/>
          <w:sz w:val="22"/>
        </w:rPr>
      </w:r>
    </w:p>
    <w:p>
      <w:pPr>
        <w:pStyle w:val="Normal"/>
        <w:jc w:val="both"/>
        <w:rPr>
          <w:rFonts w:ascii="Calibri" w:hAnsi="Calibri" w:cs="Calibri"/>
        </w:rPr>
      </w:pPr>
      <w:r>
        <w:rPr>
          <w:rFonts w:cs="Calibri" w:ascii="Calibri" w:hAnsi="Calibri"/>
        </w:rPr>
      </w:r>
    </w:p>
    <w:p>
      <w:pPr>
        <w:pStyle w:val="Normal"/>
        <w:jc w:val="both"/>
        <w:rPr>
          <w:rFonts w:ascii="Calibri" w:hAnsi="Calibri" w:cs="Calibri"/>
        </w:rPr>
      </w:pPr>
      <w:r>
        <w:rPr>
          <w:rFonts w:cs="Calibri" w:ascii="Calibri" w:hAnsi="Calibri"/>
        </w:rPr>
      </w:r>
    </w:p>
    <w:p>
      <w:pPr>
        <w:pStyle w:val="Normal"/>
        <w:jc w:val="both"/>
        <w:rPr>
          <w:rFonts w:ascii="Calibri" w:hAnsi="Calibri" w:cs="Calibri"/>
        </w:rPr>
      </w:pPr>
      <w:r>
        <w:rPr>
          <w:rFonts w:cs="Calibri" w:ascii="Calibri" w:hAnsi="Calibri"/>
        </w:rPr>
      </w:r>
    </w:p>
    <w:p>
      <w:pPr>
        <w:pStyle w:val="Normal"/>
        <w:jc w:val="both"/>
        <w:rPr>
          <w:rFonts w:ascii="Calibri" w:hAnsi="Calibri" w:cs="Calibri"/>
        </w:rPr>
      </w:pPr>
      <w:r>
        <w:rPr>
          <w:rFonts w:cs="Calibri" w:ascii="Calibri" w:hAnsi="Calibri"/>
        </w:rPr>
      </w:r>
    </w:p>
    <w:p>
      <w:pPr>
        <w:pStyle w:val="Normal"/>
        <w:jc w:val="both"/>
        <w:rPr>
          <w:rFonts w:ascii="Calibri" w:hAnsi="Calibri" w:cs="Calibri"/>
        </w:rPr>
      </w:pPr>
      <w:r>
        <w:rPr>
          <w:rFonts w:cs="Calibri" w:ascii="Calibri" w:hAnsi="Calibri"/>
        </w:rPr>
      </w:r>
    </w:p>
    <w:p>
      <w:pPr>
        <w:pStyle w:val="Normal"/>
        <w:jc w:val="both"/>
        <w:rPr>
          <w:rFonts w:ascii="Calibri" w:hAnsi="Calibri" w:cs="Calibri"/>
        </w:rPr>
      </w:pPr>
      <w:r>
        <w:rPr>
          <w:rFonts w:cs="Calibri" w:ascii="Calibri" w:hAnsi="Calibri"/>
        </w:rPr>
      </w:r>
    </w:p>
    <w:p>
      <w:pPr>
        <w:pStyle w:val="Normal"/>
        <w:jc w:val="both"/>
        <w:rPr>
          <w:rFonts w:ascii="Calibri" w:hAnsi="Calibri" w:cs="Calibri"/>
          <w:b/>
          <w:b/>
          <w:u w:val="single"/>
        </w:rPr>
      </w:pPr>
      <w:r>
        <w:rPr>
          <w:rFonts w:cs="Calibri" w:ascii="Calibri" w:hAnsi="Calibri"/>
          <w:b/>
        </w:rPr>
        <w:t xml:space="preserve">Article 4 – </w:t>
      </w:r>
      <w:r>
        <w:rPr>
          <w:rFonts w:cs="Calibri" w:ascii="Calibri" w:hAnsi="Calibri"/>
          <w:b/>
          <w:u w:val="single"/>
        </w:rPr>
        <w:t>Engagement de l’entreprise</w:t>
      </w:r>
    </w:p>
    <w:p>
      <w:pPr>
        <w:pStyle w:val="Normal"/>
        <w:jc w:val="both"/>
        <w:rPr>
          <w:rFonts w:ascii="Calibri" w:hAnsi="Calibri" w:cs="Calibri"/>
          <w:b/>
          <w:b/>
          <w:u w:val="single"/>
        </w:rPr>
      </w:pPr>
      <w:r>
        <w:rPr>
          <w:rFonts w:cs="Calibri" w:ascii="Calibri" w:hAnsi="Calibri"/>
          <w:b/>
          <w:u w:val="single"/>
        </w:rPr>
      </w:r>
    </w:p>
    <w:p>
      <w:pPr>
        <w:pStyle w:val="Normal"/>
        <w:jc w:val="both"/>
        <w:rPr>
          <w:rFonts w:ascii="Calibri" w:hAnsi="Calibri" w:cs="Calibri"/>
          <w:b/>
          <w:b/>
          <w:sz w:val="14"/>
        </w:rPr>
      </w:pPr>
      <w:r>
        <w:rPr>
          <w:rFonts w:cs="Calibri" w:ascii="Calibri" w:hAnsi="Calibri"/>
          <w:b/>
          <w:sz w:val="14"/>
        </w:rPr>
      </w:r>
    </w:p>
    <w:p>
      <w:pPr>
        <w:pStyle w:val="Normal"/>
        <w:numPr>
          <w:ilvl w:val="0"/>
          <w:numId w:val="5"/>
        </w:numPr>
        <w:ind w:left="786" w:right="1" w:hanging="360"/>
        <w:jc w:val="both"/>
        <w:rPr>
          <w:rFonts w:ascii="Calibri" w:hAnsi="Calibri" w:cs="Calibri"/>
          <w:sz w:val="22"/>
          <w:szCs w:val="20"/>
        </w:rPr>
      </w:pPr>
      <w:r>
        <w:rPr>
          <w:rFonts w:cs="Calibri" w:ascii="Calibri" w:hAnsi="Calibri"/>
          <w:sz w:val="22"/>
          <w:szCs w:val="20"/>
          <w:u w:val="single"/>
        </w:rPr>
        <w:t>Salariés concernés par le travail dominical exceptionnel</w:t>
      </w:r>
    </w:p>
    <w:p>
      <w:pPr>
        <w:pStyle w:val="Normal"/>
        <w:ind w:right="1" w:hanging="0"/>
        <w:jc w:val="both"/>
        <w:rPr>
          <w:rFonts w:ascii="Calibri" w:hAnsi="Calibri" w:cs="Calibri"/>
          <w:sz w:val="14"/>
          <w:szCs w:val="20"/>
          <w:u w:val="single"/>
        </w:rPr>
      </w:pPr>
      <w:r>
        <w:rPr>
          <w:rFonts w:cs="Calibri" w:ascii="Calibri" w:hAnsi="Calibri"/>
          <w:sz w:val="14"/>
          <w:szCs w:val="20"/>
          <w:u w:val="single"/>
        </w:rPr>
      </w:r>
    </w:p>
    <w:p>
      <w:pPr>
        <w:pStyle w:val="Normal"/>
        <w:jc w:val="both"/>
        <w:rPr/>
      </w:pPr>
      <w:r>
        <w:rPr>
          <w:rFonts w:cs="Calibri" w:ascii="Calibri" w:hAnsi="Calibri"/>
          <w:sz w:val="22"/>
        </w:rPr>
        <w:t>Une attention particulière sera portée lors de l’entretien professionnel aux salariés qui ont été concernés par le travail dominical exceptionnel, dans l’année écoulée. L’objectif est de prendre en compte notamment les problématiques et les situations personnelles de ces salariés.</w:t>
      </w:r>
    </w:p>
    <w:p>
      <w:pPr>
        <w:pStyle w:val="Normal"/>
        <w:jc w:val="both"/>
        <w:rPr>
          <w:rFonts w:ascii="Calibri" w:hAnsi="Calibri" w:cs="Calibri"/>
          <w:sz w:val="22"/>
        </w:rPr>
      </w:pPr>
      <w:r>
        <w:rPr>
          <w:rFonts w:cs="Calibri" w:ascii="Calibri" w:hAnsi="Calibri"/>
          <w:sz w:val="22"/>
        </w:rPr>
      </w:r>
    </w:p>
    <w:p>
      <w:pPr>
        <w:pStyle w:val="Normal"/>
        <w:ind w:left="786" w:right="1" w:hanging="0"/>
        <w:jc w:val="both"/>
        <w:rPr>
          <w:rFonts w:ascii="Calibri" w:hAnsi="Calibri" w:cs="Calibri"/>
          <w:sz w:val="22"/>
          <w:szCs w:val="20"/>
        </w:rPr>
      </w:pPr>
      <w:r>
        <w:rPr>
          <w:rFonts w:cs="Calibri" w:ascii="Calibri" w:hAnsi="Calibri"/>
          <w:sz w:val="22"/>
          <w:szCs w:val="20"/>
        </w:rPr>
      </w:r>
    </w:p>
    <w:p>
      <w:pPr>
        <w:pStyle w:val="Normal"/>
        <w:numPr>
          <w:ilvl w:val="0"/>
          <w:numId w:val="5"/>
        </w:numPr>
        <w:ind w:left="786" w:right="1" w:hanging="360"/>
        <w:jc w:val="both"/>
        <w:rPr>
          <w:rFonts w:ascii="Calibri" w:hAnsi="Calibri" w:cs="Calibri"/>
          <w:sz w:val="22"/>
          <w:szCs w:val="20"/>
        </w:rPr>
      </w:pPr>
      <w:r>
        <w:rPr>
          <w:rFonts w:cs="Calibri" w:ascii="Calibri" w:hAnsi="Calibri"/>
          <w:sz w:val="22"/>
          <w:szCs w:val="20"/>
          <w:u w:val="single"/>
        </w:rPr>
        <w:t>Engagement de l’entreprise en termes d’emploi ou en faveur de certains publics</w:t>
      </w:r>
    </w:p>
    <w:p>
      <w:pPr>
        <w:pStyle w:val="Normal"/>
        <w:jc w:val="both"/>
        <w:rPr>
          <w:rFonts w:ascii="Calibri" w:hAnsi="Calibri" w:cs="Calibri"/>
          <w:sz w:val="14"/>
          <w:szCs w:val="20"/>
          <w:u w:val="single"/>
        </w:rPr>
      </w:pPr>
      <w:r>
        <w:rPr>
          <w:rFonts w:cs="Calibri" w:ascii="Calibri" w:hAnsi="Calibri"/>
          <w:sz w:val="14"/>
          <w:szCs w:val="20"/>
          <w:u w:val="single"/>
        </w:rPr>
      </w:r>
    </w:p>
    <w:p>
      <w:pPr>
        <w:pStyle w:val="Normal"/>
        <w:jc w:val="both"/>
        <w:rPr>
          <w:rFonts w:ascii="Calibri" w:hAnsi="Calibri" w:cs="Calibri"/>
          <w:sz w:val="22"/>
        </w:rPr>
      </w:pPr>
      <w:r>
        <w:rPr>
          <w:rFonts w:cs="Calibri" w:ascii="Calibri" w:hAnsi="Calibri"/>
          <w:sz w:val="22"/>
        </w:rPr>
        <w:t>La société GAÏA développe une politique spécifique envers certains publics en difficultés afin de favoriser leur insertion professionnelle et le développement de l’évolution professionnelle. Elle met ainsi en œuvre un certain nombre d’actions, telles que :</w:t>
      </w:r>
    </w:p>
    <w:p>
      <w:pPr>
        <w:pStyle w:val="Normal"/>
        <w:jc w:val="both"/>
        <w:rPr>
          <w:rFonts w:ascii="Calibri" w:hAnsi="Calibri" w:cs="Calibri"/>
          <w:sz w:val="22"/>
        </w:rPr>
      </w:pPr>
      <w:r>
        <w:rPr>
          <w:rFonts w:cs="Calibri" w:ascii="Calibri" w:hAnsi="Calibri"/>
          <w:sz w:val="22"/>
        </w:rPr>
      </w:r>
    </w:p>
    <w:p>
      <w:pPr>
        <w:pStyle w:val="Normal"/>
        <w:numPr>
          <w:ilvl w:val="0"/>
          <w:numId w:val="2"/>
        </w:numPr>
        <w:jc w:val="both"/>
        <w:rPr>
          <w:rFonts w:ascii="Calibri" w:hAnsi="Calibri" w:cs="Calibri"/>
          <w:sz w:val="22"/>
        </w:rPr>
      </w:pPr>
      <w:r>
        <w:rPr>
          <w:rFonts w:cs="Calibri" w:ascii="Calibri" w:hAnsi="Calibri"/>
          <w:sz w:val="22"/>
        </w:rPr>
        <w:t>Tutorat </w:t>
      </w:r>
    </w:p>
    <w:p>
      <w:pPr>
        <w:pStyle w:val="Normal"/>
        <w:numPr>
          <w:ilvl w:val="0"/>
          <w:numId w:val="2"/>
        </w:numPr>
        <w:jc w:val="both"/>
        <w:rPr>
          <w:rFonts w:ascii="Calibri" w:hAnsi="Calibri" w:cs="Calibri"/>
          <w:sz w:val="22"/>
        </w:rPr>
      </w:pPr>
      <w:r>
        <w:rPr>
          <w:rFonts w:cs="Calibri" w:ascii="Calibri" w:hAnsi="Calibri"/>
          <w:sz w:val="22"/>
        </w:rPr>
        <w:t xml:space="preserve">Formation de public en difficulté </w:t>
      </w:r>
    </w:p>
    <w:p>
      <w:pPr>
        <w:pStyle w:val="Normal"/>
        <w:numPr>
          <w:ilvl w:val="0"/>
          <w:numId w:val="2"/>
        </w:numPr>
        <w:jc w:val="both"/>
        <w:rPr>
          <w:rFonts w:ascii="Calibri" w:hAnsi="Calibri" w:cs="Calibri"/>
          <w:sz w:val="22"/>
        </w:rPr>
      </w:pPr>
      <w:r>
        <w:rPr>
          <w:rFonts w:cs="Calibri" w:ascii="Calibri" w:hAnsi="Calibri"/>
          <w:sz w:val="22"/>
        </w:rPr>
        <w:t>Développement des conditions de réponses aux clauses sociales (formation manager, guide des bonnes pratiques…)</w:t>
      </w:r>
    </w:p>
    <w:p>
      <w:pPr>
        <w:pStyle w:val="Normal"/>
        <w:jc w:val="both"/>
        <w:rPr>
          <w:rFonts w:ascii="Calibri" w:hAnsi="Calibri" w:cs="Calibri"/>
          <w:sz w:val="22"/>
        </w:rPr>
      </w:pPr>
      <w:r>
        <w:rPr>
          <w:rFonts w:cs="Calibri" w:ascii="Calibri" w:hAnsi="Calibri"/>
          <w:sz w:val="22"/>
        </w:rPr>
      </w:r>
    </w:p>
    <w:p>
      <w:pPr>
        <w:pStyle w:val="Normal"/>
        <w:jc w:val="both"/>
        <w:rPr>
          <w:rFonts w:ascii="Calibri" w:hAnsi="Calibri" w:cs="Calibri"/>
          <w:sz w:val="22"/>
        </w:rPr>
      </w:pPr>
      <w:r>
        <w:rPr>
          <w:rFonts w:cs="Calibri" w:ascii="Calibri" w:hAnsi="Calibri"/>
          <w:sz w:val="22"/>
        </w:rPr>
        <w:t>La société GAÏA s’est également engagée dans une démarche volontaire de développement de l’emploi des travailleurs handicapés se traduisant notamment par :</w:t>
      </w:r>
    </w:p>
    <w:p>
      <w:pPr>
        <w:pStyle w:val="Normal"/>
        <w:jc w:val="both"/>
        <w:rPr>
          <w:rFonts w:ascii="Calibri" w:hAnsi="Calibri" w:cs="Calibri"/>
          <w:sz w:val="22"/>
        </w:rPr>
      </w:pPr>
      <w:r>
        <w:rPr>
          <w:rFonts w:cs="Calibri" w:ascii="Calibri" w:hAnsi="Calibri"/>
          <w:sz w:val="22"/>
        </w:rPr>
      </w:r>
    </w:p>
    <w:p>
      <w:pPr>
        <w:pStyle w:val="Normal"/>
        <w:numPr>
          <w:ilvl w:val="0"/>
          <w:numId w:val="2"/>
        </w:numPr>
        <w:jc w:val="both"/>
        <w:rPr>
          <w:rFonts w:ascii="Calibri" w:hAnsi="Calibri" w:cs="Calibri"/>
          <w:sz w:val="22"/>
        </w:rPr>
      </w:pPr>
      <w:r>
        <w:rPr>
          <w:rFonts w:cs="Calibri" w:ascii="Calibri" w:hAnsi="Calibri"/>
          <w:sz w:val="22"/>
        </w:rPr>
        <w:t>des contrats passés avec des sociétés du secteur protégé,</w:t>
      </w:r>
    </w:p>
    <w:p>
      <w:pPr>
        <w:pStyle w:val="Normal"/>
        <w:numPr>
          <w:ilvl w:val="0"/>
          <w:numId w:val="2"/>
        </w:numPr>
        <w:jc w:val="both"/>
        <w:rPr>
          <w:rFonts w:ascii="Calibri" w:hAnsi="Calibri" w:cs="Calibri"/>
          <w:sz w:val="22"/>
        </w:rPr>
      </w:pPr>
      <w:r>
        <w:rPr>
          <w:rFonts w:cs="Calibri" w:ascii="Calibri" w:hAnsi="Calibri"/>
          <w:sz w:val="22"/>
        </w:rPr>
        <w:t xml:space="preserve">la sensibilisation  des managers et salariés au thème du handicap </w:t>
      </w:r>
    </w:p>
    <w:p>
      <w:pPr>
        <w:pStyle w:val="Normal"/>
        <w:numPr>
          <w:ilvl w:val="0"/>
          <w:numId w:val="2"/>
        </w:numPr>
        <w:jc w:val="both"/>
        <w:rPr>
          <w:rFonts w:ascii="Calibri" w:hAnsi="Calibri" w:cs="Calibri"/>
          <w:sz w:val="22"/>
        </w:rPr>
      </w:pPr>
      <w:r>
        <w:rPr>
          <w:rFonts w:cs="Calibri" w:ascii="Calibri" w:hAnsi="Calibri"/>
          <w:sz w:val="22"/>
        </w:rPr>
        <w:t>l’objectif d’intégration de salariés handicapés</w:t>
      </w:r>
    </w:p>
    <w:p>
      <w:pPr>
        <w:pStyle w:val="Normal"/>
        <w:numPr>
          <w:ilvl w:val="0"/>
          <w:numId w:val="2"/>
        </w:numPr>
        <w:jc w:val="both"/>
        <w:rPr>
          <w:rFonts w:ascii="Calibri" w:hAnsi="Calibri" w:cs="Calibri"/>
          <w:sz w:val="22"/>
        </w:rPr>
      </w:pPr>
      <w:r>
        <w:rPr>
          <w:rFonts w:cs="Calibri" w:ascii="Calibri" w:hAnsi="Calibri"/>
          <w:sz w:val="22"/>
        </w:rPr>
        <w:t>la volonté d’améliorer le maintien dans l’emploi de salariés (aménagement de postes de travail, reclassement en cas d’inaptitude au poste et de handicap …)</w:t>
      </w:r>
    </w:p>
    <w:p>
      <w:pPr>
        <w:pStyle w:val="Normal"/>
        <w:jc w:val="both"/>
        <w:rPr>
          <w:rFonts w:ascii="Calibri" w:hAnsi="Calibri" w:cs="Calibri"/>
          <w:sz w:val="22"/>
        </w:rPr>
      </w:pPr>
      <w:r>
        <w:rPr>
          <w:rFonts w:cs="Calibri" w:ascii="Calibri" w:hAnsi="Calibri"/>
          <w:sz w:val="22"/>
        </w:rPr>
      </w:r>
    </w:p>
    <w:p>
      <w:pPr>
        <w:pStyle w:val="Normal"/>
        <w:jc w:val="both"/>
        <w:rPr>
          <w:rFonts w:ascii="Calibri" w:hAnsi="Calibri" w:cs="Calibri"/>
          <w:color w:val="FF0000"/>
          <w:sz w:val="22"/>
        </w:rPr>
      </w:pPr>
      <w:r>
        <w:rPr>
          <w:rFonts w:cs="Calibri" w:ascii="Calibri" w:hAnsi="Calibri"/>
          <w:color w:val="FF0000"/>
          <w:sz w:val="22"/>
        </w:rPr>
      </w:r>
    </w:p>
    <w:p>
      <w:pPr>
        <w:pStyle w:val="Normal"/>
        <w:jc w:val="both"/>
        <w:rPr>
          <w:rFonts w:ascii="Calibri" w:hAnsi="Calibri" w:cs="Calibri"/>
          <w:sz w:val="22"/>
        </w:rPr>
      </w:pPr>
      <w:r>
        <w:rPr>
          <w:rFonts w:cs="Calibri" w:ascii="Calibri" w:hAnsi="Calibri"/>
          <w:sz w:val="22"/>
        </w:rPr>
        <w:t>La société GAÏA s’engage à poursuivre l’ensemble de ces actions en adaptant les moyens et partenariats mis en œuvre afin de répondre au mieux aux objectifs d’intégration et de développement de la diversité parmi ses salariés.</w:t>
      </w:r>
    </w:p>
    <w:p>
      <w:pPr>
        <w:pStyle w:val="Normal"/>
        <w:jc w:val="both"/>
        <w:rPr>
          <w:rFonts w:ascii="Calibri" w:hAnsi="Calibri" w:cs="Calibri"/>
          <w:sz w:val="22"/>
        </w:rPr>
      </w:pPr>
      <w:r>
        <w:rPr>
          <w:rFonts w:cs="Calibri" w:ascii="Calibri" w:hAnsi="Calibri"/>
          <w:sz w:val="22"/>
        </w:rPr>
      </w:r>
    </w:p>
    <w:p>
      <w:pPr>
        <w:pStyle w:val="Normal"/>
        <w:jc w:val="both"/>
        <w:rPr>
          <w:rFonts w:ascii="Calibri" w:hAnsi="Calibri" w:cs="Calibri"/>
          <w:sz w:val="22"/>
        </w:rPr>
      </w:pPr>
      <w:r>
        <w:rPr>
          <w:rFonts w:cs="Calibri" w:ascii="Calibri" w:hAnsi="Calibri"/>
          <w:sz w:val="22"/>
        </w:rPr>
      </w:r>
    </w:p>
    <w:p>
      <w:pPr>
        <w:pStyle w:val="Normal"/>
        <w:jc w:val="both"/>
        <w:rPr/>
      </w:pPr>
      <w:r>
        <w:rPr>
          <w:rFonts w:cs="Calibri" w:ascii="Calibri" w:hAnsi="Calibri"/>
          <w:b/>
        </w:rPr>
        <w:t xml:space="preserve">Article 5 – </w:t>
      </w:r>
      <w:r>
        <w:rPr>
          <w:rFonts w:cs="Calibri" w:ascii="Calibri" w:hAnsi="Calibri"/>
          <w:b/>
          <w:u w:val="single"/>
        </w:rPr>
        <w:t>Durée et entrée en vigueur de l’accord</w:t>
      </w:r>
    </w:p>
    <w:p>
      <w:pPr>
        <w:pStyle w:val="Normal"/>
        <w:jc w:val="both"/>
        <w:rPr>
          <w:rFonts w:ascii="Calibri" w:hAnsi="Calibri" w:cs="Calibri"/>
          <w:b/>
          <w:b/>
          <w:sz w:val="14"/>
          <w:u w:val="single"/>
        </w:rPr>
      </w:pPr>
      <w:r>
        <w:rPr>
          <w:rFonts w:cs="Calibri" w:ascii="Calibri" w:hAnsi="Calibri"/>
          <w:b/>
          <w:sz w:val="14"/>
          <w:u w:val="single"/>
        </w:rPr>
      </w:r>
    </w:p>
    <w:p>
      <w:pPr>
        <w:pStyle w:val="Normal"/>
        <w:jc w:val="both"/>
        <w:rPr>
          <w:rFonts w:ascii="Calibri" w:hAnsi="Calibri" w:cs="Calibri"/>
          <w:sz w:val="22"/>
        </w:rPr>
      </w:pPr>
      <w:r>
        <w:rPr>
          <w:rFonts w:cs="Calibri" w:ascii="Calibri" w:hAnsi="Calibri"/>
          <w:sz w:val="22"/>
        </w:rPr>
        <w:t>Le présent accord est conclu pour une durée indéterminée. Il sera mis en œuvre à compter du 1</w:t>
      </w:r>
      <w:r>
        <w:rPr>
          <w:rFonts w:cs="Calibri" w:ascii="Calibri" w:hAnsi="Calibri"/>
          <w:sz w:val="22"/>
          <w:vertAlign w:val="superscript"/>
        </w:rPr>
        <w:t>er</w:t>
      </w:r>
      <w:r>
        <w:rPr>
          <w:rFonts w:cs="Calibri" w:ascii="Calibri" w:hAnsi="Calibri"/>
          <w:sz w:val="22"/>
        </w:rPr>
        <w:t xml:space="preserve"> janvier 2020</w:t>
      </w:r>
      <w:r>
        <w:rPr>
          <w:rFonts w:cs="Calibri" w:ascii="Calibri" w:hAnsi="Calibri"/>
          <w:color w:val="FF0000"/>
          <w:sz w:val="22"/>
        </w:rPr>
        <w:t xml:space="preserve"> </w:t>
      </w:r>
      <w:r>
        <w:rPr>
          <w:rFonts w:cs="Calibri" w:ascii="Calibri" w:hAnsi="Calibri"/>
          <w:sz w:val="22"/>
        </w:rPr>
        <w:t>et se substituera alors à l’ensemble des dispositions ayant pu préalablement exister.</w:t>
      </w:r>
    </w:p>
    <w:p>
      <w:pPr>
        <w:pStyle w:val="Normal"/>
        <w:jc w:val="both"/>
        <w:rPr>
          <w:rFonts w:ascii="Calibri" w:hAnsi="Calibri" w:cs="Calibri"/>
          <w:sz w:val="22"/>
        </w:rPr>
      </w:pPr>
      <w:r>
        <w:rPr>
          <w:rFonts w:cs="Calibri" w:ascii="Calibri" w:hAnsi="Calibri"/>
          <w:sz w:val="22"/>
        </w:rPr>
      </w:r>
    </w:p>
    <w:p>
      <w:pPr>
        <w:pStyle w:val="Normal"/>
        <w:jc w:val="both"/>
        <w:rPr>
          <w:rFonts w:ascii="Calibri" w:hAnsi="Calibri" w:cs="Calibri"/>
          <w:sz w:val="22"/>
        </w:rPr>
      </w:pPr>
      <w:r>
        <w:rPr>
          <w:rFonts w:cs="Calibri" w:ascii="Calibri" w:hAnsi="Calibri"/>
          <w:sz w:val="22"/>
        </w:rPr>
      </w:r>
    </w:p>
    <w:p>
      <w:pPr>
        <w:pStyle w:val="Normal"/>
        <w:jc w:val="both"/>
        <w:rPr/>
      </w:pPr>
      <w:r>
        <w:rPr>
          <w:rFonts w:cs="Calibri" w:ascii="Calibri" w:hAnsi="Calibri"/>
          <w:b/>
        </w:rPr>
        <w:t xml:space="preserve">Article 6 – </w:t>
      </w:r>
      <w:r>
        <w:rPr>
          <w:rFonts w:cs="Calibri" w:ascii="Calibri" w:hAnsi="Calibri"/>
          <w:b/>
          <w:u w:val="single"/>
        </w:rPr>
        <w:t>Révision et dénonciation de l’accord</w:t>
      </w:r>
    </w:p>
    <w:p>
      <w:pPr>
        <w:pStyle w:val="Normal"/>
        <w:jc w:val="both"/>
        <w:rPr>
          <w:rFonts w:ascii="Calibri" w:hAnsi="Calibri" w:cs="Calibri"/>
          <w:b/>
          <w:b/>
          <w:sz w:val="22"/>
          <w:u w:val="single"/>
        </w:rPr>
      </w:pPr>
      <w:r>
        <w:rPr>
          <w:rFonts w:cs="Calibri" w:ascii="Calibri" w:hAnsi="Calibri"/>
          <w:b/>
          <w:sz w:val="22"/>
          <w:u w:val="single"/>
        </w:rPr>
      </w:r>
    </w:p>
    <w:p>
      <w:pPr>
        <w:pStyle w:val="Normal"/>
        <w:ind w:right="-2" w:hanging="0"/>
        <w:jc w:val="both"/>
        <w:rPr/>
      </w:pPr>
      <w:r>
        <w:rPr>
          <w:rFonts w:cs="Calibri" w:ascii="Calibri" w:hAnsi="Calibri"/>
          <w:sz w:val="22"/>
        </w:rPr>
        <w:t xml:space="preserve">Le présent accord pourra être révisé, en tout ou partie, à la demande de la Direction de la Société ou de l’une des Organisations Syndicales Représentatives conformément aux dispositions légales en vigueur et sous réserve d’un préavis d’une durée de trois mois. </w:t>
      </w:r>
    </w:p>
    <w:p>
      <w:pPr>
        <w:pStyle w:val="Normal"/>
        <w:ind w:right="-2" w:hanging="0"/>
        <w:jc w:val="both"/>
        <w:rPr>
          <w:rFonts w:ascii="Calibri" w:hAnsi="Calibri" w:cs="Calibri"/>
          <w:sz w:val="22"/>
        </w:rPr>
      </w:pPr>
      <w:r>
        <w:rPr>
          <w:rFonts w:cs="Calibri" w:ascii="Calibri" w:hAnsi="Calibri"/>
          <w:sz w:val="22"/>
        </w:rPr>
      </w:r>
    </w:p>
    <w:p>
      <w:pPr>
        <w:pStyle w:val="Normal"/>
        <w:ind w:right="-2" w:hanging="0"/>
        <w:jc w:val="both"/>
        <w:rPr>
          <w:rFonts w:ascii="Calibri" w:hAnsi="Calibri" w:cs="Calibri"/>
          <w:sz w:val="22"/>
        </w:rPr>
      </w:pPr>
      <w:r>
        <w:rPr>
          <w:rFonts w:cs="Calibri" w:ascii="Calibri" w:hAnsi="Calibri"/>
          <w:sz w:val="22"/>
        </w:rPr>
        <w:t xml:space="preserve">Cette demande de révision devra être notifiée à chacune des parties et comporter, outre l’indication des dispositions dont la révision est demandée, des propositions de remplacement. </w:t>
      </w:r>
    </w:p>
    <w:p>
      <w:pPr>
        <w:pStyle w:val="Normal"/>
        <w:ind w:right="-2" w:hanging="0"/>
        <w:jc w:val="both"/>
        <w:rPr>
          <w:rFonts w:ascii="Calibri" w:hAnsi="Calibri" w:cs="Calibri"/>
          <w:sz w:val="22"/>
        </w:rPr>
      </w:pPr>
      <w:r>
        <w:rPr>
          <w:rFonts w:cs="Calibri" w:ascii="Calibri" w:hAnsi="Calibri"/>
          <w:sz w:val="22"/>
        </w:rPr>
      </w:r>
    </w:p>
    <w:p>
      <w:pPr>
        <w:pStyle w:val="Normal"/>
        <w:ind w:right="-2" w:hanging="0"/>
        <w:jc w:val="both"/>
        <w:rPr>
          <w:rFonts w:ascii="Calibri" w:hAnsi="Calibri" w:cs="Calibri"/>
          <w:sz w:val="22"/>
        </w:rPr>
      </w:pPr>
      <w:r>
        <w:rPr>
          <w:rFonts w:cs="Calibri" w:ascii="Calibri" w:hAnsi="Calibri"/>
          <w:sz w:val="22"/>
        </w:rPr>
      </w:r>
    </w:p>
    <w:p>
      <w:pPr>
        <w:pStyle w:val="Normal"/>
        <w:ind w:right="-2" w:hanging="0"/>
        <w:jc w:val="both"/>
        <w:rPr>
          <w:rFonts w:ascii="Calibri" w:hAnsi="Calibri" w:cs="Calibri"/>
          <w:sz w:val="22"/>
        </w:rPr>
      </w:pPr>
      <w:r>
        <w:rPr>
          <w:rFonts w:cs="Calibri" w:ascii="Calibri" w:hAnsi="Calibri"/>
          <w:sz w:val="22"/>
        </w:rPr>
      </w:r>
    </w:p>
    <w:p>
      <w:pPr>
        <w:pStyle w:val="Normal"/>
        <w:ind w:right="-2" w:hanging="0"/>
        <w:jc w:val="both"/>
        <w:rPr/>
      </w:pPr>
      <w:r>
        <w:rPr>
          <w:rFonts w:cs="Calibri" w:ascii="Calibri" w:hAnsi="Calibri"/>
          <w:sz w:val="22"/>
        </w:rPr>
        <w:t xml:space="preserve">Cet accord pourra également être dénoncé par la Direction de la Société ou par l’une des Organisations Syndicales Représentatives signataires à tout moment, sous réserve d’un préavis d’une durée de trois mois, conformément aux dispositions de l’article L.2261-9 du Code du travail. </w:t>
      </w:r>
    </w:p>
    <w:p>
      <w:pPr>
        <w:pStyle w:val="Normal"/>
        <w:jc w:val="both"/>
        <w:rPr>
          <w:rFonts w:ascii="Calibri" w:hAnsi="Calibri" w:cs="Calibri"/>
          <w:sz w:val="22"/>
        </w:rPr>
      </w:pPr>
      <w:r>
        <w:rPr>
          <w:rFonts w:cs="Calibri" w:ascii="Calibri" w:hAnsi="Calibri"/>
          <w:sz w:val="22"/>
        </w:rPr>
      </w:r>
    </w:p>
    <w:p>
      <w:pPr>
        <w:pStyle w:val="Normal"/>
        <w:jc w:val="both"/>
        <w:rPr>
          <w:rFonts w:ascii="Calibri" w:hAnsi="Calibri" w:cs="Calibri"/>
          <w:sz w:val="22"/>
        </w:rPr>
      </w:pPr>
      <w:r>
        <w:rPr>
          <w:rFonts w:cs="Calibri" w:ascii="Calibri" w:hAnsi="Calibri"/>
          <w:sz w:val="22"/>
        </w:rPr>
      </w:r>
    </w:p>
    <w:p>
      <w:pPr>
        <w:pStyle w:val="Normal"/>
        <w:jc w:val="both"/>
        <w:rPr>
          <w:rFonts w:ascii="Calibri" w:hAnsi="Calibri" w:cs="Calibri"/>
          <w:b/>
          <w:b/>
        </w:rPr>
      </w:pPr>
      <w:r>
        <w:rPr>
          <w:rFonts w:cs="Calibri" w:ascii="Calibri" w:hAnsi="Calibri"/>
          <w:b/>
        </w:rPr>
        <w:t xml:space="preserve">Article 7. </w:t>
      </w:r>
      <w:r>
        <w:rPr>
          <w:rFonts w:cs="Calibri" w:ascii="Calibri" w:hAnsi="Calibri"/>
          <w:b/>
          <w:u w:val="single"/>
        </w:rPr>
        <w:t xml:space="preserve">Publicité </w:t>
      </w:r>
    </w:p>
    <w:p>
      <w:pPr>
        <w:pStyle w:val="Style11"/>
        <w:rPr>
          <w:rFonts w:ascii="Calibri" w:hAnsi="Calibri" w:cs="Calibri"/>
          <w:b w:val="false"/>
          <w:b w:val="false"/>
          <w:sz w:val="22"/>
          <w:szCs w:val="22"/>
        </w:rPr>
      </w:pPr>
      <w:r>
        <w:rPr>
          <w:rFonts w:cs="Calibri"/>
          <w:b w:val="false"/>
          <w:sz w:val="22"/>
          <w:szCs w:val="22"/>
        </w:rPr>
      </w:r>
    </w:p>
    <w:p>
      <w:pPr>
        <w:pStyle w:val="Normal"/>
        <w:ind w:right="-2" w:hanging="0"/>
        <w:jc w:val="both"/>
        <w:rPr>
          <w:rFonts w:ascii="Calibri" w:hAnsi="Calibri" w:cs="Tahoma"/>
          <w:sz w:val="22"/>
          <w:szCs w:val="22"/>
        </w:rPr>
      </w:pPr>
      <w:r>
        <w:rPr>
          <w:rFonts w:cs="Tahoma" w:ascii="Calibri" w:hAnsi="Calibri"/>
          <w:sz w:val="22"/>
          <w:szCs w:val="22"/>
        </w:rPr>
        <w:t xml:space="preserve">Conformément aux dispositions de l’article L.2231-5-1 du Code du travail, les accords sont rendus publics et versés dans une base de données nationale, dont le contenu est publié en ligne dans une version ne comportant pas les noms et prénoms des négociateurs et des signataires. </w:t>
      </w:r>
    </w:p>
    <w:p>
      <w:pPr>
        <w:pStyle w:val="Normal"/>
        <w:ind w:right="-2" w:hanging="0"/>
        <w:jc w:val="both"/>
        <w:rPr>
          <w:rFonts w:ascii="Calibri" w:hAnsi="Calibri" w:cs="Tahoma"/>
          <w:sz w:val="22"/>
          <w:szCs w:val="22"/>
        </w:rPr>
      </w:pPr>
      <w:r>
        <w:rPr>
          <w:rFonts w:cs="Tahoma" w:ascii="Calibri" w:hAnsi="Calibri"/>
          <w:sz w:val="22"/>
          <w:szCs w:val="22"/>
        </w:rPr>
      </w:r>
    </w:p>
    <w:p>
      <w:pPr>
        <w:pStyle w:val="Normal"/>
        <w:ind w:right="-2" w:hanging="0"/>
        <w:jc w:val="both"/>
        <w:rPr>
          <w:rFonts w:ascii="Calibri" w:hAnsi="Calibri" w:cs="Tahoma"/>
          <w:sz w:val="22"/>
          <w:szCs w:val="22"/>
        </w:rPr>
      </w:pPr>
      <w:r>
        <w:rPr>
          <w:rFonts w:cs="Tahoma" w:ascii="Calibri" w:hAnsi="Calibri"/>
          <w:sz w:val="22"/>
          <w:szCs w:val="22"/>
        </w:rPr>
        <w:t xml:space="preserve">Une telle version sera déposée dans les conditions visées à l’article 8 du présent accord. </w:t>
      </w:r>
    </w:p>
    <w:p>
      <w:pPr>
        <w:pStyle w:val="Normal"/>
        <w:ind w:right="567" w:hanging="0"/>
        <w:jc w:val="both"/>
        <w:rPr>
          <w:rFonts w:ascii="Calibri" w:hAnsi="Calibri" w:cs="Tahoma"/>
          <w:sz w:val="20"/>
          <w:szCs w:val="22"/>
        </w:rPr>
      </w:pPr>
      <w:r>
        <w:rPr>
          <w:rFonts w:cs="Tahoma" w:ascii="Calibri" w:hAnsi="Calibri"/>
          <w:sz w:val="20"/>
          <w:szCs w:val="22"/>
        </w:rPr>
      </w:r>
    </w:p>
    <w:p>
      <w:pPr>
        <w:pStyle w:val="Style11"/>
        <w:rPr>
          <w:rFonts w:ascii="Calibri" w:hAnsi="Calibri" w:eastAsia="Calibri" w:cs="Tahoma"/>
          <w:sz w:val="20"/>
          <w:lang w:eastAsia="en-US"/>
        </w:rPr>
      </w:pPr>
      <w:r>
        <w:rPr>
          <w:rFonts w:eastAsia="Calibri" w:cs="Tahoma"/>
          <w:sz w:val="20"/>
          <w:lang w:eastAsia="en-US"/>
        </w:rPr>
      </w:r>
    </w:p>
    <w:p>
      <w:pPr>
        <w:pStyle w:val="Normal"/>
        <w:jc w:val="both"/>
        <w:rPr>
          <w:rFonts w:ascii="Calibri" w:hAnsi="Calibri" w:cs="Calibri"/>
          <w:b/>
          <w:b/>
        </w:rPr>
      </w:pPr>
      <w:r>
        <w:rPr>
          <w:rFonts w:cs="Calibri" w:ascii="Calibri" w:hAnsi="Calibri"/>
          <w:b/>
        </w:rPr>
        <w:t xml:space="preserve">Article 8. </w:t>
      </w:r>
      <w:r>
        <w:rPr>
          <w:rFonts w:cs="Calibri" w:ascii="Calibri" w:hAnsi="Calibri"/>
          <w:b/>
          <w:u w:val="single"/>
        </w:rPr>
        <w:t>Notification et Dépôt</w:t>
      </w:r>
    </w:p>
    <w:p>
      <w:pPr>
        <w:pStyle w:val="Style11"/>
        <w:ind w:right="567" w:hanging="0"/>
        <w:rPr>
          <w:rFonts w:ascii="Calibri" w:hAnsi="Calibri" w:cs="Tahoma"/>
          <w:b w:val="false"/>
          <w:b w:val="false"/>
          <w:sz w:val="16"/>
        </w:rPr>
      </w:pPr>
      <w:r>
        <w:rPr>
          <w:rFonts w:cs="Tahoma"/>
          <w:b w:val="false"/>
          <w:sz w:val="16"/>
        </w:rPr>
      </w:r>
    </w:p>
    <w:p>
      <w:pPr>
        <w:pStyle w:val="Normal"/>
        <w:ind w:right="-2" w:hanging="0"/>
        <w:jc w:val="both"/>
        <w:rPr/>
      </w:pPr>
      <w:r>
        <w:rPr>
          <w:rFonts w:cs="Tahoma" w:ascii="Calibri" w:hAnsi="Calibri"/>
          <w:sz w:val="22"/>
          <w:szCs w:val="22"/>
        </w:rPr>
        <w:t xml:space="preserve">Le présent accord sera notifié par la Société GAÏA à l’ensemble des Organisations Syndicales Représentatives, signataires ou non.  </w:t>
      </w:r>
    </w:p>
    <w:p>
      <w:pPr>
        <w:pStyle w:val="Normal"/>
        <w:ind w:right="567" w:hanging="0"/>
        <w:jc w:val="both"/>
        <w:rPr>
          <w:rFonts w:ascii="Calibri" w:hAnsi="Calibri" w:cs="Tahoma"/>
          <w:sz w:val="22"/>
          <w:szCs w:val="22"/>
        </w:rPr>
      </w:pPr>
      <w:r>
        <w:rPr>
          <w:rFonts w:cs="Tahoma" w:ascii="Calibri" w:hAnsi="Calibri"/>
          <w:sz w:val="22"/>
          <w:szCs w:val="22"/>
        </w:rPr>
      </w:r>
    </w:p>
    <w:p>
      <w:pPr>
        <w:pStyle w:val="Normal"/>
        <w:ind w:right="-2" w:hanging="0"/>
        <w:jc w:val="both"/>
        <w:rPr/>
      </w:pPr>
      <w:r>
        <w:rPr>
          <w:rFonts w:cs="Tahoma" w:ascii="Calibri" w:hAnsi="Calibri"/>
          <w:sz w:val="22"/>
          <w:szCs w:val="22"/>
        </w:rPr>
        <w:t>Conformément aux dispositions des articles D.3345-4 et D.2231-2 du Code du travail, le présent accord sera adressé par la Société GAÏA à la Direction Départementale des Entreprises, de la Concurrence, de la Consommation, du Travail et de l’Emploi (DIRECCTE) de Bordeaux</w:t>
      </w:r>
      <w:r>
        <w:rPr>
          <w:rFonts w:cs="Tahoma" w:ascii="Calibri" w:hAnsi="Calibri"/>
          <w:color w:val="0070C0"/>
          <w:sz w:val="22"/>
          <w:szCs w:val="22"/>
        </w:rPr>
        <w:t xml:space="preserve"> </w:t>
      </w:r>
      <w:r>
        <w:rPr>
          <w:rFonts w:cs="Tahoma" w:ascii="Calibri" w:hAnsi="Calibri"/>
          <w:sz w:val="22"/>
          <w:szCs w:val="22"/>
        </w:rPr>
        <w:t>:</w:t>
      </w:r>
    </w:p>
    <w:p>
      <w:pPr>
        <w:pStyle w:val="Normal"/>
        <w:ind w:right="-2" w:hanging="0"/>
        <w:jc w:val="both"/>
        <w:rPr>
          <w:rFonts w:ascii="Calibri" w:hAnsi="Calibri" w:cs="Tahoma"/>
          <w:sz w:val="22"/>
          <w:szCs w:val="22"/>
        </w:rPr>
      </w:pPr>
      <w:r>
        <w:rPr>
          <w:rFonts w:cs="Tahoma" w:ascii="Calibri" w:hAnsi="Calibri"/>
          <w:sz w:val="22"/>
          <w:szCs w:val="22"/>
        </w:rPr>
      </w:r>
    </w:p>
    <w:p>
      <w:pPr>
        <w:pStyle w:val="Normal"/>
        <w:numPr>
          <w:ilvl w:val="0"/>
          <w:numId w:val="4"/>
        </w:numPr>
        <w:ind w:left="720" w:right="-2" w:hanging="360"/>
        <w:jc w:val="both"/>
        <w:rPr>
          <w:rFonts w:ascii="Calibri" w:hAnsi="Calibri" w:cs="Tahoma"/>
          <w:sz w:val="22"/>
          <w:szCs w:val="22"/>
        </w:rPr>
      </w:pPr>
      <w:r>
        <w:rPr>
          <w:rFonts w:cs="Tahoma" w:ascii="Calibri" w:hAnsi="Calibri"/>
          <w:sz w:val="22"/>
          <w:szCs w:val="22"/>
        </w:rPr>
        <w:t>une version électronique déposée sur la plateforme de télé-procédure,</w:t>
      </w:r>
    </w:p>
    <w:p>
      <w:pPr>
        <w:pStyle w:val="Normal"/>
        <w:ind w:left="720" w:right="-2" w:hanging="0"/>
        <w:jc w:val="both"/>
        <w:rPr>
          <w:rFonts w:ascii="Calibri" w:hAnsi="Calibri" w:cs="Tahoma"/>
          <w:sz w:val="22"/>
          <w:szCs w:val="22"/>
        </w:rPr>
      </w:pPr>
      <w:r>
        <w:rPr>
          <w:rFonts w:cs="Tahoma" w:ascii="Calibri" w:hAnsi="Calibri"/>
          <w:sz w:val="22"/>
          <w:szCs w:val="22"/>
        </w:rPr>
      </w:r>
    </w:p>
    <w:p>
      <w:pPr>
        <w:pStyle w:val="Normal"/>
        <w:numPr>
          <w:ilvl w:val="0"/>
          <w:numId w:val="4"/>
        </w:numPr>
        <w:ind w:left="720" w:right="-2" w:hanging="360"/>
        <w:jc w:val="both"/>
        <w:rPr>
          <w:rFonts w:ascii="Calibri" w:hAnsi="Calibri" w:cs="Tahoma"/>
          <w:sz w:val="22"/>
          <w:szCs w:val="22"/>
        </w:rPr>
      </w:pPr>
      <w:r>
        <w:rPr>
          <w:rFonts w:cs="Tahoma" w:ascii="Calibri" w:hAnsi="Calibri"/>
          <w:sz w:val="22"/>
          <w:szCs w:val="22"/>
        </w:rPr>
        <w:t xml:space="preserve">une version anonymisée du présent accord pour la publication de celui-ci dans la base de données nationale. </w:t>
      </w:r>
    </w:p>
    <w:p>
      <w:pPr>
        <w:pStyle w:val="Normal"/>
        <w:ind w:right="-2" w:hanging="0"/>
        <w:jc w:val="both"/>
        <w:rPr>
          <w:rFonts w:ascii="Calibri" w:hAnsi="Calibri" w:cs="Tahoma"/>
          <w:sz w:val="22"/>
          <w:szCs w:val="22"/>
        </w:rPr>
      </w:pPr>
      <w:r>
        <w:rPr>
          <w:rFonts w:cs="Tahoma" w:ascii="Calibri" w:hAnsi="Calibri"/>
          <w:sz w:val="22"/>
          <w:szCs w:val="22"/>
        </w:rPr>
      </w:r>
    </w:p>
    <w:p>
      <w:pPr>
        <w:pStyle w:val="Normal"/>
        <w:ind w:right="-2" w:hanging="0"/>
        <w:jc w:val="both"/>
        <w:rPr>
          <w:rFonts w:ascii="Calibri" w:hAnsi="Calibri" w:cs="Tahoma"/>
          <w:sz w:val="22"/>
          <w:szCs w:val="22"/>
        </w:rPr>
      </w:pPr>
      <w:r>
        <w:rPr>
          <w:rFonts w:cs="Tahoma" w:ascii="Calibri" w:hAnsi="Calibri"/>
          <w:sz w:val="22"/>
          <w:szCs w:val="22"/>
        </w:rPr>
        <w:t>La Société remettra également un exemplaire du présent accord au greffe-secrétariat du Conseil de prud’hommes de Bordeaux</w:t>
      </w:r>
      <w:r>
        <w:rPr>
          <w:rFonts w:cs="Tahoma" w:ascii="Calibri" w:hAnsi="Calibri"/>
          <w:color w:val="0070C0"/>
          <w:sz w:val="22"/>
          <w:szCs w:val="22"/>
        </w:rPr>
        <w:t xml:space="preserve">. </w:t>
      </w:r>
    </w:p>
    <w:p>
      <w:pPr>
        <w:pStyle w:val="Normal"/>
        <w:jc w:val="both"/>
        <w:rPr>
          <w:rFonts w:ascii="Calibri" w:hAnsi="Calibri" w:cs="Calibri"/>
          <w:sz w:val="22"/>
          <w:szCs w:val="22"/>
        </w:rPr>
      </w:pPr>
      <w:r>
        <w:rPr>
          <w:rFonts w:cs="Calibri" w:ascii="Calibri" w:hAnsi="Calibri"/>
          <w:sz w:val="22"/>
          <w:szCs w:val="22"/>
        </w:rPr>
      </w:r>
    </w:p>
    <w:p>
      <w:pPr>
        <w:pStyle w:val="Normal"/>
        <w:jc w:val="both"/>
        <w:rPr>
          <w:rFonts w:ascii="Calibri" w:hAnsi="Calibri" w:cs="Calibri"/>
          <w:sz w:val="22"/>
          <w:szCs w:val="22"/>
        </w:rPr>
      </w:pPr>
      <w:r>
        <w:rPr>
          <w:rFonts w:cs="Calibri" w:ascii="Calibri" w:hAnsi="Calibri"/>
          <w:sz w:val="22"/>
          <w:szCs w:val="22"/>
        </w:rPr>
      </w:r>
    </w:p>
    <w:p>
      <w:pPr>
        <w:pStyle w:val="Normal"/>
        <w:tabs>
          <w:tab w:val="left" w:pos="426" w:leader="none"/>
          <w:tab w:val="left" w:pos="2552" w:leader="none"/>
          <w:tab w:val="left" w:pos="2977" w:leader="none"/>
          <w:tab w:val="left" w:pos="3402" w:leader="none"/>
        </w:tabs>
        <w:jc w:val="both"/>
        <w:rPr>
          <w:rFonts w:ascii="Calibri" w:hAnsi="Calibri" w:cs="Calibri"/>
        </w:rPr>
      </w:pPr>
      <w:r>
        <w:rPr>
          <w:rFonts w:cs="Calibri" w:ascii="Calibri" w:hAnsi="Calibri"/>
        </w:rPr>
      </w:r>
    </w:p>
    <w:p>
      <w:pPr>
        <w:pStyle w:val="Normal"/>
        <w:rPr>
          <w:rFonts w:ascii="Calibri" w:hAnsi="Calibri" w:cs="Calibri"/>
          <w:sz w:val="22"/>
        </w:rPr>
      </w:pPr>
      <w:r>
        <w:rPr>
          <w:rFonts w:cs="Calibri" w:ascii="Calibri" w:hAnsi="Calibri"/>
          <w:sz w:val="22"/>
        </w:rPr>
        <w:t>Fait à Mérignac, le 10 juillet 2019, en 4 exemplaires</w:t>
      </w:r>
    </w:p>
    <w:p>
      <w:pPr>
        <w:pStyle w:val="Normal"/>
        <w:rPr>
          <w:rFonts w:ascii="Calibri" w:hAnsi="Calibri" w:cs="Calibri"/>
          <w:sz w:val="22"/>
        </w:rPr>
      </w:pPr>
      <w:r>
        <w:rPr>
          <w:rFonts w:cs="Calibri" w:ascii="Calibri" w:hAnsi="Calibri"/>
          <w:sz w:val="22"/>
        </w:rPr>
      </w:r>
    </w:p>
    <w:p>
      <w:pPr>
        <w:pStyle w:val="Normal"/>
        <w:rPr>
          <w:rFonts w:ascii="Calibri" w:hAnsi="Calibri" w:cs="Calibri"/>
          <w:sz w:val="22"/>
        </w:rPr>
      </w:pPr>
      <w:r>
        <w:rPr>
          <w:rFonts w:cs="Calibri" w:ascii="Calibri" w:hAnsi="Calibri"/>
          <w:sz w:val="22"/>
        </w:rPr>
      </w:r>
    </w:p>
    <w:p>
      <w:pPr>
        <w:pStyle w:val="Normal"/>
        <w:rPr>
          <w:rFonts w:ascii="Calibri" w:hAnsi="Calibri" w:cs="Calibri"/>
          <w:sz w:val="22"/>
        </w:rPr>
      </w:pPr>
      <w:r>
        <w:rPr>
          <w:rFonts w:cs="Calibri" w:ascii="Calibri" w:hAnsi="Calibri"/>
          <w:sz w:val="22"/>
        </w:rPr>
      </w:r>
    </w:p>
    <w:p>
      <w:pPr>
        <w:pStyle w:val="Sansinterligne"/>
        <w:jc w:val="both"/>
        <w:rPr>
          <w:b/>
          <w:b/>
        </w:rPr>
      </w:pPr>
      <w:r>
        <w:rPr>
          <w:b/>
        </w:rPr>
        <w:t>Pour les Organisations Syndicales :</w:t>
        <w:tab/>
        <w:tab/>
        <w:tab/>
        <w:t>Pour la société GAÏA :</w:t>
      </w:r>
    </w:p>
    <w:p>
      <w:pPr>
        <w:pStyle w:val="Sansinterligne"/>
        <w:jc w:val="both"/>
        <w:rPr>
          <w:b/>
          <w:b/>
        </w:rPr>
      </w:pPr>
      <w:r>
        <w:rPr>
          <w:b/>
        </w:rPr>
      </w:r>
    </w:p>
    <w:p>
      <w:pPr>
        <w:pStyle w:val="Sansinterligne"/>
        <w:jc w:val="both"/>
        <w:rPr/>
      </w:pPr>
      <w:r>
        <w:rPr/>
        <w:t>CFTC</w:t>
        <w:tab/>
        <w:tab/>
        <w:tab/>
        <w:tab/>
        <w:tab/>
        <w:tab/>
        <w:tab/>
        <w:t>Le Directeur des Ressources Humaines</w:t>
      </w:r>
    </w:p>
    <w:p>
      <w:pPr>
        <w:pStyle w:val="Sansinterligne"/>
        <w:jc w:val="both"/>
        <w:rPr/>
      </w:pPr>
      <w:r>
        <w:rPr/>
        <w:t>XXXXX</w:t>
        <w:tab/>
        <w:tab/>
        <w:tab/>
        <w:tab/>
        <w:tab/>
        <w:tab/>
        <w:tab/>
        <w:t>XXXXX</w:t>
        <w:tab/>
        <w:tab/>
        <w:tab/>
        <w:tab/>
        <w:tab/>
      </w:r>
    </w:p>
    <w:p>
      <w:pPr>
        <w:pStyle w:val="Sansinterligne"/>
        <w:jc w:val="both"/>
        <w:rPr/>
      </w:pPr>
      <w:r>
        <w:rPr/>
      </w:r>
    </w:p>
    <w:p>
      <w:pPr>
        <w:pStyle w:val="Sansinterligne"/>
        <w:jc w:val="both"/>
        <w:rPr/>
      </w:pPr>
      <w:r>
        <w:rPr/>
      </w:r>
    </w:p>
    <w:p>
      <w:pPr>
        <w:pStyle w:val="Sansinterligne"/>
        <w:jc w:val="both"/>
        <w:rPr/>
      </w:pPr>
      <w:r>
        <w:rPr/>
      </w:r>
    </w:p>
    <w:p>
      <w:pPr>
        <w:pStyle w:val="Sansinterligne"/>
        <w:jc w:val="both"/>
        <w:rPr>
          <w:rFonts w:cs="Calibri"/>
        </w:rPr>
      </w:pPr>
      <w:r>
        <w:rPr/>
        <w:tab/>
        <w:t xml:space="preserve">          </w:t>
        <w:tab/>
        <w:tab/>
        <w:tab/>
        <w:tab/>
      </w:r>
    </w:p>
    <w:sectPr>
      <w:headerReference w:type="default" r:id="rId2"/>
      <w:footerReference w:type="default" r:id="rId3"/>
      <w:type w:val="nextPage"/>
      <w:pgSz w:w="11906" w:h="16838"/>
      <w:pgMar w:left="1418" w:right="1418" w:header="709" w:top="851" w:footer="431" w:bottom="1077" w:gutter="0"/>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Garamond">
    <w:charset w:val="00"/>
    <w:family w:val="roman"/>
    <w:pitch w:val="variable"/>
  </w:font>
  <w:font w:name="Courier New">
    <w:charset w:val="00"/>
    <w:family w:val="modern"/>
    <w:pitch w:val="default"/>
  </w:font>
  <w:font w:name="Wingdings">
    <w:charset w:val="02"/>
    <w:family w:val="auto"/>
    <w:pitch w:val="variable"/>
  </w:font>
  <w:font w:name="Symbol">
    <w:charset w:val="01"/>
    <w:family w:val="roman"/>
    <w:pitch w:val="variable"/>
  </w:font>
  <w:font w:name="Calibri">
    <w:charset w:val="00"/>
    <w:family w:val="swiss"/>
    <w:pitch w:val="variable"/>
  </w:font>
  <w:font w:name="Liberation Sans">
    <w:altName w:val="Arial"/>
    <w:charset w:val="01"/>
    <w:family w:val="swiss"/>
    <w:pitch w:val="variable"/>
  </w:font>
  <w:font w:name="Tahoma">
    <w:charset w:val="00"/>
    <w:family w:val="swiss"/>
    <w:pitch w:val="variable"/>
  </w:font>
  <w:font w:name="Britannic Bold">
    <w:charset w:val="00"/>
    <w:family w:val="swiss"/>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rPr>
        <w:sz w:val="18"/>
        <w:szCs w:val="20"/>
      </w:rPr>
    </w:pPr>
    <w:r>
      <w:rPr>
        <w:sz w:val="18"/>
        <w:szCs w:val="20"/>
      </w:rPr>
    </w:r>
  </w:p>
  <w:p>
    <w:pPr>
      <w:pStyle w:val="Footer"/>
      <w:rPr>
        <w:sz w:val="18"/>
        <w:szCs w:val="20"/>
      </w:rPr>
    </w:pPr>
    <w:r>
      <w:rPr>
        <w:sz w:val="18"/>
        <w:szCs w:val="20"/>
      </w:rPr>
      <w:t>____________________________________________________________________________________________________</w:t>
    </w:r>
  </w:p>
  <w:p>
    <w:pPr>
      <w:pStyle w:val="Footer"/>
      <w:rPr>
        <w:sz w:val="18"/>
        <w:szCs w:val="20"/>
      </w:rPr>
    </w:pPr>
    <w:r>
      <w:rPr>
        <w:sz w:val="18"/>
        <w:szCs w:val="20"/>
      </w:rPr>
      <w:t>Accord d’entreprise relatif à la mise en place du travail dominical à titre exceptionnel</w:t>
      <w:tab/>
      <w:t xml:space="preserve"> </w:t>
    </w:r>
    <w:r>
      <w:rPr>
        <w:bCs/>
        <w:sz w:val="18"/>
        <w:szCs w:val="20"/>
      </w:rPr>
      <w:fldChar w:fldCharType="begin"/>
    </w:r>
    <w:r>
      <w:instrText> PAGE </w:instrText>
    </w:r>
    <w:r>
      <w:fldChar w:fldCharType="separate"/>
    </w:r>
    <w:r>
      <w:t>4</w:t>
    </w:r>
    <w:r>
      <w:fldChar w:fldCharType="end"/>
    </w:r>
    <w:r>
      <w:rPr>
        <w:sz w:val="18"/>
        <w:szCs w:val="20"/>
      </w:rPr>
      <w:t xml:space="preserve"> / </w:t>
    </w:r>
    <w:r>
      <w:rPr>
        <w:bCs/>
        <w:sz w:val="18"/>
        <w:szCs w:val="20"/>
      </w:rPr>
      <w:fldChar w:fldCharType="begin"/>
    </w:r>
    <w:r>
      <w:instrText> NUMPAGES \* ARABIC </w:instrText>
    </w:r>
    <w:r>
      <w:fldChar w:fldCharType="separate"/>
    </w:r>
    <w:r>
      <w:t>4</w:t>
    </w:r>
    <w:r>
      <w:fldChar w:fldCharType="end"/>
    </w:r>
  </w:p>
  <w:p>
    <w:pPr>
      <w:pStyle w:val="Footer"/>
      <w:rPr>
        <w:sz w:val="18"/>
        <w:szCs w:val="20"/>
        <w:u w:val="single"/>
      </w:rPr>
    </w:pPr>
    <w:r>
      <w:rPr>
        <w:sz w:val="18"/>
        <w:szCs w:val="20"/>
        <w:u w:val="single"/>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ind w:left="426" w:hanging="0"/>
      <w:rPr>
        <w:lang w:val="en-GB" w:eastAsia="en-GB"/>
      </w:rPr>
    </w:pPr>
    <w:r>
      <w:rPr>
        <w:lang w:val="en-GB" w:eastAsia="en-GB"/>
      </w:rPr>
      <w:drawing>
        <wp:anchor behindDoc="1" distT="0" distB="0" distL="114935" distR="114935" simplePos="0" locked="0" layoutInCell="1" allowOverlap="1" relativeHeight="5">
          <wp:simplePos x="0" y="0"/>
          <wp:positionH relativeFrom="margin">
            <wp:posOffset>-452755</wp:posOffset>
          </wp:positionH>
          <wp:positionV relativeFrom="paragraph">
            <wp:posOffset>-257810</wp:posOffset>
          </wp:positionV>
          <wp:extent cx="1129030" cy="466090"/>
          <wp:effectExtent l="0" t="0" r="0" b="0"/>
          <wp:wrapNone/>
          <wp:docPr id="1" name="Image 5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55" descr=""/>
                  <pic:cNvPicPr>
                    <a:picLocks noChangeAspect="1" noChangeArrowheads="1"/>
                  </pic:cNvPicPr>
                </pic:nvPicPr>
                <pic:blipFill>
                  <a:blip r:embed="rId1"/>
                  <a:stretch>
                    <a:fillRect/>
                  </a:stretch>
                </pic:blipFill>
                <pic:spPr bwMode="auto">
                  <a:xfrm>
                    <a:off x="0" y="0"/>
                    <a:ext cx="1129030" cy="466090"/>
                  </a:xfrm>
                  <a:prstGeom prst="rect">
                    <a:avLst/>
                  </a:prstGeom>
                </pic:spPr>
              </pic:pic>
            </a:graphicData>
          </a:graphic>
        </wp:anchor>
      </w:drawing>
    </w:r>
  </w:p>
  <w:p>
    <w:pPr>
      <w:pStyle w:val="Header"/>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lvl w:ilvl="0">
      <w:numFmt w:val="bullet"/>
      <w:lvlText w:val="-"/>
      <w:lvlJc w:val="left"/>
      <w:pPr>
        <w:tabs>
          <w:tab w:val="num" w:pos="720"/>
        </w:tabs>
        <w:ind w:left="720" w:hanging="360"/>
      </w:pPr>
      <w:rPr>
        <w:rFonts w:ascii="Times New Roman" w:hAnsi="Times New Roman" w:cs="Times New Roman" w:hint="default"/>
        <w:sz w:val="22"/>
        <w:rFonts w:cs="Times New Roman"/>
        <w:color w:val="000000"/>
      </w:rPr>
    </w:lvl>
  </w:abstractNum>
  <w:abstractNum w:abstractNumId="3">
    <w:lvl w:ilvl="0">
      <w:start w:val="1"/>
      <w:numFmt w:val="none"/>
      <w:suff w:val="nothing"/>
      <w:lvlText w:val="I."/>
      <w:lvlJc w:val="left"/>
      <w:pPr>
        <w:tabs>
          <w:tab w:val="num" w:pos="720"/>
        </w:tabs>
        <w:ind w:left="720" w:hanging="360"/>
      </w:pPr>
      <w:rPr>
        <w:sz w:val="26"/>
        <w:szCs w:val="26"/>
        <w:color w:val="008080"/>
      </w:rPr>
    </w:lvl>
    <w:lvl w:ilvl="1">
      <w:start w:val="1"/>
      <w:numFmt w:val="decimal"/>
      <w:lvlText w:val="%2."/>
      <w:lvlJc w:val="left"/>
      <w:pPr>
        <w:tabs>
          <w:tab w:val="num" w:pos="1152"/>
        </w:tabs>
        <w:ind w:left="1152" w:hanging="432"/>
      </w:pPr>
      <w:rPr>
        <w:sz w:val="28"/>
        <w:i/>
        <w:b/>
        <w:szCs w:val="28"/>
      </w:rPr>
    </w:lvl>
    <w:lvl w:ilvl="2">
      <w:start w:val="1"/>
      <w:numFmt w:val="decimal"/>
      <w:lvlText w:val=".%2.%3."/>
      <w:lvlJc w:val="left"/>
      <w:pPr>
        <w:tabs>
          <w:tab w:val="num" w:pos="1800"/>
        </w:tabs>
        <w:ind w:left="1584" w:hanging="504"/>
      </w:pPr>
      <w:rPr/>
    </w:lvl>
    <w:lvl w:ilvl="3">
      <w:start w:val="1"/>
      <w:numFmt w:val="decimal"/>
      <w:lvlText w:val=".%2.%3.%4."/>
      <w:lvlJc w:val="left"/>
      <w:pPr>
        <w:tabs>
          <w:tab w:val="num" w:pos="2520"/>
        </w:tabs>
        <w:ind w:left="2088" w:hanging="648"/>
      </w:pPr>
      <w:rPr/>
    </w:lvl>
    <w:lvl w:ilvl="4">
      <w:start w:val="1"/>
      <w:numFmt w:val="decimal"/>
      <w:lvlText w:val=".%2.%3.%4.%5."/>
      <w:lvlJc w:val="left"/>
      <w:pPr>
        <w:tabs>
          <w:tab w:val="num" w:pos="2880"/>
        </w:tabs>
        <w:ind w:left="2592" w:hanging="792"/>
      </w:pPr>
      <w:rPr/>
    </w:lvl>
    <w:lvl w:ilvl="5">
      <w:start w:val="1"/>
      <w:numFmt w:val="decimal"/>
      <w:lvlText w:val=".%2.%3.%4.%5.%6."/>
      <w:lvlJc w:val="left"/>
      <w:pPr>
        <w:tabs>
          <w:tab w:val="num" w:pos="3600"/>
        </w:tabs>
        <w:ind w:left="3096" w:hanging="936"/>
      </w:pPr>
      <w:rPr/>
    </w:lvl>
    <w:lvl w:ilvl="6">
      <w:start w:val="1"/>
      <w:numFmt w:val="decimal"/>
      <w:lvlText w:val=".%2.%3.%4.%5.%6.%7."/>
      <w:lvlJc w:val="left"/>
      <w:pPr>
        <w:tabs>
          <w:tab w:val="num" w:pos="3960"/>
        </w:tabs>
        <w:ind w:left="3600" w:hanging="1080"/>
      </w:pPr>
      <w:rPr/>
    </w:lvl>
    <w:lvl w:ilvl="7">
      <w:start w:val="1"/>
      <w:numFmt w:val="decimal"/>
      <w:lvlText w:val=".%2.%3.%4.%5.%6.%7.%8."/>
      <w:lvlJc w:val="left"/>
      <w:pPr>
        <w:tabs>
          <w:tab w:val="num" w:pos="4680"/>
        </w:tabs>
        <w:ind w:left="4104" w:hanging="1224"/>
      </w:pPr>
      <w:rPr/>
    </w:lvl>
    <w:lvl w:ilvl="8">
      <w:start w:val="1"/>
      <w:numFmt w:val="decimal"/>
      <w:lvlText w:val=".%2.%3.%4.%5.%6.%7.%8.%9."/>
      <w:lvlJc w:val="left"/>
      <w:pPr>
        <w:tabs>
          <w:tab w:val="num" w:pos="5040"/>
        </w:tabs>
        <w:ind w:left="4680" w:hanging="1440"/>
      </w:pPr>
      <w:rPr/>
    </w:lvl>
  </w:abstractNum>
  <w:abstractNum w:abstractNumId="4">
    <w:lvl w:ilvl="0">
      <w:start w:val="1"/>
      <w:numFmt w:val="bullet"/>
      <w:lvlText w:val="-"/>
      <w:lvlJc w:val="left"/>
      <w:pPr>
        <w:ind w:left="720" w:hanging="360"/>
      </w:pPr>
      <w:rPr>
        <w:rFonts w:ascii="Calibri" w:hAnsi="Calibri" w:cs="Calibri" w:hint="default"/>
        <w:rFonts w:cs="Calibri"/>
      </w:rPr>
    </w:lvl>
  </w:abstractNum>
  <w:abstractNum w:abstractNumId="5">
    <w:lvl w:ilvl="0">
      <w:start w:val="1"/>
      <w:numFmt w:val="decimal"/>
      <w:lvlText w:val="4.%1."/>
      <w:lvlJc w:val="left"/>
      <w:pPr>
        <w:ind w:left="786" w:hanging="360"/>
      </w:pPr>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w="http://schemas.openxmlformats.org/wordprocessingml/2006/main">
  <w:zoom w:percent="100"/>
  <w:displayBackgroundShape/>
  <w:defaultTabStop w:val="708"/>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DejaVu Sans" w:cs="DejaVu Sans"/>
        <w:szCs w:val="24"/>
        <w:lang w:val="en-GB" w:eastAsia="zh-CN" w:bidi="hi-IN"/>
      </w:rPr>
    </w:rPrDefault>
    <w:pPrDefault>
      <w:pPr/>
    </w:pPrDefault>
  </w:docDefaults>
  <w:style w:type="paragraph" w:styleId="Normal">
    <w:name w:val="Normal"/>
    <w:qFormat/>
    <w:pPr>
      <w:widowControl/>
      <w:bidi w:val="0"/>
    </w:pPr>
    <w:rPr>
      <w:rFonts w:ascii="Times New Roman" w:hAnsi="Times New Roman" w:eastAsia="Times New Roman" w:cs="Times New Roman"/>
      <w:color w:val="auto"/>
      <w:sz w:val="24"/>
      <w:szCs w:val="24"/>
      <w:lang w:val="fr-FR" w:bidi="ar-SA" w:eastAsia="zh-CN"/>
    </w:rPr>
  </w:style>
  <w:style w:type="paragraph" w:styleId="Heading1">
    <w:name w:val="Heading 1"/>
    <w:basedOn w:val="Normal"/>
    <w:next w:val="Normal"/>
    <w:qFormat/>
    <w:pPr>
      <w:keepNext/>
      <w:numPr>
        <w:ilvl w:val="0"/>
        <w:numId w:val="1"/>
      </w:numPr>
      <w:spacing w:before="240" w:after="60"/>
      <w:outlineLvl w:val="0"/>
      <w:outlineLvl w:val="0"/>
    </w:pPr>
    <w:rPr>
      <w:rFonts w:ascii="Arial" w:hAnsi="Arial" w:cs="Arial"/>
      <w:b/>
      <w:bCs/>
      <w:sz w:val="32"/>
      <w:szCs w:val="32"/>
    </w:rPr>
  </w:style>
  <w:style w:type="paragraph" w:styleId="Heading2">
    <w:name w:val="Heading 2"/>
    <w:basedOn w:val="Normal"/>
    <w:next w:val="Normal"/>
    <w:qFormat/>
    <w:pPr>
      <w:keepNext/>
      <w:numPr>
        <w:ilvl w:val="1"/>
        <w:numId w:val="1"/>
      </w:numPr>
      <w:pBdr>
        <w:top w:val="double" w:sz="4" w:space="10" w:color="000000"/>
        <w:left w:val="double" w:sz="4" w:space="4" w:color="000000"/>
        <w:bottom w:val="double" w:sz="4" w:space="10" w:color="000000"/>
        <w:right w:val="double" w:sz="4" w:space="4" w:color="000000"/>
      </w:pBdr>
      <w:spacing w:before="0" w:after="160"/>
      <w:jc w:val="center"/>
      <w:outlineLvl w:val="1"/>
      <w:outlineLvl w:val="1"/>
    </w:pPr>
    <w:rPr>
      <w:rFonts w:ascii="Garamond" w:hAnsi="Garamond" w:cs="Garamond"/>
      <w:b/>
      <w:spacing w:val="30"/>
      <w:sz w:val="28"/>
      <w:szCs w:val="28"/>
    </w:rPr>
  </w:style>
  <w:style w:type="paragraph" w:styleId="Heading3">
    <w:name w:val="Heading 3"/>
    <w:basedOn w:val="Normal"/>
    <w:next w:val="Normal"/>
    <w:qFormat/>
    <w:pPr>
      <w:keepNext/>
      <w:numPr>
        <w:ilvl w:val="2"/>
        <w:numId w:val="1"/>
      </w:numPr>
      <w:jc w:val="both"/>
      <w:outlineLvl w:val="2"/>
      <w:outlineLvl w:val="2"/>
    </w:pPr>
    <w:rPr>
      <w:rFonts w:ascii="Garamond" w:hAnsi="Garamond" w:cs="Garamond"/>
      <w:b/>
      <w:u w:val="single"/>
    </w:rPr>
  </w:style>
  <w:style w:type="paragraph" w:styleId="Heading4">
    <w:name w:val="Heading 4"/>
    <w:basedOn w:val="Normal"/>
    <w:next w:val="Normal"/>
    <w:qFormat/>
    <w:pPr>
      <w:keepNext/>
      <w:numPr>
        <w:ilvl w:val="3"/>
        <w:numId w:val="1"/>
      </w:numPr>
      <w:spacing w:before="240" w:after="60"/>
      <w:outlineLvl w:val="3"/>
      <w:outlineLvl w:val="3"/>
    </w:pPr>
    <w:rPr>
      <w:b/>
      <w:bCs/>
      <w:sz w:val="28"/>
      <w:szCs w:val="28"/>
    </w:rPr>
  </w:style>
  <w:style w:type="paragraph" w:styleId="Heading5">
    <w:name w:val="Heading 5"/>
    <w:basedOn w:val="Normal"/>
    <w:next w:val="Normal"/>
    <w:qFormat/>
    <w:pPr>
      <w:keepNext/>
      <w:numPr>
        <w:ilvl w:val="4"/>
        <w:numId w:val="1"/>
      </w:numPr>
      <w:tabs>
        <w:tab w:val="center" w:pos="1985" w:leader="none"/>
        <w:tab w:val="left" w:pos="4536" w:leader="none"/>
        <w:tab w:val="left" w:pos="5954" w:leader="none"/>
      </w:tabs>
      <w:jc w:val="center"/>
      <w:outlineLvl w:val="4"/>
      <w:outlineLvl w:val="4"/>
    </w:pPr>
    <w:rPr>
      <w:rFonts w:ascii="Garamond" w:hAnsi="Garamond" w:cs="Garamond"/>
      <w:b/>
      <w:spacing w:val="20"/>
      <w:u w:val="single"/>
    </w:rPr>
  </w:style>
  <w:style w:type="character" w:styleId="WW8Num1z0">
    <w:name w:val="WW8Num1z0"/>
    <w:qFormat/>
    <w:rPr/>
  </w:style>
  <w:style w:type="character" w:styleId="WW8Num1z1">
    <w:name w:val="WW8Num1z1"/>
    <w:qFormat/>
    <w:rPr/>
  </w:style>
  <w:style w:type="character" w:styleId="WW8Num1z2">
    <w:name w:val="WW8Num1z2"/>
    <w:qFormat/>
    <w:rPr/>
  </w:style>
  <w:style w:type="character" w:styleId="WW8Num1z3">
    <w:name w:val="WW8Num1z3"/>
    <w:qFormat/>
    <w:rPr/>
  </w:style>
  <w:style w:type="character" w:styleId="WW8Num1z4">
    <w:name w:val="WW8Num1z4"/>
    <w:qFormat/>
    <w:rPr/>
  </w:style>
  <w:style w:type="character" w:styleId="WW8Num1z5">
    <w:name w:val="WW8Num1z5"/>
    <w:qFormat/>
    <w:rPr/>
  </w:style>
  <w:style w:type="character" w:styleId="WW8Num1z6">
    <w:name w:val="WW8Num1z6"/>
    <w:qFormat/>
    <w:rPr/>
  </w:style>
  <w:style w:type="character" w:styleId="WW8Num1z7">
    <w:name w:val="WW8Num1z7"/>
    <w:qFormat/>
    <w:rPr/>
  </w:style>
  <w:style w:type="character" w:styleId="WW8Num1z8">
    <w:name w:val="WW8Num1z8"/>
    <w:qFormat/>
    <w:rPr/>
  </w:style>
  <w:style w:type="character" w:styleId="WW8Num2z0">
    <w:name w:val="WW8Num2z0"/>
    <w:qFormat/>
    <w:rPr/>
  </w:style>
  <w:style w:type="character" w:styleId="WW8Num2z1">
    <w:name w:val="WW8Num2z1"/>
    <w:qFormat/>
    <w:rPr/>
  </w:style>
  <w:style w:type="character" w:styleId="WW8Num2z2">
    <w:name w:val="WW8Num2z2"/>
    <w:qFormat/>
    <w:rPr/>
  </w:style>
  <w:style w:type="character" w:styleId="WW8Num2z3">
    <w:name w:val="WW8Num2z3"/>
    <w:qFormat/>
    <w:rPr/>
  </w:style>
  <w:style w:type="character" w:styleId="WW8Num2z4">
    <w:name w:val="WW8Num2z4"/>
    <w:qFormat/>
    <w:rPr/>
  </w:style>
  <w:style w:type="character" w:styleId="WW8Num2z5">
    <w:name w:val="WW8Num2z5"/>
    <w:qFormat/>
    <w:rPr/>
  </w:style>
  <w:style w:type="character" w:styleId="WW8Num2z6">
    <w:name w:val="WW8Num2z6"/>
    <w:qFormat/>
    <w:rPr/>
  </w:style>
  <w:style w:type="character" w:styleId="WW8Num2z7">
    <w:name w:val="WW8Num2z7"/>
    <w:qFormat/>
    <w:rPr/>
  </w:style>
  <w:style w:type="character" w:styleId="WW8Num2z8">
    <w:name w:val="WW8Num2z8"/>
    <w:qFormat/>
    <w:rPr/>
  </w:style>
  <w:style w:type="character" w:styleId="WW8Num3z0">
    <w:name w:val="WW8Num3z0"/>
    <w:qFormat/>
    <w:rPr>
      <w:rFonts w:ascii="Arial" w:hAnsi="Arial" w:cs="Arial"/>
      <w:sz w:val="39"/>
    </w:rPr>
  </w:style>
  <w:style w:type="character" w:styleId="WW8Num3z1">
    <w:name w:val="WW8Num3z1"/>
    <w:qFormat/>
    <w:rPr>
      <w:rFonts w:ascii="Courier New" w:hAnsi="Courier New" w:cs="Courier New"/>
    </w:rPr>
  </w:style>
  <w:style w:type="character" w:styleId="WW8Num3z2">
    <w:name w:val="WW8Num3z2"/>
    <w:qFormat/>
    <w:rPr>
      <w:rFonts w:ascii="Wingdings" w:hAnsi="Wingdings" w:cs="Wingdings"/>
    </w:rPr>
  </w:style>
  <w:style w:type="character" w:styleId="WW8Num3z3">
    <w:name w:val="WW8Num3z3"/>
    <w:qFormat/>
    <w:rPr>
      <w:rFonts w:ascii="Symbol" w:hAnsi="Symbol" w:cs="Symbol"/>
    </w:rPr>
  </w:style>
  <w:style w:type="character" w:styleId="WW8Num4z0">
    <w:name w:val="WW8Num4z0"/>
    <w:qFormat/>
    <w:rPr/>
  </w:style>
  <w:style w:type="character" w:styleId="WW8Num4z1">
    <w:name w:val="WW8Num4z1"/>
    <w:qFormat/>
    <w:rPr/>
  </w:style>
  <w:style w:type="character" w:styleId="WW8Num4z2">
    <w:name w:val="WW8Num4z2"/>
    <w:qFormat/>
    <w:rPr/>
  </w:style>
  <w:style w:type="character" w:styleId="WW8Num4z3">
    <w:name w:val="WW8Num4z3"/>
    <w:qFormat/>
    <w:rPr/>
  </w:style>
  <w:style w:type="character" w:styleId="WW8Num4z4">
    <w:name w:val="WW8Num4z4"/>
    <w:qFormat/>
    <w:rPr/>
  </w:style>
  <w:style w:type="character" w:styleId="WW8Num4z5">
    <w:name w:val="WW8Num4z5"/>
    <w:qFormat/>
    <w:rPr/>
  </w:style>
  <w:style w:type="character" w:styleId="WW8Num4z6">
    <w:name w:val="WW8Num4z6"/>
    <w:qFormat/>
    <w:rPr/>
  </w:style>
  <w:style w:type="character" w:styleId="WW8Num4z7">
    <w:name w:val="WW8Num4z7"/>
    <w:qFormat/>
    <w:rPr/>
  </w:style>
  <w:style w:type="character" w:styleId="WW8Num4z8">
    <w:name w:val="WW8Num4z8"/>
    <w:qFormat/>
    <w:rPr/>
  </w:style>
  <w:style w:type="character" w:styleId="WW8Num5z0">
    <w:name w:val="WW8Num5z0"/>
    <w:qFormat/>
    <w:rPr>
      <w:rFonts w:ascii="Times New Roman" w:hAnsi="Times New Roman" w:eastAsia="Times New Roman" w:cs="Times New Roman"/>
      <w:color w:val="000000"/>
      <w:sz w:val="22"/>
    </w:rPr>
  </w:style>
  <w:style w:type="character" w:styleId="WW8Num5z1">
    <w:name w:val="WW8Num5z1"/>
    <w:qFormat/>
    <w:rPr>
      <w:rFonts w:ascii="Courier New" w:hAnsi="Courier New" w:cs="Courier New"/>
    </w:rPr>
  </w:style>
  <w:style w:type="character" w:styleId="WW8Num5z2">
    <w:name w:val="WW8Num5z2"/>
    <w:qFormat/>
    <w:rPr>
      <w:rFonts w:ascii="Wingdings" w:hAnsi="Wingdings" w:cs="Wingdings"/>
    </w:rPr>
  </w:style>
  <w:style w:type="character" w:styleId="WW8Num5z3">
    <w:name w:val="WW8Num5z3"/>
    <w:qFormat/>
    <w:rPr>
      <w:rFonts w:ascii="Symbol" w:hAnsi="Symbol" w:cs="Symbol"/>
    </w:rPr>
  </w:style>
  <w:style w:type="character" w:styleId="WW8Num6z0">
    <w:name w:val="WW8Num6z0"/>
    <w:qFormat/>
    <w:rPr/>
  </w:style>
  <w:style w:type="character" w:styleId="WW8Num6z1">
    <w:name w:val="WW8Num6z1"/>
    <w:qFormat/>
    <w:rPr/>
  </w:style>
  <w:style w:type="character" w:styleId="WW8Num6z2">
    <w:name w:val="WW8Num6z2"/>
    <w:qFormat/>
    <w:rPr/>
  </w:style>
  <w:style w:type="character" w:styleId="WW8Num6z3">
    <w:name w:val="WW8Num6z3"/>
    <w:qFormat/>
    <w:rPr/>
  </w:style>
  <w:style w:type="character" w:styleId="WW8Num6z4">
    <w:name w:val="WW8Num6z4"/>
    <w:qFormat/>
    <w:rPr/>
  </w:style>
  <w:style w:type="character" w:styleId="WW8Num6z5">
    <w:name w:val="WW8Num6z5"/>
    <w:qFormat/>
    <w:rPr/>
  </w:style>
  <w:style w:type="character" w:styleId="WW8Num6z6">
    <w:name w:val="WW8Num6z6"/>
    <w:qFormat/>
    <w:rPr/>
  </w:style>
  <w:style w:type="character" w:styleId="WW8Num6z7">
    <w:name w:val="WW8Num6z7"/>
    <w:qFormat/>
    <w:rPr/>
  </w:style>
  <w:style w:type="character" w:styleId="WW8Num6z8">
    <w:name w:val="WW8Num6z8"/>
    <w:qFormat/>
    <w:rPr/>
  </w:style>
  <w:style w:type="character" w:styleId="WW8Num7z0">
    <w:name w:val="WW8Num7z0"/>
    <w:qFormat/>
    <w:rPr/>
  </w:style>
  <w:style w:type="character" w:styleId="WW8Num7z1">
    <w:name w:val="WW8Num7z1"/>
    <w:qFormat/>
    <w:rPr/>
  </w:style>
  <w:style w:type="character" w:styleId="WW8Num7z2">
    <w:name w:val="WW8Num7z2"/>
    <w:qFormat/>
    <w:rPr/>
  </w:style>
  <w:style w:type="character" w:styleId="WW8Num7z3">
    <w:name w:val="WW8Num7z3"/>
    <w:qFormat/>
    <w:rPr/>
  </w:style>
  <w:style w:type="character" w:styleId="WW8Num7z4">
    <w:name w:val="WW8Num7z4"/>
    <w:qFormat/>
    <w:rPr/>
  </w:style>
  <w:style w:type="character" w:styleId="WW8Num7z5">
    <w:name w:val="WW8Num7z5"/>
    <w:qFormat/>
    <w:rPr/>
  </w:style>
  <w:style w:type="character" w:styleId="WW8Num7z6">
    <w:name w:val="WW8Num7z6"/>
    <w:qFormat/>
    <w:rPr/>
  </w:style>
  <w:style w:type="character" w:styleId="WW8Num7z7">
    <w:name w:val="WW8Num7z7"/>
    <w:qFormat/>
    <w:rPr/>
  </w:style>
  <w:style w:type="character" w:styleId="WW8Num7z8">
    <w:name w:val="WW8Num7z8"/>
    <w:qFormat/>
    <w:rPr/>
  </w:style>
  <w:style w:type="character" w:styleId="WW8Num8z0">
    <w:name w:val="WW8Num8z0"/>
    <w:qFormat/>
    <w:rPr/>
  </w:style>
  <w:style w:type="character" w:styleId="WW8Num9z0">
    <w:name w:val="WW8Num9z0"/>
    <w:qFormat/>
    <w:rPr>
      <w:rFonts w:ascii="Garamond" w:hAnsi="Garamond" w:eastAsia="Times New Roman" w:cs="Times New Roman"/>
    </w:rPr>
  </w:style>
  <w:style w:type="character" w:styleId="WW8Num9z1">
    <w:name w:val="WW8Num9z1"/>
    <w:qFormat/>
    <w:rPr>
      <w:rFonts w:ascii="Courier New" w:hAnsi="Courier New" w:cs="Courier New"/>
    </w:rPr>
  </w:style>
  <w:style w:type="character" w:styleId="WW8Num9z2">
    <w:name w:val="WW8Num9z2"/>
    <w:qFormat/>
    <w:rPr>
      <w:rFonts w:ascii="Wingdings" w:hAnsi="Wingdings" w:cs="Wingdings"/>
    </w:rPr>
  </w:style>
  <w:style w:type="character" w:styleId="WW8Num9z3">
    <w:name w:val="WW8Num9z3"/>
    <w:qFormat/>
    <w:rPr>
      <w:rFonts w:ascii="Symbol" w:hAnsi="Symbol" w:cs="Symbol"/>
    </w:rPr>
  </w:style>
  <w:style w:type="character" w:styleId="WW8Num10z0">
    <w:name w:val="WW8Num10z0"/>
    <w:qFormat/>
    <w:rPr/>
  </w:style>
  <w:style w:type="character" w:styleId="WW8Num11z0">
    <w:name w:val="WW8Num11z0"/>
    <w:qFormat/>
    <w:rPr>
      <w:rFonts w:ascii="Wingdings" w:hAnsi="Wingdings" w:cs="Wingdings"/>
      <w:sz w:val="24"/>
      <w:szCs w:val="24"/>
    </w:rPr>
  </w:style>
  <w:style w:type="character" w:styleId="WW8Num11z1">
    <w:name w:val="WW8Num11z1"/>
    <w:qFormat/>
    <w:rPr>
      <w:rFonts w:ascii="Courier New" w:hAnsi="Courier New" w:cs="Courier New"/>
    </w:rPr>
  </w:style>
  <w:style w:type="character" w:styleId="WW8Num11z2">
    <w:name w:val="WW8Num11z2"/>
    <w:qFormat/>
    <w:rPr>
      <w:rFonts w:ascii="Wingdings" w:hAnsi="Wingdings" w:cs="Wingdings"/>
    </w:rPr>
  </w:style>
  <w:style w:type="character" w:styleId="WW8Num11z3">
    <w:name w:val="WW8Num11z3"/>
    <w:qFormat/>
    <w:rPr>
      <w:rFonts w:ascii="Symbol" w:hAnsi="Symbol" w:cs="Symbol"/>
    </w:rPr>
  </w:style>
  <w:style w:type="character" w:styleId="WW8Num12z0">
    <w:name w:val="WW8Num12z0"/>
    <w:qFormat/>
    <w:rPr>
      <w:rFonts w:ascii="Wingdings" w:hAnsi="Wingdings" w:cs="Wingdings"/>
      <w:sz w:val="24"/>
      <w:szCs w:val="24"/>
    </w:rPr>
  </w:style>
  <w:style w:type="character" w:styleId="WW8Num12z1">
    <w:name w:val="WW8Num12z1"/>
    <w:qFormat/>
    <w:rPr>
      <w:rFonts w:ascii="Courier New" w:hAnsi="Courier New" w:cs="Courier New"/>
    </w:rPr>
  </w:style>
  <w:style w:type="character" w:styleId="WW8Num12z2">
    <w:name w:val="WW8Num12z2"/>
    <w:qFormat/>
    <w:rPr>
      <w:rFonts w:ascii="Wingdings" w:hAnsi="Wingdings" w:cs="Wingdings"/>
    </w:rPr>
  </w:style>
  <w:style w:type="character" w:styleId="WW8Num12z3">
    <w:name w:val="WW8Num12z3"/>
    <w:qFormat/>
    <w:rPr>
      <w:rFonts w:ascii="Symbol" w:hAnsi="Symbol" w:cs="Symbol"/>
    </w:rPr>
  </w:style>
  <w:style w:type="character" w:styleId="WW8Num13z0">
    <w:name w:val="WW8Num13z0"/>
    <w:qFormat/>
    <w:rPr/>
  </w:style>
  <w:style w:type="character" w:styleId="WW8Num13z1">
    <w:name w:val="WW8Num13z1"/>
    <w:qFormat/>
    <w:rPr/>
  </w:style>
  <w:style w:type="character" w:styleId="WW8Num13z2">
    <w:name w:val="WW8Num13z2"/>
    <w:qFormat/>
    <w:rPr/>
  </w:style>
  <w:style w:type="character" w:styleId="WW8Num13z3">
    <w:name w:val="WW8Num13z3"/>
    <w:qFormat/>
    <w:rPr/>
  </w:style>
  <w:style w:type="character" w:styleId="WW8Num13z4">
    <w:name w:val="WW8Num13z4"/>
    <w:qFormat/>
    <w:rPr/>
  </w:style>
  <w:style w:type="character" w:styleId="WW8Num13z5">
    <w:name w:val="WW8Num13z5"/>
    <w:qFormat/>
    <w:rPr/>
  </w:style>
  <w:style w:type="character" w:styleId="WW8Num13z6">
    <w:name w:val="WW8Num13z6"/>
    <w:qFormat/>
    <w:rPr/>
  </w:style>
  <w:style w:type="character" w:styleId="WW8Num13z7">
    <w:name w:val="WW8Num13z7"/>
    <w:qFormat/>
    <w:rPr/>
  </w:style>
  <w:style w:type="character" w:styleId="WW8Num13z8">
    <w:name w:val="WW8Num13z8"/>
    <w:qFormat/>
    <w:rPr/>
  </w:style>
  <w:style w:type="character" w:styleId="WW8Num14z0">
    <w:name w:val="WW8Num14z0"/>
    <w:qFormat/>
    <w:rPr>
      <w:rFonts w:ascii="Wingdings" w:hAnsi="Wingdings" w:cs="Wingdings"/>
    </w:rPr>
  </w:style>
  <w:style w:type="character" w:styleId="WW8Num14z1">
    <w:name w:val="WW8Num14z1"/>
    <w:qFormat/>
    <w:rPr>
      <w:rFonts w:ascii="Courier New" w:hAnsi="Courier New" w:cs="Courier New"/>
    </w:rPr>
  </w:style>
  <w:style w:type="character" w:styleId="WW8Num14z3">
    <w:name w:val="WW8Num14z3"/>
    <w:qFormat/>
    <w:rPr>
      <w:rFonts w:ascii="Symbol" w:hAnsi="Symbol" w:cs="Symbol"/>
    </w:rPr>
  </w:style>
  <w:style w:type="character" w:styleId="WW8Num15z0">
    <w:name w:val="WW8Num15z0"/>
    <w:qFormat/>
    <w:rPr>
      <w:color w:val="008080"/>
      <w:sz w:val="26"/>
      <w:szCs w:val="26"/>
    </w:rPr>
  </w:style>
  <w:style w:type="character" w:styleId="WW8Num15z1">
    <w:name w:val="WW8Num15z1"/>
    <w:qFormat/>
    <w:rPr>
      <w:b/>
      <w:i/>
      <w:sz w:val="28"/>
      <w:szCs w:val="28"/>
    </w:rPr>
  </w:style>
  <w:style w:type="character" w:styleId="WW8Num15z2">
    <w:name w:val="WW8Num15z2"/>
    <w:qFormat/>
    <w:rPr/>
  </w:style>
  <w:style w:type="character" w:styleId="WW8Num16z0">
    <w:name w:val="WW8Num16z0"/>
    <w:qFormat/>
    <w:rPr>
      <w:rFonts w:ascii="Arial" w:hAnsi="Arial" w:cs="Arial"/>
      <w:sz w:val="39"/>
    </w:rPr>
  </w:style>
  <w:style w:type="character" w:styleId="WW8Num16z1">
    <w:name w:val="WW8Num16z1"/>
    <w:qFormat/>
    <w:rPr>
      <w:rFonts w:ascii="Courier New" w:hAnsi="Courier New" w:cs="Courier New"/>
    </w:rPr>
  </w:style>
  <w:style w:type="character" w:styleId="WW8Num16z2">
    <w:name w:val="WW8Num16z2"/>
    <w:qFormat/>
    <w:rPr>
      <w:rFonts w:ascii="Wingdings" w:hAnsi="Wingdings" w:cs="Wingdings"/>
    </w:rPr>
  </w:style>
  <w:style w:type="character" w:styleId="WW8Num16z3">
    <w:name w:val="WW8Num16z3"/>
    <w:qFormat/>
    <w:rPr>
      <w:rFonts w:ascii="Symbol" w:hAnsi="Symbol" w:cs="Symbol"/>
    </w:rPr>
  </w:style>
  <w:style w:type="character" w:styleId="WW8Num17z0">
    <w:name w:val="WW8Num17z0"/>
    <w:qFormat/>
    <w:rPr>
      <w:rFonts w:ascii="Arial" w:hAnsi="Arial" w:cs="Arial"/>
      <w:sz w:val="39"/>
    </w:rPr>
  </w:style>
  <w:style w:type="character" w:styleId="WW8Num17z1">
    <w:name w:val="WW8Num17z1"/>
    <w:qFormat/>
    <w:rPr>
      <w:rFonts w:ascii="Courier New" w:hAnsi="Courier New" w:cs="Courier New"/>
    </w:rPr>
  </w:style>
  <w:style w:type="character" w:styleId="WW8Num17z2">
    <w:name w:val="WW8Num17z2"/>
    <w:qFormat/>
    <w:rPr>
      <w:rFonts w:ascii="Wingdings" w:hAnsi="Wingdings" w:cs="Wingdings"/>
    </w:rPr>
  </w:style>
  <w:style w:type="character" w:styleId="WW8Num17z3">
    <w:name w:val="WW8Num17z3"/>
    <w:qFormat/>
    <w:rPr>
      <w:rFonts w:ascii="Symbol" w:hAnsi="Symbol" w:cs="Symbol"/>
    </w:rPr>
  </w:style>
  <w:style w:type="character" w:styleId="WW8Num18z0">
    <w:name w:val="WW8Num18z0"/>
    <w:qFormat/>
    <w:rPr>
      <w:rFonts w:ascii="Calibri" w:hAnsi="Calibri" w:eastAsia="Times New Roman" w:cs="Calibri"/>
    </w:rPr>
  </w:style>
  <w:style w:type="character" w:styleId="WW8Num18z1">
    <w:name w:val="WW8Num18z1"/>
    <w:qFormat/>
    <w:rPr>
      <w:rFonts w:ascii="Courier New" w:hAnsi="Courier New" w:cs="Courier New"/>
    </w:rPr>
  </w:style>
  <w:style w:type="character" w:styleId="WW8Num18z2">
    <w:name w:val="WW8Num18z2"/>
    <w:qFormat/>
    <w:rPr>
      <w:rFonts w:ascii="Wingdings" w:hAnsi="Wingdings" w:cs="Wingdings"/>
    </w:rPr>
  </w:style>
  <w:style w:type="character" w:styleId="WW8Num18z3">
    <w:name w:val="WW8Num18z3"/>
    <w:qFormat/>
    <w:rPr>
      <w:rFonts w:ascii="Symbol" w:hAnsi="Symbol" w:cs="Symbol"/>
    </w:rPr>
  </w:style>
  <w:style w:type="character" w:styleId="WW8Num19z0">
    <w:name w:val="WW8Num19z0"/>
    <w:qFormat/>
    <w:rPr/>
  </w:style>
  <w:style w:type="character" w:styleId="WW8Num19z1">
    <w:name w:val="WW8Num19z1"/>
    <w:qFormat/>
    <w:rPr/>
  </w:style>
  <w:style w:type="character" w:styleId="WW8Num19z2">
    <w:name w:val="WW8Num19z2"/>
    <w:qFormat/>
    <w:rPr/>
  </w:style>
  <w:style w:type="character" w:styleId="WW8Num19z3">
    <w:name w:val="WW8Num19z3"/>
    <w:qFormat/>
    <w:rPr/>
  </w:style>
  <w:style w:type="character" w:styleId="WW8Num19z4">
    <w:name w:val="WW8Num19z4"/>
    <w:qFormat/>
    <w:rPr/>
  </w:style>
  <w:style w:type="character" w:styleId="WW8Num19z5">
    <w:name w:val="WW8Num19z5"/>
    <w:qFormat/>
    <w:rPr/>
  </w:style>
  <w:style w:type="character" w:styleId="WW8Num19z6">
    <w:name w:val="WW8Num19z6"/>
    <w:qFormat/>
    <w:rPr/>
  </w:style>
  <w:style w:type="character" w:styleId="WW8Num19z7">
    <w:name w:val="WW8Num19z7"/>
    <w:qFormat/>
    <w:rPr/>
  </w:style>
  <w:style w:type="character" w:styleId="WW8Num19z8">
    <w:name w:val="WW8Num19z8"/>
    <w:qFormat/>
    <w:rPr/>
  </w:style>
  <w:style w:type="character" w:styleId="WW8Num20z0">
    <w:name w:val="WW8Num20z0"/>
    <w:qFormat/>
    <w:rPr>
      <w:rFonts w:ascii="Wingdings" w:hAnsi="Wingdings" w:cs="Wingdings"/>
      <w:sz w:val="24"/>
      <w:szCs w:val="24"/>
    </w:rPr>
  </w:style>
  <w:style w:type="character" w:styleId="WW8Num20z1">
    <w:name w:val="WW8Num20z1"/>
    <w:qFormat/>
    <w:rPr>
      <w:rFonts w:ascii="Courier New" w:hAnsi="Courier New" w:cs="Courier New"/>
    </w:rPr>
  </w:style>
  <w:style w:type="character" w:styleId="WW8Num20z2">
    <w:name w:val="WW8Num20z2"/>
    <w:qFormat/>
    <w:rPr>
      <w:rFonts w:ascii="Wingdings" w:hAnsi="Wingdings" w:cs="Wingdings"/>
    </w:rPr>
  </w:style>
  <w:style w:type="character" w:styleId="WW8Num20z3">
    <w:name w:val="WW8Num20z3"/>
    <w:qFormat/>
    <w:rPr>
      <w:rFonts w:ascii="Symbol" w:hAnsi="Symbol" w:cs="Symbol"/>
    </w:rPr>
  </w:style>
  <w:style w:type="character" w:styleId="WW8Num21z0">
    <w:name w:val="WW8Num21z0"/>
    <w:qFormat/>
    <w:rPr/>
  </w:style>
  <w:style w:type="character" w:styleId="WW8Num21z1">
    <w:name w:val="WW8Num21z1"/>
    <w:qFormat/>
    <w:rPr/>
  </w:style>
  <w:style w:type="character" w:styleId="WW8Num21z2">
    <w:name w:val="WW8Num21z2"/>
    <w:qFormat/>
    <w:rPr/>
  </w:style>
  <w:style w:type="character" w:styleId="WW8Num21z3">
    <w:name w:val="WW8Num21z3"/>
    <w:qFormat/>
    <w:rPr/>
  </w:style>
  <w:style w:type="character" w:styleId="WW8Num21z4">
    <w:name w:val="WW8Num21z4"/>
    <w:qFormat/>
    <w:rPr/>
  </w:style>
  <w:style w:type="character" w:styleId="WW8Num21z5">
    <w:name w:val="WW8Num21z5"/>
    <w:qFormat/>
    <w:rPr/>
  </w:style>
  <w:style w:type="character" w:styleId="WW8Num21z6">
    <w:name w:val="WW8Num21z6"/>
    <w:qFormat/>
    <w:rPr/>
  </w:style>
  <w:style w:type="character" w:styleId="WW8Num21z7">
    <w:name w:val="WW8Num21z7"/>
    <w:qFormat/>
    <w:rPr/>
  </w:style>
  <w:style w:type="character" w:styleId="WW8Num21z8">
    <w:name w:val="WW8Num21z8"/>
    <w:qFormat/>
    <w:rPr/>
  </w:style>
  <w:style w:type="character" w:styleId="WW8Num22z0">
    <w:name w:val="WW8Num22z0"/>
    <w:qFormat/>
    <w:rPr/>
  </w:style>
  <w:style w:type="character" w:styleId="WW8Num22z1">
    <w:name w:val="WW8Num22z1"/>
    <w:qFormat/>
    <w:rPr/>
  </w:style>
  <w:style w:type="character" w:styleId="WW8Num22z2">
    <w:name w:val="WW8Num22z2"/>
    <w:qFormat/>
    <w:rPr/>
  </w:style>
  <w:style w:type="character" w:styleId="WW8Num22z3">
    <w:name w:val="WW8Num22z3"/>
    <w:qFormat/>
    <w:rPr/>
  </w:style>
  <w:style w:type="character" w:styleId="WW8Num22z4">
    <w:name w:val="WW8Num22z4"/>
    <w:qFormat/>
    <w:rPr/>
  </w:style>
  <w:style w:type="character" w:styleId="WW8Num22z5">
    <w:name w:val="WW8Num22z5"/>
    <w:qFormat/>
    <w:rPr/>
  </w:style>
  <w:style w:type="character" w:styleId="WW8Num22z6">
    <w:name w:val="WW8Num22z6"/>
    <w:qFormat/>
    <w:rPr/>
  </w:style>
  <w:style w:type="character" w:styleId="WW8Num22z7">
    <w:name w:val="WW8Num22z7"/>
    <w:qFormat/>
    <w:rPr/>
  </w:style>
  <w:style w:type="character" w:styleId="WW8Num22z8">
    <w:name w:val="WW8Num22z8"/>
    <w:qFormat/>
    <w:rPr/>
  </w:style>
  <w:style w:type="character" w:styleId="WW8Num23z0">
    <w:name w:val="WW8Num23z0"/>
    <w:qFormat/>
    <w:rPr/>
  </w:style>
  <w:style w:type="character" w:styleId="WW8Num24z0">
    <w:name w:val="WW8Num24z0"/>
    <w:qFormat/>
    <w:rPr>
      <w:rFonts w:ascii="Wingdings" w:hAnsi="Wingdings" w:cs="Wingdings"/>
      <w:sz w:val="39"/>
    </w:rPr>
  </w:style>
  <w:style w:type="character" w:styleId="WW8Num24z1">
    <w:name w:val="WW8Num24z1"/>
    <w:qFormat/>
    <w:rPr>
      <w:rFonts w:ascii="Courier New" w:hAnsi="Courier New" w:cs="Courier New"/>
    </w:rPr>
  </w:style>
  <w:style w:type="character" w:styleId="WW8Num24z2">
    <w:name w:val="WW8Num24z2"/>
    <w:qFormat/>
    <w:rPr>
      <w:rFonts w:ascii="Wingdings" w:hAnsi="Wingdings" w:cs="Wingdings"/>
    </w:rPr>
  </w:style>
  <w:style w:type="character" w:styleId="WW8Num24z3">
    <w:name w:val="WW8Num24z3"/>
    <w:qFormat/>
    <w:rPr>
      <w:rFonts w:ascii="Symbol" w:hAnsi="Symbol" w:cs="Symbol"/>
    </w:rPr>
  </w:style>
  <w:style w:type="character" w:styleId="WW8Num25z0">
    <w:name w:val="WW8Num25z0"/>
    <w:qFormat/>
    <w:rPr/>
  </w:style>
  <w:style w:type="character" w:styleId="WW8Num25z1">
    <w:name w:val="WW8Num25z1"/>
    <w:qFormat/>
    <w:rPr/>
  </w:style>
  <w:style w:type="character" w:styleId="WW8Num25z2">
    <w:name w:val="WW8Num25z2"/>
    <w:qFormat/>
    <w:rPr/>
  </w:style>
  <w:style w:type="character" w:styleId="WW8Num25z3">
    <w:name w:val="WW8Num25z3"/>
    <w:qFormat/>
    <w:rPr/>
  </w:style>
  <w:style w:type="character" w:styleId="WW8Num25z4">
    <w:name w:val="WW8Num25z4"/>
    <w:qFormat/>
    <w:rPr/>
  </w:style>
  <w:style w:type="character" w:styleId="WW8Num25z5">
    <w:name w:val="WW8Num25z5"/>
    <w:qFormat/>
    <w:rPr/>
  </w:style>
  <w:style w:type="character" w:styleId="WW8Num25z6">
    <w:name w:val="WW8Num25z6"/>
    <w:qFormat/>
    <w:rPr/>
  </w:style>
  <w:style w:type="character" w:styleId="WW8Num25z7">
    <w:name w:val="WW8Num25z7"/>
    <w:qFormat/>
    <w:rPr/>
  </w:style>
  <w:style w:type="character" w:styleId="WW8Num25z8">
    <w:name w:val="WW8Num25z8"/>
    <w:qFormat/>
    <w:rPr/>
  </w:style>
  <w:style w:type="character" w:styleId="WW8Num26z0">
    <w:name w:val="WW8Num26z0"/>
    <w:qFormat/>
    <w:rPr>
      <w:rFonts w:ascii="Arial" w:hAnsi="Arial" w:cs="Arial"/>
      <w:sz w:val="39"/>
    </w:rPr>
  </w:style>
  <w:style w:type="character" w:styleId="WW8Num26z1">
    <w:name w:val="WW8Num26z1"/>
    <w:qFormat/>
    <w:rPr>
      <w:rFonts w:ascii="Courier New" w:hAnsi="Courier New" w:cs="Courier New"/>
    </w:rPr>
  </w:style>
  <w:style w:type="character" w:styleId="WW8Num26z2">
    <w:name w:val="WW8Num26z2"/>
    <w:qFormat/>
    <w:rPr>
      <w:rFonts w:ascii="Wingdings" w:hAnsi="Wingdings" w:cs="Wingdings"/>
    </w:rPr>
  </w:style>
  <w:style w:type="character" w:styleId="WW8Num26z3">
    <w:name w:val="WW8Num26z3"/>
    <w:qFormat/>
    <w:rPr>
      <w:rFonts w:ascii="Symbol" w:hAnsi="Symbol" w:cs="Symbol"/>
    </w:rPr>
  </w:style>
  <w:style w:type="character" w:styleId="WW8Num27z0">
    <w:name w:val="WW8Num27z0"/>
    <w:qFormat/>
    <w:rPr/>
  </w:style>
  <w:style w:type="character" w:styleId="WW8Num28z0">
    <w:name w:val="WW8Num28z0"/>
    <w:qFormat/>
    <w:rPr/>
  </w:style>
  <w:style w:type="character" w:styleId="WW8Num28z1">
    <w:name w:val="WW8Num28z1"/>
    <w:qFormat/>
    <w:rPr/>
  </w:style>
  <w:style w:type="character" w:styleId="WW8Num28z2">
    <w:name w:val="WW8Num28z2"/>
    <w:qFormat/>
    <w:rPr/>
  </w:style>
  <w:style w:type="character" w:styleId="WW8Num28z3">
    <w:name w:val="WW8Num28z3"/>
    <w:qFormat/>
    <w:rPr/>
  </w:style>
  <w:style w:type="character" w:styleId="WW8Num28z4">
    <w:name w:val="WW8Num28z4"/>
    <w:qFormat/>
    <w:rPr/>
  </w:style>
  <w:style w:type="character" w:styleId="WW8Num28z5">
    <w:name w:val="WW8Num28z5"/>
    <w:qFormat/>
    <w:rPr/>
  </w:style>
  <w:style w:type="character" w:styleId="WW8Num28z6">
    <w:name w:val="WW8Num28z6"/>
    <w:qFormat/>
    <w:rPr/>
  </w:style>
  <w:style w:type="character" w:styleId="WW8Num28z7">
    <w:name w:val="WW8Num28z7"/>
    <w:qFormat/>
    <w:rPr/>
  </w:style>
  <w:style w:type="character" w:styleId="WW8Num28z8">
    <w:name w:val="WW8Num28z8"/>
    <w:qFormat/>
    <w:rPr/>
  </w:style>
  <w:style w:type="character" w:styleId="WW8Num29z0">
    <w:name w:val="WW8Num29z0"/>
    <w:qFormat/>
    <w:rPr>
      <w:rFonts w:ascii="Times New Roman" w:hAnsi="Times New Roman" w:eastAsia="Times New Roman" w:cs="Times New Roman"/>
    </w:rPr>
  </w:style>
  <w:style w:type="character" w:styleId="WW8Num29z1">
    <w:name w:val="WW8Num29z1"/>
    <w:qFormat/>
    <w:rPr>
      <w:rFonts w:ascii="Arial" w:hAnsi="Arial" w:eastAsia="Times New Roman" w:cs="Arial"/>
      <w:b/>
      <w:color w:val="627283"/>
      <w:sz w:val="23"/>
    </w:rPr>
  </w:style>
  <w:style w:type="character" w:styleId="WW8Num29z2">
    <w:name w:val="WW8Num29z2"/>
    <w:qFormat/>
    <w:rPr>
      <w:rFonts w:ascii="Wingdings" w:hAnsi="Wingdings" w:cs="Wingdings"/>
    </w:rPr>
  </w:style>
  <w:style w:type="character" w:styleId="WW8Num29z3">
    <w:name w:val="WW8Num29z3"/>
    <w:qFormat/>
    <w:rPr>
      <w:rFonts w:ascii="Symbol" w:hAnsi="Symbol" w:cs="Symbol"/>
    </w:rPr>
  </w:style>
  <w:style w:type="character" w:styleId="WW8Num29z4">
    <w:name w:val="WW8Num29z4"/>
    <w:qFormat/>
    <w:rPr>
      <w:rFonts w:ascii="Courier New" w:hAnsi="Courier New" w:cs="Courier New"/>
    </w:rPr>
  </w:style>
  <w:style w:type="character" w:styleId="WW8Num30z0">
    <w:name w:val="WW8Num30z0"/>
    <w:qFormat/>
    <w:rPr>
      <w:rFonts w:ascii="Wingdings" w:hAnsi="Wingdings" w:cs="Wingdings"/>
      <w:sz w:val="39"/>
    </w:rPr>
  </w:style>
  <w:style w:type="character" w:styleId="WW8Num30z1">
    <w:name w:val="WW8Num30z1"/>
    <w:qFormat/>
    <w:rPr>
      <w:rFonts w:ascii="Courier New" w:hAnsi="Courier New" w:cs="Courier New"/>
    </w:rPr>
  </w:style>
  <w:style w:type="character" w:styleId="WW8Num30z2">
    <w:name w:val="WW8Num30z2"/>
    <w:qFormat/>
    <w:rPr>
      <w:rFonts w:ascii="Wingdings" w:hAnsi="Wingdings" w:cs="Wingdings"/>
    </w:rPr>
  </w:style>
  <w:style w:type="character" w:styleId="WW8Num30z3">
    <w:name w:val="WW8Num30z3"/>
    <w:qFormat/>
    <w:rPr>
      <w:rFonts w:ascii="Symbol" w:hAnsi="Symbol" w:cs="Symbol"/>
    </w:rPr>
  </w:style>
  <w:style w:type="character" w:styleId="WW8Num31z0">
    <w:name w:val="WW8Num31z0"/>
    <w:qFormat/>
    <w:rPr/>
  </w:style>
  <w:style w:type="character" w:styleId="WW8Num32z0">
    <w:name w:val="WW8Num32z0"/>
    <w:qFormat/>
    <w:rPr/>
  </w:style>
  <w:style w:type="character" w:styleId="WW8Num32z1">
    <w:name w:val="WW8Num32z1"/>
    <w:qFormat/>
    <w:rPr/>
  </w:style>
  <w:style w:type="character" w:styleId="WW8Num32z2">
    <w:name w:val="WW8Num32z2"/>
    <w:qFormat/>
    <w:rPr/>
  </w:style>
  <w:style w:type="character" w:styleId="WW8Num32z3">
    <w:name w:val="WW8Num32z3"/>
    <w:qFormat/>
    <w:rPr/>
  </w:style>
  <w:style w:type="character" w:styleId="WW8Num32z4">
    <w:name w:val="WW8Num32z4"/>
    <w:qFormat/>
    <w:rPr/>
  </w:style>
  <w:style w:type="character" w:styleId="WW8Num32z5">
    <w:name w:val="WW8Num32z5"/>
    <w:qFormat/>
    <w:rPr/>
  </w:style>
  <w:style w:type="character" w:styleId="WW8Num32z6">
    <w:name w:val="WW8Num32z6"/>
    <w:qFormat/>
    <w:rPr/>
  </w:style>
  <w:style w:type="character" w:styleId="WW8Num32z7">
    <w:name w:val="WW8Num32z7"/>
    <w:qFormat/>
    <w:rPr/>
  </w:style>
  <w:style w:type="character" w:styleId="WW8Num32z8">
    <w:name w:val="WW8Num32z8"/>
    <w:qFormat/>
    <w:rPr/>
  </w:style>
  <w:style w:type="character" w:styleId="WW8Num33z0">
    <w:name w:val="WW8Num33z0"/>
    <w:qFormat/>
    <w:rPr/>
  </w:style>
  <w:style w:type="character" w:styleId="WW8Num33z1">
    <w:name w:val="WW8Num33z1"/>
    <w:qFormat/>
    <w:rPr/>
  </w:style>
  <w:style w:type="character" w:styleId="WW8Num33z2">
    <w:name w:val="WW8Num33z2"/>
    <w:qFormat/>
    <w:rPr/>
  </w:style>
  <w:style w:type="character" w:styleId="WW8Num33z3">
    <w:name w:val="WW8Num33z3"/>
    <w:qFormat/>
    <w:rPr/>
  </w:style>
  <w:style w:type="character" w:styleId="WW8Num33z4">
    <w:name w:val="WW8Num33z4"/>
    <w:qFormat/>
    <w:rPr/>
  </w:style>
  <w:style w:type="character" w:styleId="WW8Num33z5">
    <w:name w:val="WW8Num33z5"/>
    <w:qFormat/>
    <w:rPr/>
  </w:style>
  <w:style w:type="character" w:styleId="WW8Num33z6">
    <w:name w:val="WW8Num33z6"/>
    <w:qFormat/>
    <w:rPr/>
  </w:style>
  <w:style w:type="character" w:styleId="WW8Num33z7">
    <w:name w:val="WW8Num33z7"/>
    <w:qFormat/>
    <w:rPr/>
  </w:style>
  <w:style w:type="character" w:styleId="WW8Num33z8">
    <w:name w:val="WW8Num33z8"/>
    <w:qFormat/>
    <w:rPr/>
  </w:style>
  <w:style w:type="character" w:styleId="Policepardfaut">
    <w:name w:val="Police par défaut"/>
    <w:qFormat/>
    <w:rPr/>
  </w:style>
  <w:style w:type="character" w:styleId="PageNumber">
    <w:name w:val="Page Number"/>
    <w:basedOn w:val="Policepardfaut"/>
    <w:rPr/>
  </w:style>
  <w:style w:type="character" w:styleId="Marquedecommentaire">
    <w:name w:val="Marque de commentaire"/>
    <w:qFormat/>
    <w:rPr>
      <w:sz w:val="16"/>
      <w:szCs w:val="16"/>
    </w:rPr>
  </w:style>
  <w:style w:type="character" w:styleId="CommentaireCar">
    <w:name w:val="Commentaire Car"/>
    <w:basedOn w:val="Policepardfaut"/>
    <w:qFormat/>
    <w:rPr/>
  </w:style>
  <w:style w:type="character" w:styleId="ObjetducommentaireCar">
    <w:name w:val="Objet du commentaire Car"/>
    <w:qFormat/>
    <w:rPr>
      <w:b/>
      <w:bCs/>
    </w:rPr>
  </w:style>
  <w:style w:type="character" w:styleId="Style1Car">
    <w:name w:val="Style1 Car"/>
    <w:qFormat/>
    <w:rPr>
      <w:rFonts w:ascii="Calibri" w:hAnsi="Calibri" w:cs="Calibri"/>
      <w:b/>
      <w:smallCaps/>
      <w:sz w:val="24"/>
      <w:szCs w:val="24"/>
      <w:u w:val="single"/>
    </w:rPr>
  </w:style>
  <w:style w:type="character" w:styleId="PieddepageCar">
    <w:name w:val="Pied de page Car"/>
    <w:qFormat/>
    <w:rPr>
      <w:sz w:val="24"/>
      <w:szCs w:val="24"/>
    </w:rPr>
  </w:style>
  <w:style w:type="character" w:styleId="EntteCar">
    <w:name w:val="En-tête Car"/>
    <w:qFormat/>
    <w:rPr/>
  </w:style>
  <w:style w:type="paragraph" w:styleId="Heading">
    <w:name w:val="Heading"/>
    <w:basedOn w:val="Normal"/>
    <w:next w:val="TextBody"/>
    <w:qFormat/>
    <w:pPr>
      <w:keepNext/>
      <w:spacing w:before="240" w:after="120"/>
    </w:pPr>
    <w:rPr>
      <w:rFonts w:ascii="Liberation Sans" w:hAnsi="Liberation Sans" w:eastAsia="DejaVu Sans" w:cs="DejaVu Sans"/>
      <w:sz w:val="28"/>
      <w:szCs w:val="28"/>
    </w:rPr>
  </w:style>
  <w:style w:type="paragraph" w:styleId="TextBody">
    <w:name w:val="Text Body"/>
    <w:basedOn w:val="Normal"/>
    <w:pPr>
      <w:spacing w:lineRule="auto" w:line="288" w:before="0" w:after="140"/>
    </w:pPr>
    <w:rPr/>
  </w:style>
  <w:style w:type="paragraph" w:styleId="List">
    <w:name w:val="List"/>
    <w:basedOn w:val="TextBody"/>
    <w:pPr/>
    <w:rPr/>
  </w:style>
  <w:style w:type="paragraph" w:styleId="Caption">
    <w:name w:val="Caption"/>
    <w:basedOn w:val="Normal"/>
    <w:qFormat/>
    <w:pPr>
      <w:suppressLineNumbers/>
      <w:spacing w:before="120" w:after="120"/>
    </w:pPr>
    <w:rPr>
      <w:i/>
      <w:iCs/>
      <w:sz w:val="24"/>
      <w:szCs w:val="24"/>
    </w:rPr>
  </w:style>
  <w:style w:type="paragraph" w:styleId="Index">
    <w:name w:val="Index"/>
    <w:basedOn w:val="Normal"/>
    <w:qFormat/>
    <w:pPr>
      <w:suppressLineNumbers/>
    </w:pPr>
    <w:rPr/>
  </w:style>
  <w:style w:type="paragraph" w:styleId="Style21">
    <w:name w:val="Style2"/>
    <w:basedOn w:val="Heading1"/>
    <w:qFormat/>
    <w:pPr>
      <w:numPr>
        <w:ilvl w:val="0"/>
        <w:numId w:val="0"/>
      </w:numPr>
      <w:spacing w:before="0" w:after="120"/>
    </w:pPr>
    <w:rPr>
      <w:rFonts w:ascii="Times New Roman" w:hAnsi="Times New Roman" w:cs="Times New Roman"/>
      <w:smallCaps/>
      <w:spacing w:val="44"/>
      <w:sz w:val="24"/>
      <w:szCs w:val="48"/>
    </w:rPr>
  </w:style>
  <w:style w:type="paragraph" w:styleId="Style51">
    <w:name w:val="Style5"/>
    <w:basedOn w:val="Heading4"/>
    <w:qFormat/>
    <w:pPr>
      <w:numPr>
        <w:ilvl w:val="0"/>
        <w:numId w:val="0"/>
      </w:numPr>
      <w:pBdr>
        <w:top w:val="double" w:sz="4" w:space="1" w:color="0000FF"/>
        <w:left w:val="double" w:sz="4" w:space="4" w:color="0000FF"/>
        <w:bottom w:val="double" w:sz="4" w:space="1" w:color="0000FF"/>
        <w:right w:val="double" w:sz="4" w:space="0" w:color="0000FF"/>
      </w:pBdr>
      <w:jc w:val="center"/>
    </w:pPr>
    <w:rPr>
      <w:color w:val="008080"/>
    </w:rPr>
  </w:style>
  <w:style w:type="paragraph" w:styleId="Style61">
    <w:name w:val="Style6"/>
    <w:basedOn w:val="Style51"/>
    <w:qFormat/>
    <w:pPr/>
    <w:rPr/>
  </w:style>
  <w:style w:type="paragraph" w:styleId="TITRE2">
    <w:name w:val="TITRE2"/>
    <w:basedOn w:val="Style21"/>
    <w:qFormat/>
    <w:pPr>
      <w:numPr>
        <w:ilvl w:val="0"/>
        <w:numId w:val="3"/>
      </w:numPr>
      <w:spacing w:lineRule="auto" w:line="288" w:before="60" w:after="40"/>
    </w:pPr>
    <w:rPr>
      <w:rFonts w:cs="Times New Roman"/>
      <w:bCs w:val="false"/>
      <w:caps w:val="false"/>
      <w:smallCaps w:val="false"/>
      <w:color w:val="008080"/>
      <w:spacing w:val="0"/>
      <w:sz w:val="26"/>
      <w:szCs w:val="26"/>
    </w:rPr>
  </w:style>
  <w:style w:type="paragraph" w:styleId="Textedebulles">
    <w:name w:val="Texte de bulles"/>
    <w:basedOn w:val="Normal"/>
    <w:qFormat/>
    <w:pPr/>
    <w:rPr>
      <w:rFonts w:ascii="Tahoma" w:hAnsi="Tahoma" w:cs="Tahoma"/>
      <w:sz w:val="16"/>
      <w:szCs w:val="16"/>
    </w:rPr>
  </w:style>
  <w:style w:type="paragraph" w:styleId="Header">
    <w:name w:val="Header"/>
    <w:basedOn w:val="Normal"/>
    <w:pPr>
      <w:tabs>
        <w:tab w:val="center" w:pos="4536" w:leader="none"/>
        <w:tab w:val="right" w:pos="9072" w:leader="none"/>
      </w:tabs>
    </w:pPr>
    <w:rPr>
      <w:sz w:val="20"/>
      <w:szCs w:val="20"/>
    </w:rPr>
  </w:style>
  <w:style w:type="paragraph" w:styleId="Normalcentr">
    <w:name w:val="Normal centré"/>
    <w:basedOn w:val="Normal"/>
    <w:qFormat/>
    <w:pPr>
      <w:pBdr>
        <w:top w:val="double" w:sz="6" w:space="5" w:color="000000"/>
        <w:left w:val="double" w:sz="6" w:space="4" w:color="000000"/>
        <w:bottom w:val="double" w:sz="6" w:space="5" w:color="000000"/>
        <w:right w:val="double" w:sz="6" w:space="4" w:color="000000"/>
      </w:pBdr>
      <w:spacing w:before="120" w:after="120"/>
      <w:ind w:left="425" w:right="425" w:hanging="0"/>
      <w:jc w:val="center"/>
    </w:pPr>
    <w:rPr>
      <w:rFonts w:ascii="Britannic Bold" w:hAnsi="Britannic Bold" w:cs="Britannic Bold"/>
      <w:b/>
      <w:szCs w:val="20"/>
    </w:rPr>
  </w:style>
  <w:style w:type="paragraph" w:styleId="Footer">
    <w:name w:val="Footer"/>
    <w:basedOn w:val="Normal"/>
    <w:pPr>
      <w:tabs>
        <w:tab w:val="center" w:pos="4536" w:leader="none"/>
        <w:tab w:val="right" w:pos="9072" w:leader="none"/>
      </w:tabs>
    </w:pPr>
    <w:rPr/>
  </w:style>
  <w:style w:type="paragraph" w:styleId="Paragraphedeliste">
    <w:name w:val="Paragraphe de liste"/>
    <w:basedOn w:val="Normal"/>
    <w:qFormat/>
    <w:pPr>
      <w:ind w:left="708" w:hanging="0"/>
    </w:pPr>
    <w:rPr/>
  </w:style>
  <w:style w:type="paragraph" w:styleId="Commentaire">
    <w:name w:val="Commentaire"/>
    <w:basedOn w:val="Normal"/>
    <w:qFormat/>
    <w:pPr/>
    <w:rPr>
      <w:sz w:val="20"/>
      <w:szCs w:val="20"/>
    </w:rPr>
  </w:style>
  <w:style w:type="paragraph" w:styleId="Objetducommentaire">
    <w:name w:val="Objet du commentaire"/>
    <w:basedOn w:val="Commentaire"/>
    <w:next w:val="Commentaire"/>
    <w:qFormat/>
    <w:pPr/>
    <w:rPr>
      <w:b/>
      <w:bCs/>
    </w:rPr>
  </w:style>
  <w:style w:type="paragraph" w:styleId="Rvision">
    <w:name w:val="Révision"/>
    <w:qFormat/>
    <w:pPr>
      <w:widowControl/>
    </w:pPr>
    <w:rPr>
      <w:rFonts w:ascii="Times New Roman" w:hAnsi="Times New Roman" w:eastAsia="Times New Roman" w:cs="Times New Roman"/>
      <w:color w:val="auto"/>
      <w:sz w:val="24"/>
      <w:szCs w:val="24"/>
      <w:lang w:val="fr-FR" w:bidi="ar-SA" w:eastAsia="zh-CN"/>
    </w:rPr>
  </w:style>
  <w:style w:type="paragraph" w:styleId="Style11">
    <w:name w:val="Style1"/>
    <w:basedOn w:val="Normal"/>
    <w:qFormat/>
    <w:pPr>
      <w:jc w:val="both"/>
    </w:pPr>
    <w:rPr>
      <w:rFonts w:ascii="Calibri" w:hAnsi="Calibri" w:cs="Calibri"/>
      <w:b/>
      <w:smallCaps/>
      <w:u w:val="single"/>
    </w:rPr>
  </w:style>
  <w:style w:type="paragraph" w:styleId="Sansinterligne">
    <w:name w:val="Sans interligne"/>
    <w:qFormat/>
    <w:pPr>
      <w:widowControl/>
    </w:pPr>
    <w:rPr>
      <w:rFonts w:ascii="Calibri" w:hAnsi="Calibri" w:eastAsia="Calibri" w:cs="Calibri"/>
      <w:color w:val="auto"/>
      <w:sz w:val="22"/>
      <w:szCs w:val="22"/>
      <w:lang w:val="fr-FR" w:bidi="ar-SA" w:eastAsia="zh-CN"/>
    </w:rPr>
  </w:style>
  <w:style w:type="numbering" w:styleId="WW8Num1">
    <w:name w:val="WW8Num1"/>
  </w:style>
  <w:style w:type="numbering" w:styleId="WW8Num2">
    <w:name w:val="WW8Num2"/>
  </w:style>
  <w:style w:type="numbering" w:styleId="WW8Num3">
    <w:name w:val="WW8Num3"/>
  </w:style>
  <w:style w:type="numbering" w:styleId="WW8Num4">
    <w:name w:val="WW8Num4"/>
  </w:style>
  <w:style w:type="numbering" w:styleId="WW8Num5">
    <w:name w:val="WW8Num5"/>
  </w:style>
  <w:style w:type="numbering" w:styleId="WW8Num6">
    <w:name w:val="WW8Num6"/>
  </w:style>
  <w:style w:type="numbering" w:styleId="WW8Num7">
    <w:name w:val="WW8Num7"/>
  </w:style>
  <w:style w:type="numbering" w:styleId="WW8Num8">
    <w:name w:val="WW8Num8"/>
  </w:style>
  <w:style w:type="numbering" w:styleId="WW8Num9">
    <w:name w:val="WW8Num9"/>
  </w:style>
  <w:style w:type="numbering" w:styleId="WW8Num10">
    <w:name w:val="WW8Num10"/>
  </w:style>
  <w:style w:type="numbering" w:styleId="WW8Num11">
    <w:name w:val="WW8Num11"/>
  </w:style>
  <w:style w:type="numbering" w:styleId="WW8Num12">
    <w:name w:val="WW8Num12"/>
  </w:style>
  <w:style w:type="numbering" w:styleId="WW8Num13">
    <w:name w:val="WW8Num13"/>
  </w:style>
  <w:style w:type="numbering" w:styleId="WW8Num14">
    <w:name w:val="WW8Num14"/>
  </w:style>
  <w:style w:type="numbering" w:styleId="WW8Num15">
    <w:name w:val="WW8Num15"/>
  </w:style>
  <w:style w:type="numbering" w:styleId="WW8Num16">
    <w:name w:val="WW8Num16"/>
  </w:style>
  <w:style w:type="numbering" w:styleId="WW8Num17">
    <w:name w:val="WW8Num17"/>
  </w:style>
  <w:style w:type="numbering" w:styleId="WW8Num18">
    <w:name w:val="WW8Num18"/>
  </w:style>
  <w:style w:type="numbering" w:styleId="WW8Num19">
    <w:name w:val="WW8Num19"/>
  </w:style>
  <w:style w:type="numbering" w:styleId="WW8Num20">
    <w:name w:val="WW8Num20"/>
  </w:style>
  <w:style w:type="numbering" w:styleId="WW8Num21">
    <w:name w:val="WW8Num21"/>
  </w:style>
  <w:style w:type="numbering" w:styleId="WW8Num22">
    <w:name w:val="WW8Num22"/>
  </w:style>
  <w:style w:type="numbering" w:styleId="WW8Num23">
    <w:name w:val="WW8Num23"/>
  </w:style>
  <w:style w:type="numbering" w:styleId="WW8Num24">
    <w:name w:val="WW8Num24"/>
  </w:style>
  <w:style w:type="numbering" w:styleId="WW8Num25">
    <w:name w:val="WW8Num25"/>
  </w:style>
  <w:style w:type="numbering" w:styleId="WW8Num26">
    <w:name w:val="WW8Num26"/>
  </w:style>
  <w:style w:type="numbering" w:styleId="WW8Num27">
    <w:name w:val="WW8Num27"/>
  </w:style>
  <w:style w:type="numbering" w:styleId="WW8Num28">
    <w:name w:val="WW8Num28"/>
  </w:style>
  <w:style w:type="numbering" w:styleId="WW8Num29">
    <w:name w:val="WW8Num29"/>
  </w:style>
  <w:style w:type="numbering" w:styleId="WW8Num30">
    <w:name w:val="WW8Num30"/>
  </w:style>
  <w:style w:type="numbering" w:styleId="WW8Num31">
    <w:name w:val="WW8Num31"/>
  </w:style>
  <w:style w:type="numbering" w:styleId="WW8Num32">
    <w:name w:val="WW8Num32"/>
  </w:style>
  <w:style w:type="numbering" w:styleId="WW8Num33">
    <w:name w:val="WW8Num33"/>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eader" Target="header1.xml"/><Relationship Id="rId3" Type="http://schemas.openxmlformats.org/officeDocument/2006/relationships/footer" Target="footer1.xml"/><Relationship Id="rId4" Type="http://schemas.openxmlformats.org/officeDocument/2006/relationships/numbering" Target="numbering.xml"/><Relationship Id="rId5" Type="http://schemas.openxmlformats.org/officeDocument/2006/relationships/fontTable" Target="fontTable.xml"/><Relationship Id="rId6" Type="http://schemas.openxmlformats.org/officeDocument/2006/relationships/settings" Target="settings.xml"/>
</Relationships>
</file>

<file path=word/_rels/header1.xml.rels><?xml version="1.0" encoding="UTF-8"?>
<Relationships xmlns="http://schemas.openxmlformats.org/package/2006/relationships"><Relationship Id="rId1" Type="http://schemas.openxmlformats.org/officeDocument/2006/relationships/image" Target="media/image1.jpeg"/>
</Relationships>
</file>

<file path=docProps/app.xml><?xml version="1.0" encoding="utf-8"?>
<Properties xmlns="http://schemas.openxmlformats.org/officeDocument/2006/extended-properties" xmlns:vt="http://schemas.openxmlformats.org/officeDocument/2006/docPropsVTypes">
  <Template>Normal</Template>
  <TotalTime>52</TotalTime>
  <Application>LibreOffice/5.0.6.2$Linux_X86_64 LibreOffice_project/00$Build-2</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2019-07-04T16:00:00Z</dcterms:created>
  <dc:language>en-GB</dc:language>
  <cp:lastPrinted>2019-06-18T11:00:00Z</cp:lastPrinted>
  <dcterms:modified xsi:type="dcterms:W3CDTF">2019-07-10T15:58:00Z</dcterms:modified>
  <cp:revision>14</cp:revision>
  <dc:title>ACCORD CONCERNANT LES INTERVENTIONS D’URGENCE ET LES « ASTREINTES »</dc:title>
</cp:coreProperties>
</file>