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header1.xml" ContentType="application/vnd.openxmlformats-officedocument.wordprocessingml.header+xml"/>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center"/>
        <w:rPr/>
      </w:pPr>
      <w:r>
        <w:rPr>
          <w:rFonts w:cs="Arial Narrow" w:ascii="Arial Narrow" w:hAnsi="Arial Narrow"/>
          <w:b/>
          <w:sz w:val="36"/>
          <w:szCs w:val="36"/>
          <w:u w:val="single"/>
        </w:rPr>
        <w:t>AVENANT N°5 A L’ACCORD DE MODULATION</w:t>
      </w:r>
    </w:p>
    <w:p>
      <w:pPr>
        <w:pStyle w:val="Normal"/>
        <w:spacing w:lineRule="auto" w:line="276"/>
        <w:jc w:val="center"/>
        <w:rPr>
          <w:rFonts w:ascii="Arial Narrow" w:hAnsi="Arial Narrow" w:cs="Arial Narrow"/>
          <w:b/>
          <w:b/>
          <w:sz w:val="36"/>
          <w:szCs w:val="36"/>
          <w:u w:val="single"/>
        </w:rPr>
      </w:pPr>
      <w:r>
        <w:rPr>
          <w:rFonts w:cs="Arial Narrow" w:ascii="Arial Narrow" w:hAnsi="Arial Narrow"/>
          <w:b/>
          <w:sz w:val="36"/>
          <w:szCs w:val="36"/>
          <w:u w:val="single"/>
        </w:rPr>
        <w:t>DU TEMPS DE TRAVAIL DU 5 AVRIL 2000</w:t>
      </w:r>
    </w:p>
    <w:p>
      <w:pPr>
        <w:pStyle w:val="Normal"/>
        <w:tabs>
          <w:tab w:val="left" w:pos="5415" w:leader="none"/>
        </w:tabs>
        <w:rPr>
          <w:rFonts w:ascii="Arial Narrow" w:hAnsi="Arial Narrow" w:cs="Arial Narrow"/>
          <w:b/>
          <w:b/>
          <w:sz w:val="32"/>
          <w:szCs w:val="32"/>
        </w:rPr>
      </w:pPr>
      <w:r>
        <w:rPr>
          <w:rFonts w:cs="Arial Narrow" w:ascii="Arial Narrow" w:hAnsi="Arial Narrow"/>
          <w:b/>
          <w:sz w:val="32"/>
          <w:szCs w:val="32"/>
        </w:rPr>
        <w:tab/>
      </w:r>
    </w:p>
    <w:p>
      <w:pPr>
        <w:pStyle w:val="Normal"/>
        <w:rPr>
          <w:rFonts w:ascii="Arial Narrow" w:hAnsi="Arial Narrow" w:cs="Arial Narrow"/>
          <w:b/>
          <w:b/>
        </w:rPr>
      </w:pPr>
      <w:r>
        <w:rPr>
          <w:rFonts w:cs="Arial Narrow" w:ascii="Arial Narrow" w:hAnsi="Arial Narrow"/>
          <w:b/>
        </w:rPr>
        <w:t xml:space="preserve">Entre les parties : </w:t>
      </w:r>
    </w:p>
    <w:p>
      <w:pPr>
        <w:pStyle w:val="Normal"/>
        <w:rPr>
          <w:rFonts w:ascii="Arial Narrow" w:hAnsi="Arial Narrow" w:cs="Arial Narrow"/>
          <w:b/>
          <w:b/>
        </w:rPr>
      </w:pPr>
      <w:r>
        <w:rPr>
          <w:rFonts w:cs="Arial Narrow" w:ascii="Arial Narrow" w:hAnsi="Arial Narrow"/>
          <w:b/>
        </w:rPr>
      </w:r>
    </w:p>
    <w:p>
      <w:pPr>
        <w:pStyle w:val="Normal"/>
        <w:rPr/>
      </w:pPr>
      <w:r>
        <w:rPr>
          <w:rFonts w:cs="Arial Narrow" w:ascii="Arial Narrow" w:hAnsi="Arial Narrow"/>
        </w:rPr>
        <w:t>La SAS AVIAGEN France</w:t>
      </w:r>
    </w:p>
    <w:p>
      <w:pPr>
        <w:pStyle w:val="Normal"/>
        <w:ind w:left="6372" w:firstLine="708"/>
        <w:rPr>
          <w:rFonts w:ascii="Arial Narrow" w:hAnsi="Arial Narrow" w:cs="Arial Narrow"/>
        </w:rPr>
      </w:pPr>
      <w:r>
        <w:rPr>
          <w:rFonts w:cs="Arial Narrow" w:ascii="Arial Narrow" w:hAnsi="Arial Narrow"/>
        </w:rPr>
        <w:t>D’une part,</w:t>
      </w:r>
    </w:p>
    <w:p>
      <w:pPr>
        <w:pStyle w:val="Normal"/>
        <w:rPr>
          <w:rFonts w:ascii="Arial Narrow" w:hAnsi="Arial Narrow" w:cs="Arial Narrow"/>
        </w:rPr>
      </w:pPr>
      <w:r>
        <w:rPr>
          <w:rFonts w:cs="Arial Narrow" w:ascii="Arial Narrow" w:hAnsi="Arial Narrow"/>
        </w:rPr>
      </w:r>
    </w:p>
    <w:p>
      <w:pPr>
        <w:pStyle w:val="Normal"/>
        <w:rPr>
          <w:rFonts w:ascii="Arial Narrow" w:hAnsi="Arial Narrow" w:cs="Arial Narrow"/>
          <w:b/>
          <w:b/>
        </w:rPr>
      </w:pPr>
      <w:r>
        <w:rPr>
          <w:rFonts w:cs="Arial Narrow" w:ascii="Arial Narrow" w:hAnsi="Arial Narrow"/>
          <w:b/>
        </w:rPr>
        <w:t>Et</w:t>
      </w:r>
    </w:p>
    <w:p>
      <w:pPr>
        <w:pStyle w:val="Normal"/>
        <w:rPr>
          <w:rFonts w:ascii="Arial Narrow" w:hAnsi="Arial Narrow" w:cs="Arial Narrow"/>
          <w:b/>
          <w:b/>
        </w:rPr>
      </w:pPr>
      <w:r>
        <w:rPr>
          <w:rFonts w:cs="Arial Narrow" w:ascii="Arial Narrow" w:hAnsi="Arial Narrow"/>
          <w:b/>
        </w:rPr>
      </w:r>
    </w:p>
    <w:p>
      <w:pPr>
        <w:pStyle w:val="Normal"/>
        <w:rPr>
          <w:rFonts w:ascii="Arial Narrow" w:hAnsi="Arial Narrow" w:cs="Arial Narrow"/>
        </w:rPr>
      </w:pPr>
      <w:r>
        <w:rPr>
          <w:rFonts w:cs="Arial Narrow" w:ascii="Arial Narrow" w:hAnsi="Arial Narrow"/>
        </w:rPr>
        <w:t xml:space="preserve">L’organisation syndicale représentative dans l’entreprise AVIAGEN France : la CGT </w:t>
      </w:r>
    </w:p>
    <w:p>
      <w:pPr>
        <w:pStyle w:val="Normal"/>
        <w:rPr>
          <w:rFonts w:ascii="Arial Narrow" w:hAnsi="Arial Narrow" w:cs="Arial Narrow"/>
        </w:rPr>
      </w:pPr>
      <w:r>
        <w:rPr>
          <w:rFonts w:cs="Arial Narrow" w:ascii="Arial Narrow" w:hAnsi="Arial Narrow"/>
        </w:rPr>
      </w:r>
    </w:p>
    <w:p>
      <w:pPr>
        <w:pStyle w:val="Normal"/>
        <w:ind w:left="6372" w:firstLine="708"/>
        <w:rPr>
          <w:rFonts w:ascii="Arial Narrow" w:hAnsi="Arial Narrow" w:cs="Arial Narrow"/>
        </w:rPr>
      </w:pPr>
      <w:r>
        <w:rPr>
          <w:rFonts w:cs="Arial Narrow" w:ascii="Arial Narrow" w:hAnsi="Arial Narrow"/>
        </w:rPr>
        <w:t>D’autre part.</w:t>
      </w:r>
    </w:p>
    <w:p>
      <w:pPr>
        <w:pStyle w:val="Normal"/>
        <w:rPr>
          <w:rFonts w:ascii="Arial Narrow" w:hAnsi="Arial Narrow" w:cs="Arial Narrow"/>
        </w:rPr>
      </w:pPr>
      <w:r>
        <w:rPr>
          <w:rFonts w:cs="Arial Narrow" w:ascii="Arial Narrow" w:hAnsi="Arial Narrow"/>
        </w:rPr>
      </w:r>
    </w:p>
    <w:p>
      <w:pPr>
        <w:pStyle w:val="Normal"/>
        <w:rPr>
          <w:rFonts w:ascii="Arial Narrow" w:hAnsi="Arial Narrow" w:cs="Arial Narrow"/>
        </w:rPr>
      </w:pPr>
      <w:r>
        <w:rPr>
          <w:rFonts w:cs="Arial Narrow" w:ascii="Arial Narrow" w:hAnsi="Arial Narrow"/>
        </w:rPr>
      </w:r>
    </w:p>
    <w:p>
      <w:pPr>
        <w:pStyle w:val="Normal"/>
        <w:jc w:val="both"/>
        <w:rPr>
          <w:rFonts w:ascii="Arial Narrow" w:hAnsi="Arial Narrow" w:cs="Arial Narrow"/>
          <w:b/>
          <w:b/>
          <w:sz w:val="28"/>
          <w:szCs w:val="28"/>
        </w:rPr>
      </w:pPr>
      <w:r>
        <w:rPr>
          <w:rFonts w:cs="Arial Narrow" w:ascii="Arial Narrow" w:hAnsi="Arial Narrow"/>
          <w:b/>
          <w:sz w:val="28"/>
          <w:szCs w:val="28"/>
        </w:rPr>
        <w:t>Préambule</w:t>
      </w:r>
    </w:p>
    <w:p>
      <w:pPr>
        <w:pStyle w:val="Normal"/>
        <w:rPr>
          <w:rFonts w:ascii="Arial Narrow" w:hAnsi="Arial Narrow" w:cs="Arial Narrow"/>
          <w:b/>
          <w:b/>
          <w:sz w:val="28"/>
          <w:szCs w:val="28"/>
        </w:rPr>
      </w:pPr>
      <w:r>
        <w:rPr>
          <w:rFonts w:cs="Arial Narrow" w:ascii="Arial Narrow" w:hAnsi="Arial Narrow"/>
          <w:b/>
          <w:sz w:val="28"/>
          <w:szCs w:val="28"/>
        </w:rPr>
      </w:r>
    </w:p>
    <w:p>
      <w:pPr>
        <w:pStyle w:val="Normal"/>
        <w:jc w:val="both"/>
        <w:rPr>
          <w:rFonts w:ascii="Arial Narrow" w:hAnsi="Arial Narrow" w:cs="Arial Narrow"/>
        </w:rPr>
      </w:pPr>
      <w:r>
        <w:rPr>
          <w:rFonts w:cs="Arial Narrow" w:ascii="Arial Narrow" w:hAnsi="Arial Narrow"/>
        </w:rPr>
        <w:t>Le nouveau logiciel de gestion des temps a été présenté à la réunion de la Délégation Unique du Personnel du 22 octobre 2018. Il a été ensuite expliqué à l’ensemble des salariés lors des réunions d’information de décembre 2018. La phase d’expérimentation du logiciel a démarré le 1</w:t>
      </w:r>
      <w:r>
        <w:rPr>
          <w:rFonts w:cs="Arial Narrow" w:ascii="Arial Narrow" w:hAnsi="Arial Narrow"/>
          <w:vertAlign w:val="superscript"/>
        </w:rPr>
        <w:t>er</w:t>
      </w:r>
      <w:r>
        <w:rPr>
          <w:rFonts w:cs="Arial Narrow" w:ascii="Arial Narrow" w:hAnsi="Arial Narrow"/>
        </w:rPr>
        <w:t xml:space="preserve"> janvier 2019 et doit se terminer le 30 avril 2019.</w:t>
      </w:r>
    </w:p>
    <w:p>
      <w:pPr>
        <w:pStyle w:val="Normal"/>
        <w:jc w:val="both"/>
        <w:rPr>
          <w:rFonts w:ascii="Arial Narrow" w:hAnsi="Arial Narrow" w:cs="Arial Narrow"/>
        </w:rPr>
      </w:pPr>
      <w:r>
        <w:rPr>
          <w:rFonts w:cs="Arial Narrow" w:ascii="Arial Narrow" w:hAnsi="Arial Narrow"/>
        </w:rPr>
      </w:r>
    </w:p>
    <w:p>
      <w:pPr>
        <w:pStyle w:val="Normal"/>
        <w:jc w:val="both"/>
        <w:rPr>
          <w:rFonts w:ascii="Arial Narrow" w:hAnsi="Arial Narrow" w:cs="Arial Narrow"/>
        </w:rPr>
      </w:pPr>
      <w:r>
        <w:rPr>
          <w:rFonts w:cs="Arial Narrow" w:ascii="Arial Narrow" w:hAnsi="Arial Narrow"/>
        </w:rPr>
        <w:t>Ce nouveau système permet désormais à  l’ensemble des salariés (hors forfait jours) de badger leurs entrées et sorties et fournit une collecte des temps de présence et d’activité très précise. Une interface automatique transfère par la suite les données de temps directement dans le logiciel de paye.</w:t>
      </w:r>
    </w:p>
    <w:p>
      <w:pPr>
        <w:pStyle w:val="Normal"/>
        <w:jc w:val="both"/>
        <w:rPr>
          <w:rFonts w:ascii="Arial Narrow" w:hAnsi="Arial Narrow" w:cs="Arial Narrow"/>
        </w:rPr>
      </w:pPr>
      <w:r>
        <w:rPr>
          <w:rFonts w:cs="Arial Narrow" w:ascii="Arial Narrow" w:hAnsi="Arial Narrow"/>
        </w:rPr>
      </w:r>
    </w:p>
    <w:p>
      <w:pPr>
        <w:pStyle w:val="Normal"/>
        <w:jc w:val="both"/>
        <w:rPr>
          <w:rFonts w:ascii="Arial Narrow" w:hAnsi="Arial Narrow" w:cs="Arial Narrow"/>
        </w:rPr>
      </w:pPr>
      <w:r>
        <w:rPr>
          <w:rFonts w:cs="Arial Narrow" w:ascii="Arial Narrow" w:hAnsi="Arial Narrow"/>
        </w:rPr>
        <w:t xml:space="preserve">Le paramétrage de ce nouveau logiciel a amené les parties à se rencontrer et à négocier des modifications sur la gestion du temps de travail des salariés hors forfait jours. </w:t>
      </w:r>
    </w:p>
    <w:p>
      <w:pPr>
        <w:pStyle w:val="Normal"/>
        <w:rPr>
          <w:rFonts w:ascii="Arial Narrow" w:hAnsi="Arial Narrow" w:cs="Arial Narrow"/>
        </w:rPr>
      </w:pPr>
      <w:r>
        <w:rPr>
          <w:rFonts w:cs="Arial Narrow" w:ascii="Arial Narrow" w:hAnsi="Arial Narrow"/>
        </w:rPr>
      </w:r>
    </w:p>
    <w:p>
      <w:pPr>
        <w:pStyle w:val="Normal"/>
        <w:jc w:val="both"/>
        <w:rPr>
          <w:rFonts w:ascii="Arial Narrow" w:hAnsi="Arial Narrow" w:cs="Arial Narrow"/>
        </w:rPr>
      </w:pPr>
      <w:r>
        <w:rPr>
          <w:rFonts w:cs="Arial Narrow" w:ascii="Arial Narrow" w:hAnsi="Arial Narrow"/>
        </w:rPr>
        <w:t>Les parties en profitent également pour adapter le fonctionnement de la commission de suivi de l’accord au nouveau Comité Social et Economique.</w:t>
      </w:r>
    </w:p>
    <w:p>
      <w:pPr>
        <w:pStyle w:val="Normal"/>
        <w:ind w:left="-284" w:hanging="0"/>
        <w:jc w:val="both"/>
        <w:rPr>
          <w:rFonts w:ascii="Arial Narrow" w:hAnsi="Arial Narrow" w:cs="Arial"/>
        </w:rPr>
      </w:pPr>
      <w:r>
        <w:rPr>
          <w:rFonts w:cs="Arial" w:ascii="Arial Narrow" w:hAnsi="Arial Narrow"/>
        </w:rPr>
      </w:r>
    </w:p>
    <w:p>
      <w:pPr>
        <w:pStyle w:val="Normal"/>
        <w:jc w:val="both"/>
        <w:rPr/>
      </w:pPr>
      <w:r>
        <w:rPr>
          <w:rFonts w:cs="Arial Narrow" w:ascii="Arial Narrow" w:hAnsi="Arial Narrow"/>
        </w:rPr>
        <w:t>Par conséquent, les parties ont décidé, par le présent avenant, de modifier les dispositions des articles suivants :</w:t>
      </w:r>
    </w:p>
    <w:p>
      <w:pPr>
        <w:pStyle w:val="Normal"/>
        <w:rPr>
          <w:rFonts w:ascii="Arial Narrow" w:hAnsi="Arial Narrow" w:cs="Arial Narrow"/>
        </w:rPr>
      </w:pPr>
      <w:r>
        <w:rPr>
          <w:rFonts w:cs="Arial Narrow" w:ascii="Arial Narrow" w:hAnsi="Arial Narrow"/>
        </w:rPr>
      </w:r>
    </w:p>
    <w:p>
      <w:pPr>
        <w:pStyle w:val="Normal"/>
        <w:rPr>
          <w:rFonts w:ascii="Arial Narrow" w:hAnsi="Arial Narrow" w:cs="Arial Narrow"/>
        </w:rPr>
      </w:pPr>
      <w:r>
        <w:rPr>
          <w:rFonts w:cs="Arial Narrow" w:ascii="Arial Narrow" w:hAnsi="Arial Narrow"/>
        </w:rPr>
      </w:r>
    </w:p>
    <w:p>
      <w:pPr>
        <w:pStyle w:val="Normal"/>
        <w:jc w:val="both"/>
        <w:rPr>
          <w:rFonts w:ascii="Arial Narrow" w:hAnsi="Arial Narrow" w:cs="Arial Narrow"/>
          <w:b/>
          <w:b/>
          <w:sz w:val="28"/>
          <w:szCs w:val="28"/>
        </w:rPr>
      </w:pPr>
      <w:r>
        <w:rPr>
          <w:rFonts w:cs="Arial Narrow" w:ascii="Arial Narrow" w:hAnsi="Arial Narrow"/>
          <w:b/>
          <w:sz w:val="28"/>
          <w:szCs w:val="28"/>
        </w:rPr>
        <w:t>Article 5.2</w:t>
      </w:r>
    </w:p>
    <w:p>
      <w:pPr>
        <w:pStyle w:val="Normal"/>
        <w:jc w:val="both"/>
        <w:rPr>
          <w:rFonts w:ascii="Arial Narrow" w:hAnsi="Arial Narrow" w:cs="Arial Narrow"/>
          <w:b/>
          <w:b/>
          <w:sz w:val="28"/>
          <w:szCs w:val="28"/>
        </w:rPr>
      </w:pPr>
      <w:r>
        <w:rPr>
          <w:rFonts w:cs="Arial Narrow" w:ascii="Arial Narrow" w:hAnsi="Arial Narrow"/>
          <w:b/>
          <w:sz w:val="28"/>
          <w:szCs w:val="28"/>
        </w:rPr>
      </w:r>
    </w:p>
    <w:p>
      <w:pPr>
        <w:pStyle w:val="Normal"/>
        <w:jc w:val="both"/>
        <w:rPr>
          <w:rFonts w:ascii="Arial Narrow" w:hAnsi="Arial Narrow" w:cs="Arial Narrow"/>
        </w:rPr>
      </w:pPr>
      <w:r>
        <w:rPr>
          <w:rFonts w:cs="Arial Narrow" w:ascii="Arial Narrow" w:hAnsi="Arial Narrow"/>
        </w:rPr>
        <w:t>La durée hebdomadaire moyenne de travail est fixée à 35 heures.</w:t>
      </w:r>
    </w:p>
    <w:p>
      <w:pPr>
        <w:pStyle w:val="Normal"/>
        <w:jc w:val="both"/>
        <w:rPr>
          <w:rFonts w:ascii="Arial Narrow" w:hAnsi="Arial Narrow" w:cs="Arial Narrow"/>
        </w:rPr>
      </w:pPr>
      <w:r>
        <w:rPr>
          <w:rFonts w:cs="Arial Narrow" w:ascii="Arial Narrow" w:hAnsi="Arial Narrow"/>
        </w:rPr>
      </w:r>
    </w:p>
    <w:p>
      <w:pPr>
        <w:pStyle w:val="Normal"/>
        <w:jc w:val="both"/>
        <w:rPr>
          <w:rFonts w:ascii="Arial Narrow" w:hAnsi="Arial Narrow" w:eastAsia="Calibri" w:cs="Arial Narrow"/>
          <w:sz w:val="22"/>
          <w:szCs w:val="22"/>
          <w:lang w:eastAsia="en-US"/>
        </w:rPr>
      </w:pPr>
      <w:r>
        <w:rPr>
          <w:rFonts w:cs="Arial Narrow" w:ascii="Arial Narrow" w:hAnsi="Arial Narrow"/>
        </w:rPr>
        <w:t>Dans le cadre du présent avenant, il est convenu que la semaine civile s’entend du lundi 0 heure au dimanche 24 heures. Cette durée hebdomadaire de référence concerne tous les salariés exerçant une activité à temps complet.</w:t>
      </w:r>
      <w:r>
        <w:rPr>
          <w:rFonts w:eastAsia="Calibri" w:cs="Arial Narrow" w:ascii="Arial Narrow" w:hAnsi="Arial Narrow"/>
          <w:sz w:val="22"/>
          <w:szCs w:val="22"/>
          <w:lang w:eastAsia="en-US"/>
        </w:rPr>
        <w:t xml:space="preserve"> </w:t>
      </w:r>
    </w:p>
    <w:p>
      <w:pPr>
        <w:pStyle w:val="Normal"/>
        <w:rPr>
          <w:rFonts w:ascii="Arial Narrow" w:hAnsi="Arial Narrow" w:eastAsia="Calibri" w:cs="Arial Narrow"/>
          <w:sz w:val="22"/>
          <w:szCs w:val="22"/>
          <w:lang w:eastAsia="en-US"/>
        </w:rPr>
      </w:pPr>
      <w:r>
        <w:rPr>
          <w:rFonts w:eastAsia="Calibri" w:cs="Arial Narrow" w:ascii="Arial Narrow" w:hAnsi="Arial Narrow"/>
          <w:sz w:val="22"/>
          <w:szCs w:val="22"/>
          <w:lang w:eastAsia="en-US"/>
        </w:rPr>
      </w:r>
    </w:p>
    <w:p>
      <w:pPr>
        <w:pStyle w:val="Normal"/>
        <w:jc w:val="both"/>
        <w:rPr/>
      </w:pPr>
      <w:r>
        <w:rPr>
          <w:rFonts w:cs="Arial Narrow" w:ascii="Arial Narrow" w:hAnsi="Arial Narrow"/>
        </w:rPr>
        <w:t>Les parties conviennent d’exclure du temps de travail effectif de l’ensemble du personnel non-cadre hors forfait jours, le temps consacré au protocole d’hygiène.</w:t>
      </w:r>
    </w:p>
    <w:p>
      <w:pPr>
        <w:pStyle w:val="Normal"/>
        <w:jc w:val="both"/>
        <w:rPr>
          <w:rFonts w:ascii="Arial Narrow" w:hAnsi="Arial Narrow" w:cs="Arial Narrow"/>
        </w:rPr>
      </w:pPr>
      <w:r>
        <w:rPr>
          <w:rFonts w:cs="Arial Narrow" w:ascii="Arial Narrow" w:hAnsi="Arial Narrow"/>
        </w:rPr>
      </w:r>
    </w:p>
    <w:p>
      <w:pPr>
        <w:pStyle w:val="Normal"/>
        <w:jc w:val="both"/>
        <w:rPr>
          <w:rFonts w:ascii="Arial Narrow" w:hAnsi="Arial Narrow" w:cs="Arial Narrow"/>
        </w:rPr>
      </w:pPr>
      <w:r>
        <w:rPr>
          <w:rFonts w:cs="Arial Narrow" w:ascii="Arial Narrow" w:hAnsi="Arial Narrow"/>
        </w:rPr>
        <w:t>Cette exclusion est compensée par une prime biosécurité correspondant à un forfait de 10 minutes du taux horaire indexé des majorations correspondantes (nuit, samedi, dimanche et jours fériés). Cette prime est versée mensuellement en fonction des périodes de paye définies par la Direction.</w:t>
      </w:r>
    </w:p>
    <w:p>
      <w:pPr>
        <w:pStyle w:val="Normal"/>
        <w:jc w:val="both"/>
        <w:rPr>
          <w:rFonts w:ascii="Arial Narrow" w:hAnsi="Arial Narrow" w:cs="Arial Narrow"/>
        </w:rPr>
      </w:pPr>
      <w:r>
        <w:rPr>
          <w:rFonts w:cs="Arial Narrow" w:ascii="Arial Narrow" w:hAnsi="Arial Narrow"/>
        </w:rPr>
      </w:r>
    </w:p>
    <w:p>
      <w:pPr>
        <w:pStyle w:val="Normal"/>
        <w:rPr>
          <w:rFonts w:ascii="Arial Narrow" w:hAnsi="Arial Narrow" w:cs="Arial Narrow"/>
        </w:rPr>
      </w:pPr>
      <w:r>
        <w:rPr>
          <w:rFonts w:cs="Arial Narrow" w:ascii="Arial Narrow" w:hAnsi="Arial Narrow"/>
        </w:rPr>
      </w:r>
    </w:p>
    <w:p>
      <w:pPr>
        <w:pStyle w:val="Normal"/>
        <w:jc w:val="both"/>
        <w:rPr>
          <w:rFonts w:ascii="Arial Narrow" w:hAnsi="Arial Narrow" w:cs="Arial Narrow"/>
          <w:b/>
          <w:b/>
          <w:sz w:val="28"/>
          <w:szCs w:val="28"/>
        </w:rPr>
      </w:pPr>
      <w:r>
        <w:rPr>
          <w:rFonts w:cs="Arial Narrow" w:ascii="Arial Narrow" w:hAnsi="Arial Narrow"/>
          <w:b/>
          <w:sz w:val="28"/>
          <w:szCs w:val="28"/>
        </w:rPr>
        <w:t>Article 18 Commission de suivi</w:t>
      </w:r>
    </w:p>
    <w:p>
      <w:pPr>
        <w:pStyle w:val="Normal"/>
        <w:jc w:val="both"/>
        <w:rPr>
          <w:rFonts w:ascii="Arial Narrow" w:hAnsi="Arial Narrow" w:cs="Arial Narrow"/>
          <w:b/>
          <w:b/>
          <w:sz w:val="28"/>
          <w:szCs w:val="28"/>
        </w:rPr>
      </w:pPr>
      <w:r>
        <w:rPr>
          <w:rFonts w:cs="Arial Narrow" w:ascii="Arial Narrow" w:hAnsi="Arial Narrow"/>
          <w:b/>
          <w:sz w:val="28"/>
          <w:szCs w:val="28"/>
        </w:rPr>
      </w:r>
    </w:p>
    <w:p>
      <w:pPr>
        <w:pStyle w:val="Normal"/>
        <w:spacing w:lineRule="auto" w:line="276"/>
        <w:jc w:val="both"/>
        <w:rPr/>
      </w:pPr>
      <w:r>
        <w:rPr>
          <w:rFonts w:cs="Arial Narrow" w:ascii="Arial Narrow" w:hAnsi="Arial Narrow"/>
        </w:rPr>
        <w:t>Le délégué syndical bénéficie d’un crédit d’heures individuel spécifique de 14 heures par an au titre du suivi de l’accord. Ce crédit sera augmenté de 7 heures les années où il y aura une renégociation de l’accord.</w:t>
      </w:r>
    </w:p>
    <w:p>
      <w:pPr>
        <w:pStyle w:val="Normal"/>
        <w:spacing w:lineRule="auto" w:line="276"/>
        <w:jc w:val="both"/>
        <w:rPr>
          <w:rFonts w:ascii="Arial Narrow" w:hAnsi="Arial Narrow" w:cs="Arial Narrow"/>
        </w:rPr>
      </w:pPr>
      <w:r>
        <w:rPr>
          <w:rFonts w:cs="Arial Narrow" w:ascii="Arial Narrow" w:hAnsi="Arial Narrow"/>
        </w:rPr>
      </w:r>
    </w:p>
    <w:p>
      <w:pPr>
        <w:pStyle w:val="Normal"/>
        <w:spacing w:lineRule="auto" w:line="276"/>
        <w:jc w:val="both"/>
        <w:rPr/>
      </w:pPr>
      <w:r>
        <w:rPr>
          <w:rFonts w:cs="Arial Narrow" w:ascii="Arial Narrow" w:hAnsi="Arial Narrow"/>
        </w:rPr>
        <w:t>Le temps passé en réunion n’est pas décompté sur ce crédit. La gestion de ce crédit d’heures et les modalités de son utilisation, tant par l’entreprise que le salarié bénéficiaire, s’appuient sur les dispositions générales régissant les délégations des représentants du personnel.</w:t>
      </w:r>
    </w:p>
    <w:p>
      <w:pPr>
        <w:pStyle w:val="Normal"/>
        <w:spacing w:lineRule="auto" w:line="276"/>
        <w:jc w:val="both"/>
        <w:rPr>
          <w:rFonts w:ascii="Arial Narrow" w:hAnsi="Arial Narrow" w:cs="Arial Narrow"/>
        </w:rPr>
      </w:pPr>
      <w:r>
        <w:rPr>
          <w:rFonts w:cs="Arial Narrow" w:ascii="Arial Narrow" w:hAnsi="Arial Narrow"/>
        </w:rPr>
      </w:r>
    </w:p>
    <w:p>
      <w:pPr>
        <w:pStyle w:val="Normal"/>
        <w:spacing w:lineRule="auto" w:line="276"/>
        <w:jc w:val="both"/>
        <w:rPr/>
      </w:pPr>
      <w:r>
        <w:rPr>
          <w:rFonts w:cs="Arial Narrow" w:ascii="Arial Narrow" w:hAnsi="Arial Narrow"/>
        </w:rPr>
        <w:t xml:space="preserve">Les frais de déplacements liés cette mission sont pris en charge par l’entreprise selon les règles en vigueur pour les déplacements du personnel. </w:t>
      </w:r>
    </w:p>
    <w:p>
      <w:pPr>
        <w:pStyle w:val="Normal"/>
        <w:spacing w:lineRule="auto" w:line="276"/>
        <w:jc w:val="both"/>
        <w:rPr>
          <w:rFonts w:ascii="Arial Narrow" w:hAnsi="Arial Narrow" w:cs="Arial Narrow"/>
        </w:rPr>
      </w:pPr>
      <w:r>
        <w:rPr>
          <w:rFonts w:cs="Arial Narrow" w:ascii="Arial Narrow" w:hAnsi="Arial Narrow"/>
        </w:rPr>
      </w:r>
    </w:p>
    <w:p>
      <w:pPr>
        <w:pStyle w:val="Normal"/>
        <w:spacing w:lineRule="auto" w:line="276"/>
        <w:jc w:val="both"/>
        <w:rPr/>
      </w:pPr>
      <w:r>
        <w:rPr>
          <w:rFonts w:cs="Arial Narrow" w:ascii="Arial Narrow" w:hAnsi="Arial Narrow"/>
        </w:rPr>
        <w:t>La commission de suivi se réunira semestriellement, et à la demande de l’une ou l’autre des parties. Dans ce dernier cas, la réunion se tiendra dans les 15 jours suivant la demande formulée par écrit, avec précision des problèmes à traiter ou des modifications souhaitées.</w:t>
      </w:r>
    </w:p>
    <w:p>
      <w:pPr>
        <w:pStyle w:val="Normal"/>
        <w:spacing w:lineRule="auto" w:line="276"/>
        <w:jc w:val="both"/>
        <w:rPr>
          <w:rFonts w:ascii="Arial Narrow" w:hAnsi="Arial Narrow" w:cs="Arial Narrow"/>
        </w:rPr>
      </w:pPr>
      <w:r>
        <w:rPr>
          <w:rFonts w:cs="Arial Narrow" w:ascii="Arial Narrow" w:hAnsi="Arial Narrow"/>
        </w:rPr>
      </w:r>
    </w:p>
    <w:p>
      <w:pPr>
        <w:pStyle w:val="Normal"/>
        <w:spacing w:lineRule="auto" w:line="276"/>
        <w:jc w:val="both"/>
        <w:rPr>
          <w:rFonts w:ascii="Arial Narrow" w:hAnsi="Arial Narrow" w:cs="Arial Narrow"/>
        </w:rPr>
      </w:pPr>
      <w:r>
        <w:rPr>
          <w:rFonts w:cs="Arial Narrow" w:ascii="Arial Narrow" w:hAnsi="Arial Narrow"/>
        </w:rPr>
        <w:t>Un compte rendu sera établi à chaque réunion et archivé dans un classeur consultable à tout moment.</w:t>
      </w:r>
    </w:p>
    <w:p>
      <w:pPr>
        <w:pStyle w:val="Normal"/>
        <w:rPr>
          <w:rFonts w:ascii="Arial Narrow" w:hAnsi="Arial Narrow" w:cs="Arial Narrow"/>
        </w:rPr>
      </w:pPr>
      <w:r>
        <w:rPr>
          <w:rFonts w:cs="Arial Narrow" w:ascii="Arial Narrow" w:hAnsi="Arial Narrow"/>
        </w:rPr>
      </w:r>
    </w:p>
    <w:p>
      <w:pPr>
        <w:pStyle w:val="Normal"/>
        <w:rPr/>
      </w:pPr>
      <w:r>
        <w:rPr/>
      </w:r>
    </w:p>
    <w:p>
      <w:pPr>
        <w:pStyle w:val="Normal"/>
        <w:rPr/>
      </w:pPr>
      <w:r>
        <w:rPr/>
      </w:r>
    </w:p>
    <w:p>
      <w:pPr>
        <w:pStyle w:val="Normal"/>
        <w:rPr/>
      </w:pPr>
      <w:r>
        <w:rPr/>
      </w:r>
    </w:p>
    <w:p>
      <w:pPr>
        <w:pStyle w:val="Normal"/>
        <w:jc w:val="both"/>
        <w:rPr>
          <w:rFonts w:ascii="Arial Narrow" w:hAnsi="Arial Narrow" w:cs="Arial Narrow"/>
          <w:b/>
          <w:b/>
          <w:sz w:val="28"/>
          <w:szCs w:val="28"/>
        </w:rPr>
      </w:pPr>
      <w:r>
        <w:rPr>
          <w:rFonts w:cs="Arial Narrow" w:ascii="Arial Narrow" w:hAnsi="Arial Narrow"/>
          <w:b/>
          <w:sz w:val="28"/>
          <w:szCs w:val="28"/>
        </w:rPr>
        <w:t>Article 19 Dépôt légal</w:t>
      </w:r>
    </w:p>
    <w:p>
      <w:pPr>
        <w:pStyle w:val="Normal"/>
        <w:spacing w:lineRule="auto" w:line="276"/>
        <w:ind w:left="360" w:hanging="0"/>
        <w:jc w:val="both"/>
        <w:rPr>
          <w:rFonts w:ascii="Arial Narrow" w:hAnsi="Arial Narrow" w:eastAsia="Calibri" w:cs="Arial Narrow"/>
          <w:b/>
          <w:b/>
          <w:sz w:val="22"/>
          <w:szCs w:val="22"/>
          <w:lang w:eastAsia="en-US"/>
        </w:rPr>
      </w:pPr>
      <w:r>
        <w:rPr>
          <w:rFonts w:eastAsia="Calibri" w:cs="Arial Narrow" w:ascii="Arial Narrow" w:hAnsi="Arial Narrow"/>
          <w:b/>
          <w:sz w:val="22"/>
          <w:szCs w:val="22"/>
          <w:lang w:eastAsia="en-US"/>
        </w:rPr>
      </w:r>
    </w:p>
    <w:p>
      <w:pPr>
        <w:pStyle w:val="Normal"/>
        <w:jc w:val="both"/>
        <w:rPr>
          <w:rFonts w:ascii="Arial Narrow" w:hAnsi="Arial Narrow" w:cs="Arial Narrow"/>
        </w:rPr>
      </w:pPr>
      <w:r>
        <w:rPr>
          <w:rFonts w:cs="Arial Narrow" w:ascii="Arial Narrow" w:hAnsi="Arial Narrow"/>
        </w:rPr>
        <w:t>Le présent accord sera porté à la connaissance du personnel par voie d’affichage.</w:t>
      </w:r>
    </w:p>
    <w:p>
      <w:pPr>
        <w:pStyle w:val="Normal"/>
        <w:jc w:val="both"/>
        <w:rPr>
          <w:rFonts w:ascii="Arial Narrow" w:hAnsi="Arial Narrow" w:cs="Arial Narrow"/>
        </w:rPr>
      </w:pPr>
      <w:r>
        <w:rPr>
          <w:rFonts w:cs="Arial Narrow" w:ascii="Arial Narrow" w:hAnsi="Arial Narrow"/>
        </w:rPr>
      </w:r>
    </w:p>
    <w:p>
      <w:pPr>
        <w:pStyle w:val="Normal"/>
        <w:jc w:val="both"/>
        <w:rPr>
          <w:rFonts w:ascii="Arial Narrow" w:hAnsi="Arial Narrow" w:cs="Arial Narrow"/>
        </w:rPr>
      </w:pPr>
      <w:r>
        <w:rPr>
          <w:rFonts w:cs="Arial Narrow" w:ascii="Arial Narrow" w:hAnsi="Arial Narrow"/>
        </w:rPr>
        <w:t>Le présent accord sera notifié par la partie la plus diligente à chacune des organisations syndicales représentatives dans le périmètre de l’accord, à l’issue de la procédure de signature.</w:t>
      </w:r>
    </w:p>
    <w:p>
      <w:pPr>
        <w:pStyle w:val="Normal"/>
        <w:jc w:val="both"/>
        <w:rPr>
          <w:rFonts w:ascii="Arial Narrow" w:hAnsi="Arial Narrow" w:cs="Arial Narrow"/>
        </w:rPr>
      </w:pPr>
      <w:r>
        <w:rPr>
          <w:rFonts w:cs="Arial Narrow" w:ascii="Arial Narrow" w:hAnsi="Arial Narrow"/>
        </w:rPr>
      </w:r>
    </w:p>
    <w:p>
      <w:pPr>
        <w:pStyle w:val="Normal"/>
        <w:jc w:val="both"/>
        <w:rPr>
          <w:rFonts w:ascii="Arial Narrow" w:hAnsi="Arial Narrow" w:cs="Arial Narrow"/>
        </w:rPr>
      </w:pPr>
      <w:r>
        <w:rPr>
          <w:rFonts w:cs="Arial Narrow" w:ascii="Arial Narrow" w:hAnsi="Arial Narrow"/>
        </w:rPr>
        <w:t>Il sera ensuite déposé sur la plateforme de téléprocédure TéléAccords et remis au greffe du Conseil de Prud’hommes.</w:t>
      </w:r>
    </w:p>
    <w:p>
      <w:pPr>
        <w:pStyle w:val="Normal"/>
        <w:jc w:val="both"/>
        <w:rPr>
          <w:rFonts w:ascii="Arial Narrow" w:hAnsi="Arial Narrow" w:cs="Arial Narrow"/>
          <w:strike/>
        </w:rPr>
      </w:pPr>
      <w:r>
        <w:rPr>
          <w:rFonts w:cs="Arial Narrow" w:ascii="Arial Narrow" w:hAnsi="Arial Narrow"/>
          <w:strike/>
        </w:rPr>
      </w:r>
    </w:p>
    <w:p>
      <w:pPr>
        <w:pStyle w:val="Normal"/>
        <w:rPr>
          <w:strike/>
        </w:rPr>
      </w:pPr>
      <w:r>
        <w:rPr>
          <w:strike/>
        </w:rPr>
      </w:r>
    </w:p>
    <w:p>
      <w:pPr>
        <w:pStyle w:val="Normal"/>
        <w:jc w:val="both"/>
        <w:rPr>
          <w:rFonts w:ascii="Arial Narrow" w:hAnsi="Arial Narrow" w:cs="Arial Narrow"/>
          <w:i/>
          <w:i/>
        </w:rPr>
      </w:pPr>
      <w:r>
        <w:rPr>
          <w:rFonts w:cs="Arial Narrow" w:ascii="Arial Narrow" w:hAnsi="Arial Narrow"/>
          <w:i/>
        </w:rPr>
        <w:t>Les autres dispositions de l’accord de modulation du temps de travail et de ses avenants demeurent inchangées.</w:t>
      </w:r>
    </w:p>
    <w:p>
      <w:pPr>
        <w:pStyle w:val="Normal"/>
        <w:jc w:val="both"/>
        <w:rPr>
          <w:rFonts w:ascii="Arial Narrow" w:hAnsi="Arial Narrow" w:cs="Arial Narrow"/>
          <w:i/>
          <w:i/>
        </w:rPr>
      </w:pPr>
      <w:r>
        <w:rPr>
          <w:rFonts w:cs="Arial Narrow" w:ascii="Arial Narrow" w:hAnsi="Arial Narrow"/>
          <w:i/>
        </w:rPr>
      </w:r>
    </w:p>
    <w:p>
      <w:pPr>
        <w:pStyle w:val="Normal"/>
        <w:jc w:val="both"/>
        <w:rPr/>
      </w:pPr>
      <w:r>
        <w:rPr/>
      </w:r>
    </w:p>
    <w:p>
      <w:pPr>
        <w:pStyle w:val="Normal"/>
        <w:jc w:val="both"/>
        <w:rPr>
          <w:rFonts w:ascii="Arial Narrow" w:hAnsi="Arial Narrow" w:cs="Arial Narrow"/>
        </w:rPr>
      </w:pPr>
      <w:r>
        <w:rPr>
          <w:rFonts w:cs="Arial Narrow" w:ascii="Arial Narrow" w:hAnsi="Arial Narrow"/>
        </w:rPr>
        <w:t xml:space="preserve">Fait à Beaucouzé, le </w:t>
      </w:r>
    </w:p>
    <w:p>
      <w:pPr>
        <w:pStyle w:val="Normal"/>
        <w:jc w:val="both"/>
        <w:rPr>
          <w:rFonts w:ascii="Arial Narrow" w:hAnsi="Arial Narrow" w:cs="Arial Narrow"/>
        </w:rPr>
      </w:pPr>
      <w:r>
        <w:rPr>
          <w:rFonts w:cs="Arial Narrow" w:ascii="Arial Narrow" w:hAnsi="Arial Narrow"/>
        </w:rPr>
      </w:r>
    </w:p>
    <w:p>
      <w:pPr>
        <w:pStyle w:val="Normal"/>
        <w:rPr>
          <w:rFonts w:ascii="Arial Narrow" w:hAnsi="Arial Narrow" w:cs="Arial Narrow"/>
        </w:rPr>
      </w:pPr>
      <w:r>
        <w:rPr>
          <w:rFonts w:cs="Arial Narrow" w:ascii="Arial Narrow" w:hAnsi="Arial Narrow"/>
        </w:rPr>
      </w:r>
    </w:p>
    <w:p>
      <w:pPr>
        <w:pStyle w:val="Normal"/>
        <w:rPr>
          <w:rFonts w:ascii="Arial Narrow" w:hAnsi="Arial Narrow" w:cs="Arial Narrow"/>
        </w:rPr>
      </w:pPr>
      <w:r>
        <w:rPr>
          <w:rFonts w:cs="Arial Narrow" w:ascii="Arial Narrow" w:hAnsi="Arial Narrow"/>
        </w:rPr>
        <w:t>Pour Aviagen France</w:t>
      </w:r>
    </w:p>
    <w:p>
      <w:pPr>
        <w:pStyle w:val="Normal"/>
        <w:rPr>
          <w:rFonts w:ascii="Arial Narrow" w:hAnsi="Arial Narrow" w:cs="Arial Narrow"/>
        </w:rPr>
      </w:pPr>
      <w:r>
        <w:rPr>
          <w:rFonts w:cs="Arial Narrow" w:ascii="Arial Narrow" w:hAnsi="Arial Narrow"/>
        </w:rPr>
      </w:r>
    </w:p>
    <w:p>
      <w:pPr>
        <w:pStyle w:val="Normal"/>
        <w:rPr>
          <w:rFonts w:ascii="Arial Narrow" w:hAnsi="Arial Narrow" w:cs="Arial Narrow"/>
        </w:rPr>
      </w:pPr>
      <w:r>
        <w:rPr>
          <w:rFonts w:cs="Arial Narrow" w:ascii="Arial Narrow" w:hAnsi="Arial Narrow"/>
        </w:rPr>
      </w:r>
    </w:p>
    <w:p>
      <w:pPr>
        <w:pStyle w:val="Normal"/>
        <w:rPr>
          <w:rFonts w:ascii="Arial Narrow" w:hAnsi="Arial Narrow" w:cs="Arial Narrow"/>
        </w:rPr>
      </w:pPr>
      <w:r>
        <w:rPr>
          <w:rFonts w:cs="Arial Narrow" w:ascii="Arial Narrow" w:hAnsi="Arial Narrow"/>
        </w:rPr>
        <w:t>Pour la CGT</w:t>
      </w:r>
    </w:p>
    <w:p>
      <w:pPr>
        <w:pStyle w:val="Normal"/>
        <w:rPr>
          <w:rFonts w:ascii="Arial Narrow" w:hAnsi="Arial Narrow" w:cs="Arial Narrow"/>
        </w:rPr>
      </w:pPr>
      <w:r>
        <w:rPr>
          <w:rFonts w:cs="Arial Narrow" w:ascii="Arial Narrow" w:hAnsi="Arial Narrow"/>
        </w:rPr>
      </w:r>
    </w:p>
    <w:p>
      <w:pPr>
        <w:pStyle w:val="Normal"/>
        <w:rPr>
          <w:rFonts w:ascii="Arial Narrow" w:hAnsi="Arial Narrow" w:cs="Arial Narrow"/>
        </w:rPr>
      </w:pPr>
      <w:r>
        <w:rPr>
          <w:rFonts w:cs="Arial Narrow" w:ascii="Arial Narrow" w:hAnsi="Arial Narrow"/>
        </w:rPr>
      </w:r>
    </w:p>
    <w:sectPr>
      <w:headerReference w:type="default" r:id="rId2"/>
      <w:footerReference w:type="default" r:id="rId3"/>
      <w:type w:val="nextPage"/>
      <w:pgSz w:w="11906" w:h="16838"/>
      <w:pgMar w:left="1080" w:right="1080" w:header="709" w:top="1440" w:footer="709"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Courier New">
    <w:charset w:val="00"/>
    <w:family w:val="modern"/>
    <w:pitch w:val="default"/>
  </w:font>
  <w:font w:name="Wingdings">
    <w:charset w:val="02"/>
    <w:family w:val="auto"/>
    <w:pitch w:val="variable"/>
  </w:font>
  <w:font w:name="Tahoma">
    <w:charset w:val="00"/>
    <w:family w:val="swiss"/>
    <w:pitch w:val="variable"/>
  </w:font>
  <w:font w:name="Goudy Old Style">
    <w:charset w:val="00"/>
    <w:family w:val="roman"/>
    <w:pitch w:val="variable"/>
  </w:font>
  <w:font w:name="Iskoola Pota">
    <w:charset w:val="00"/>
    <w:family w:val="swiss"/>
    <w:pitch w:val="variable"/>
  </w:font>
  <w:font w:name="Liberation Sans">
    <w:altName w:val="Arial"/>
    <w:charset w:val="01"/>
    <w:family w:val="swiss"/>
    <w:pitch w:val="variable"/>
  </w:font>
  <w:font w:name="Calibri">
    <w:charset w:val="00"/>
    <w:family w:val="swiss"/>
    <w:pitch w:val="variable"/>
  </w:font>
  <w:font w:name="robotolight">
    <w:altName w:val="Times New Roman"/>
    <w:charset w:val="00"/>
    <w:family w:val="auto"/>
    <w:pitch w:val="default"/>
  </w:font>
  <w:font w:name="Arial Narrow">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ind w:right="-671" w:hanging="0"/>
      <w:jc w:val="center"/>
      <w:rPr>
        <w:rFonts w:ascii="Arial" w:hAnsi="Arial" w:cs="Arial"/>
        <w:sz w:val="16"/>
        <w:szCs w:val="16"/>
      </w:rPr>
    </w:pPr>
    <w:r>
      <w:rPr>
        <w:rFonts w:cs="Arial" w:ascii="Arial" w:hAnsi="Arial"/>
        <w:sz w:val="16"/>
        <w:szCs w:val="16"/>
      </w:rPr>
      <w:t>Tél : + 33 (0)2 41 37 01 90 – Fax : +33 (0)2 41 37 84 20</w:t>
    </w:r>
  </w:p>
  <w:p>
    <w:pPr>
      <w:pStyle w:val="Normal"/>
      <w:ind w:left="-1418" w:right="-851" w:firstLine="539"/>
      <w:jc w:val="center"/>
      <w:rPr/>
    </w:pPr>
    <w:r>
      <w:rPr>
        <w:rFonts w:cs="Arial" w:ascii="Arial" w:hAnsi="Arial"/>
        <w:sz w:val="16"/>
        <w:szCs w:val="16"/>
      </w:rPr>
      <w:t>Société par Actions Simplifiée au capital de 2 200 000 Euros – R.C.S. Angers B 525 356 028 –  Siret 525 356 028 00023 - TVA FR 68 525 356 028</w:t>
    </w:r>
  </w:p>
  <w:p>
    <w:pPr>
      <w:pStyle w:val="Footer"/>
      <w:rPr>
        <w:rFonts w:ascii="Arial" w:hAnsi="Arial" w:cs="Arial"/>
        <w:sz w:val="16"/>
        <w:szCs w:val="16"/>
      </w:rPr>
    </w:pPr>
    <w:r>
      <w:rPr>
        <w:rFonts w:cs="Arial" w:ascii="Arial" w:hAnsi="Arial"/>
        <w:sz w:val="16"/>
        <w:szCs w:val="16"/>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456" w:type="dxa"/>
      <w:jc w:val="left"/>
      <w:tblInd w:w="0" w:type="dxa"/>
      <w:tblBorders/>
      <w:tblCellMar>
        <w:top w:w="0" w:type="dxa"/>
        <w:left w:w="108" w:type="dxa"/>
        <w:bottom w:w="0" w:type="dxa"/>
        <w:right w:w="108" w:type="dxa"/>
      </w:tblCellMar>
    </w:tblPr>
    <w:tblGrid>
      <w:gridCol w:w="4943"/>
      <w:gridCol w:w="5513"/>
    </w:tblGrid>
    <w:tr>
      <w:trPr/>
      <w:tc>
        <w:tcPr>
          <w:tcW w:w="4943" w:type="dxa"/>
          <w:tcBorders/>
          <w:shd w:fill="auto" w:val="clear"/>
        </w:tcPr>
        <w:p>
          <w:pPr>
            <w:pStyle w:val="Header"/>
            <w:ind w:left="-567" w:firstLine="141"/>
            <w:rPr>
              <w:rFonts w:ascii="Calibri" w:hAnsi="Calibri" w:eastAsia="Calibri" w:cs="Calibri"/>
              <w:sz w:val="22"/>
              <w:szCs w:val="22"/>
            </w:rPr>
          </w:pPr>
          <w:r>
            <w:rPr>
              <w:rFonts w:eastAsia="Calibri" w:cs="Calibri" w:ascii="Calibri" w:hAnsi="Calibri"/>
              <w:color w:val="222222"/>
              <w:sz w:val="22"/>
              <w:szCs w:val="22"/>
            </w:rPr>
            <w:tab/>
          </w:r>
          <w:r>
            <w:rPr>
              <w:rFonts w:eastAsia="Calibri" w:cs="Calibri" w:ascii="Calibri" w:hAnsi="Calibri"/>
              <w:color w:val="222222"/>
              <w:sz w:val="22"/>
              <w:szCs w:val="22"/>
            </w:rPr>
            <w:tab/>
            <w:tab/>
            <w:tab/>
          </w:r>
          <w:r>
            <mc:AlternateContent>
              <mc:Choice Requires="wps">
                <w:drawing>
                  <wp:anchor behindDoc="1" distT="0" distB="0" distL="114935" distR="114935" simplePos="0" locked="0" layoutInCell="1" allowOverlap="1" relativeHeight="4">
                    <wp:simplePos x="0" y="0"/>
                    <wp:positionH relativeFrom="margin">
                      <wp:posOffset>-102235</wp:posOffset>
                    </wp:positionH>
                    <wp:positionV relativeFrom="paragraph">
                      <wp:posOffset>5080</wp:posOffset>
                    </wp:positionV>
                    <wp:extent cx="2217420" cy="1033145"/>
                    <wp:effectExtent l="0" t="0" r="0" b="0"/>
                    <wp:wrapNone/>
                    <wp:docPr id="1" name="Frame1"/>
                    <a:graphic xmlns:a="http://schemas.openxmlformats.org/drawingml/2006/main">
                      <a:graphicData uri="http://schemas.microsoft.com/office/word/2010/wordprocessingShape">
                        <wps:wsp>
                          <wps:cNvSpPr txBox="1"/>
                          <wps:spPr>
                            <a:xfrm>
                              <a:off x="0" y="0"/>
                              <a:ext cx="2217420" cy="1033145"/>
                            </a:xfrm>
                            <a:prstGeom prst="rect"/>
                            <a:solidFill>
                              <a:srgbClr val="FFFFFF"/>
                            </a:solidFill>
                          </wps:spPr>
                          <wps:txbx>
                            <w:txbxContent>
                              <w:p>
                                <w:pPr>
                                  <w:pStyle w:val="Normal"/>
                                  <w:rPr>
                                    <w:lang w:val="en-GB" w:eastAsia="en-GB"/>
                                  </w:rPr>
                                </w:pPr>
                                <w:r>
                                  <w:rPr>
                                    <w:lang w:val="en-GB" w:eastAsia="en-GB"/>
                                  </w:rPr>
                                  <w:drawing>
                                    <wp:inline distT="0" distB="0" distL="0" distR="0">
                                      <wp:extent cx="1791970" cy="878840"/>
                                      <wp:effectExtent l="0" t="0" r="0" b="0"/>
                                      <wp:docPr id="2"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
                                              <pic:cNvPicPr>
                                                <a:picLocks noChangeAspect="1" noChangeArrowheads="1"/>
                                              </pic:cNvPicPr>
                                            </pic:nvPicPr>
                                            <pic:blipFill>
                                              <a:blip r:embed="rId1"/>
                                              <a:srcRect l="21040" t="0" r="21029" b="0"/>
                                              <a:stretch>
                                                <a:fillRect/>
                                              </a:stretch>
                                            </pic:blipFill>
                                            <pic:spPr bwMode="auto">
                                              <a:xfrm>
                                                <a:off x="0" y="0"/>
                                                <a:ext cx="1791970" cy="878840"/>
                                              </a:xfrm>
                                              <a:prstGeom prst="rect">
                                                <a:avLst/>
                                              </a:prstGeom>
                                            </pic:spPr>
                                          </pic:pic>
                                        </a:graphicData>
                                      </a:graphic>
                                    </wp:inline>
                                  </w:drawing>
                                </w:r>
                              </w:p>
                            </w:txbxContent>
                          </wps:txbx>
                          <wps:bodyPr anchor="t" lIns="92075" tIns="46355" rIns="92075" bIns="46355">
                            <a:noAutofit/>
                          </wps:bodyPr>
                        </wps:wsp>
                      </a:graphicData>
                    </a:graphic>
                  </wp:anchor>
                </w:drawing>
              </mc:Choice>
              <mc:Fallback>
                <w:pict>
                  <v:rect fillcolor="#FFFFFF" style="position:absolute;rotation:0;width:174.6pt;height:81.35pt;mso-wrap-distance-left:9.05pt;mso-wrap-distance-right:9.05pt;margin-top:0.4pt;mso-position-vertical-relative:text;margin-left:-8.05pt;mso-position-horizontal-relative:margin">
                    <v:textbox inset="0.100694444444444in,0.0506944444444444in,0.100694444444444in,0.0506944444444444in">
                      <w:txbxContent>
                        <w:p>
                          <w:pPr>
                            <w:pStyle w:val="Normal"/>
                            <w:rPr>
                              <w:lang w:val="en-GB" w:eastAsia="en-GB"/>
                            </w:rPr>
                          </w:pPr>
                          <w:r>
                            <w:rPr>
                              <w:lang w:val="en-GB" w:eastAsia="en-GB"/>
                            </w:rPr>
                            <w:drawing>
                              <wp:inline distT="0" distB="0" distL="0" distR="0">
                                <wp:extent cx="1791970" cy="878840"/>
                                <wp:effectExtent l="0" t="0" r="0" b="0"/>
                                <wp:docPr id="3"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 descr=""/>
                                        <pic:cNvPicPr>
                                          <a:picLocks noChangeAspect="1" noChangeArrowheads="1"/>
                                        </pic:cNvPicPr>
                                      </pic:nvPicPr>
                                      <pic:blipFill>
                                        <a:blip r:embed="rId1"/>
                                        <a:srcRect l="21040" t="0" r="21029" b="0"/>
                                        <a:stretch>
                                          <a:fillRect/>
                                        </a:stretch>
                                      </pic:blipFill>
                                      <pic:spPr bwMode="auto">
                                        <a:xfrm>
                                          <a:off x="0" y="0"/>
                                          <a:ext cx="1791970" cy="878840"/>
                                        </a:xfrm>
                                        <a:prstGeom prst="rect">
                                          <a:avLst/>
                                        </a:prstGeom>
                                      </pic:spPr>
                                    </pic:pic>
                                  </a:graphicData>
                                </a:graphic>
                              </wp:inline>
                            </w:drawing>
                          </w:r>
                        </w:p>
                      </w:txbxContent>
                    </v:textbox>
                  </v:rect>
                </w:pict>
              </mc:Fallback>
            </mc:AlternateContent>
          </w:r>
        </w:p>
      </w:tc>
      <w:tc>
        <w:tcPr>
          <w:tcW w:w="5513" w:type="dxa"/>
          <w:tcBorders/>
          <w:shd w:fill="auto" w:val="clear"/>
        </w:tcPr>
        <w:p>
          <w:pPr>
            <w:pStyle w:val="Normal"/>
            <w:snapToGrid w:val="false"/>
            <w:rPr>
              <w:rFonts w:ascii="Arial" w:hAnsi="Arial" w:eastAsia="Calibri" w:cs="Arial"/>
              <w:sz w:val="20"/>
              <w:szCs w:val="22"/>
            </w:rPr>
          </w:pPr>
          <w:r>
            <w:rPr>
              <w:rFonts w:eastAsia="Calibri" w:cs="Arial" w:ascii="Arial" w:hAnsi="Arial"/>
              <w:sz w:val="20"/>
              <w:szCs w:val="22"/>
            </w:rPr>
          </w:r>
        </w:p>
        <w:p>
          <w:pPr>
            <w:pStyle w:val="Normal"/>
            <w:rPr>
              <w:rFonts w:ascii="Arial" w:hAnsi="Arial" w:eastAsia="Calibri" w:cs="Arial"/>
              <w:sz w:val="20"/>
              <w:szCs w:val="22"/>
            </w:rPr>
          </w:pPr>
          <w:r>
            <w:rPr>
              <w:rFonts w:eastAsia="Calibri" w:cs="Arial" w:ascii="Arial" w:hAnsi="Arial"/>
              <w:sz w:val="20"/>
              <w:szCs w:val="22"/>
            </w:rPr>
          </w:r>
        </w:p>
        <w:p>
          <w:pPr>
            <w:pStyle w:val="Normal"/>
            <w:ind w:firstLine="708"/>
            <w:rPr>
              <w:rFonts w:ascii="Arial" w:hAnsi="Arial" w:eastAsia="Calibri" w:cs="Arial"/>
              <w:sz w:val="20"/>
              <w:szCs w:val="22"/>
            </w:rPr>
          </w:pPr>
          <w:r>
            <w:rPr>
              <w:rFonts w:eastAsia="Calibri" w:cs="Arial" w:ascii="Arial" w:hAnsi="Arial"/>
              <w:sz w:val="20"/>
              <w:szCs w:val="22"/>
            </w:rPr>
          </w:r>
        </w:p>
        <w:p>
          <w:pPr>
            <w:pStyle w:val="Normal"/>
            <w:rPr/>
          </w:pPr>
          <w:r>
            <w:rPr>
              <w:rFonts w:eastAsia="Calibri" w:cs="Arial" w:ascii="Arial" w:hAnsi="Arial"/>
              <w:sz w:val="20"/>
              <w:szCs w:val="22"/>
            </w:rPr>
            <w:tab/>
            <w:t>AVIAGEN France SAS</w:t>
          </w:r>
        </w:p>
        <w:p>
          <w:pPr>
            <w:pStyle w:val="Normal"/>
            <w:ind w:right="-928" w:hanging="0"/>
            <w:jc w:val="both"/>
            <w:rPr>
              <w:rFonts w:ascii="Calibri" w:hAnsi="Calibri" w:eastAsia="Calibri" w:cs="Calibri"/>
              <w:sz w:val="20"/>
              <w:szCs w:val="22"/>
            </w:rPr>
          </w:pPr>
          <w:r>
            <w:rPr>
              <w:rFonts w:eastAsia="Calibri" w:cs="Arial" w:ascii="Arial" w:hAnsi="Arial"/>
              <w:sz w:val="20"/>
              <w:szCs w:val="22"/>
            </w:rPr>
            <w:tab/>
            <w:t>2 Rue de la Fontaine – 49070 Beaucouzé - France</w:t>
          </w:r>
        </w:p>
        <w:p>
          <w:pPr>
            <w:pStyle w:val="Header"/>
            <w:rPr>
              <w:rFonts w:ascii="Calibri" w:hAnsi="Calibri" w:eastAsia="Calibri" w:cs="Calibri"/>
              <w:sz w:val="22"/>
              <w:szCs w:val="22"/>
            </w:rPr>
          </w:pPr>
          <w:r>
            <w:rPr>
              <w:rFonts w:eastAsia="Calibri" w:cs="Calibri" w:ascii="Calibri" w:hAnsi="Calibri"/>
              <w:sz w:val="22"/>
              <w:szCs w:val="22"/>
            </w:rPr>
          </w:r>
        </w:p>
      </w:tc>
    </w:tr>
    <w:tr>
      <w:trPr/>
      <w:tc>
        <w:tcPr>
          <w:tcW w:w="4943" w:type="dxa"/>
          <w:tcBorders/>
          <w:shd w:fill="auto" w:val="clear"/>
        </w:tcPr>
        <w:p>
          <w:pPr>
            <w:pStyle w:val="Header"/>
            <w:snapToGrid w:val="false"/>
            <w:ind w:left="-426" w:hanging="0"/>
            <w:rPr>
              <w:rFonts w:ascii="Calibri" w:hAnsi="Calibri" w:eastAsia="Calibri" w:cs="Calibri"/>
              <w:sz w:val="22"/>
              <w:szCs w:val="22"/>
            </w:rPr>
          </w:pPr>
          <w:r>
            <w:rPr>
              <w:rFonts w:eastAsia="Calibri" w:cs="Calibri" w:ascii="Calibri" w:hAnsi="Calibri"/>
              <w:sz w:val="22"/>
              <w:szCs w:val="22"/>
            </w:rPr>
          </w:r>
        </w:p>
      </w:tc>
      <w:tc>
        <w:tcPr>
          <w:tcW w:w="5513" w:type="dxa"/>
          <w:tcBorders/>
          <w:shd w:fill="auto" w:val="clear"/>
        </w:tcPr>
        <w:p>
          <w:pPr>
            <w:pStyle w:val="Normal"/>
            <w:snapToGrid w:val="false"/>
            <w:rPr>
              <w:rFonts w:ascii="Arial" w:hAnsi="Arial" w:eastAsia="Calibri" w:cs="Arial"/>
              <w:sz w:val="20"/>
              <w:szCs w:val="22"/>
            </w:rPr>
          </w:pPr>
          <w:r>
            <w:rPr>
              <w:rFonts w:eastAsia="Calibri" w:cs="Arial" w:ascii="Arial" w:hAnsi="Arial"/>
              <w:sz w:val="20"/>
              <w:szCs w:val="22"/>
            </w:rPr>
          </w:r>
        </w:p>
      </w:tc>
    </w:tr>
  </w:tbl>
  <w:p>
    <w:pPr>
      <w:pStyle w:val="Header"/>
      <w:rPr/>
    </w:pPr>
    <w:r>
      <w:rPr/>
    </w:r>
  </w:p>
</w:hdr>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GB"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fr-FR" w:bidi="ar-SA" w:eastAsia="zh-CN"/>
    </w:rPr>
  </w:style>
  <w:style w:type="character" w:styleId="WW8Num1z0">
    <w:name w:val="WW8Num1z0"/>
    <w:qFormat/>
    <w:rPr>
      <w:rFonts w:ascii="Symbol" w:hAnsi="Symbol" w:cs="Symbo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2z0">
    <w:name w:val="WW8Num2z0"/>
    <w:qFormat/>
    <w:rPr>
      <w:rFonts w:ascii="Times New Roman" w:hAnsi="Times New Roman" w:eastAsia="Times New Roman" w:cs="Times New Roman"/>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Policepardfaut">
    <w:name w:val="Police par défaut"/>
    <w:qFormat/>
    <w:rPr/>
  </w:style>
  <w:style w:type="character" w:styleId="EntteCar">
    <w:name w:val="En-tête Car"/>
    <w:qFormat/>
    <w:rPr>
      <w:sz w:val="24"/>
      <w:szCs w:val="24"/>
    </w:rPr>
  </w:style>
  <w:style w:type="character" w:styleId="PieddepageCar">
    <w:name w:val="Pied de page Car"/>
    <w:qFormat/>
    <w:rPr>
      <w:sz w:val="24"/>
      <w:szCs w:val="24"/>
    </w:rPr>
  </w:style>
  <w:style w:type="character" w:styleId="TextedebullesCar">
    <w:name w:val="Texte de bulles Car"/>
    <w:qFormat/>
    <w:rPr>
      <w:rFonts w:ascii="Tahoma" w:hAnsi="Tahoma" w:cs="Tahoma"/>
      <w:sz w:val="16"/>
      <w:szCs w:val="16"/>
    </w:rPr>
  </w:style>
  <w:style w:type="character" w:styleId="SoustitreCar">
    <w:name w:val="Sous-titre Car"/>
    <w:qFormat/>
    <w:rPr>
      <w:rFonts w:ascii="Goudy Old Style" w:hAnsi="Goudy Old Style" w:cs="Goudy Old Style"/>
      <w:b/>
      <w:bCs/>
      <w:color w:val="003399"/>
      <w:sz w:val="26"/>
      <w:szCs w:val="24"/>
    </w:rPr>
  </w:style>
  <w:style w:type="character" w:styleId="Appletabspan">
    <w:name w:val="apple-tab-span"/>
    <w:qFormat/>
    <w:rPr/>
  </w:style>
  <w:style w:type="character" w:styleId="StrongEmphasis">
    <w:name w:val="Strong Emphasis"/>
    <w:rPr>
      <w:b/>
      <w:bCs/>
    </w:rPr>
  </w:style>
  <w:style w:type="character" w:styleId="Heading1">
    <w:name w:val="Heading #1_"/>
    <w:qFormat/>
    <w:rPr>
      <w:rFonts w:ascii="Iskoola Pota" w:hAnsi="Iskoola Pota" w:eastAsia="Iskoola Pota" w:cs="Iskoola Pota"/>
      <w:color w:val="000000"/>
      <w:sz w:val="30"/>
      <w:szCs w:val="30"/>
      <w:shd w:fill="FFFFFF" w:val="clear"/>
      <w:lang w:bidi="fr-FR"/>
    </w:rPr>
  </w:style>
  <w:style w:type="character" w:styleId="Bodytext4">
    <w:name w:val="Body text (4)"/>
    <w:qFormat/>
    <w:rPr>
      <w:rFonts w:ascii="Iskoola Pota" w:hAnsi="Iskoola Pota" w:eastAsia="Iskoola Pota" w:cs="Iskoola Pota"/>
      <w:b w:val="false"/>
      <w:bCs w:val="false"/>
      <w:i w:val="false"/>
      <w:iCs w:val="false"/>
      <w:caps w:val="false"/>
      <w:smallCaps w:val="false"/>
      <w:strike w:val="false"/>
      <w:dstrike w:val="false"/>
      <w:color w:val="000000"/>
      <w:spacing w:val="0"/>
      <w:w w:val="100"/>
      <w:position w:val="0"/>
      <w:sz w:val="24"/>
      <w:sz w:val="24"/>
      <w:szCs w:val="24"/>
      <w:u w:val="single"/>
      <w:vertAlign w:val="baseline"/>
      <w:lang w:val="fr-FR" w:bidi="fr-FR"/>
    </w:rPr>
  </w:style>
  <w:style w:type="character" w:styleId="Bodytext411ptBold">
    <w:name w:val="Body text (4) + 11 pt;Bold"/>
    <w:qFormat/>
    <w:rPr>
      <w:rFonts w:ascii="Iskoola Pota" w:hAnsi="Iskoola Pota" w:eastAsia="Iskoola Pota" w:cs="Iskoola Pota"/>
      <w:b/>
      <w:bCs/>
      <w:i w:val="false"/>
      <w:iCs w:val="false"/>
      <w:caps w:val="false"/>
      <w:smallCaps w:val="false"/>
      <w:strike w:val="false"/>
      <w:dstrike w:val="false"/>
      <w:color w:val="000000"/>
      <w:spacing w:val="0"/>
      <w:w w:val="100"/>
      <w:position w:val="0"/>
      <w:sz w:val="22"/>
      <w:sz w:val="22"/>
      <w:szCs w:val="22"/>
      <w:u w:val="single"/>
      <w:vertAlign w:val="baseline"/>
      <w:lang w:val="fr-FR" w:bidi="fr-FR"/>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536" w:leader="none"/>
        <w:tab w:val="right" w:pos="9072" w:leader="none"/>
      </w:tabs>
    </w:pPr>
    <w:rPr/>
  </w:style>
  <w:style w:type="paragraph" w:styleId="Footer">
    <w:name w:val="Footer"/>
    <w:basedOn w:val="Normal"/>
    <w:pPr>
      <w:tabs>
        <w:tab w:val="center" w:pos="4536" w:leader="none"/>
        <w:tab w:val="right" w:pos="9072" w:leader="none"/>
      </w:tabs>
    </w:pPr>
    <w:rPr/>
  </w:style>
  <w:style w:type="paragraph" w:styleId="Textedebulles">
    <w:name w:val="Texte de bulles"/>
    <w:basedOn w:val="Normal"/>
    <w:qFormat/>
    <w:pPr/>
    <w:rPr>
      <w:rFonts w:ascii="Tahoma" w:hAnsi="Tahoma" w:cs="Tahoma"/>
      <w:sz w:val="16"/>
      <w:szCs w:val="16"/>
    </w:rPr>
  </w:style>
  <w:style w:type="paragraph" w:styleId="Subtitle">
    <w:name w:val="Subtitle"/>
    <w:basedOn w:val="Normal"/>
    <w:next w:val="TextBody"/>
    <w:qFormat/>
    <w:pPr>
      <w:jc w:val="center"/>
    </w:pPr>
    <w:rPr>
      <w:rFonts w:ascii="Goudy Old Style" w:hAnsi="Goudy Old Style" w:cs="Goudy Old Style"/>
      <w:b/>
      <w:bCs/>
      <w:color w:val="003399"/>
      <w:sz w:val="26"/>
    </w:rPr>
  </w:style>
  <w:style w:type="paragraph" w:styleId="Paragraphedeliste">
    <w:name w:val="Paragraphe de liste"/>
    <w:basedOn w:val="Normal"/>
    <w:qFormat/>
    <w:pPr>
      <w:spacing w:lineRule="auto" w:line="276" w:before="0" w:after="200"/>
      <w:ind w:left="720" w:hanging="0"/>
      <w:contextualSpacing/>
    </w:pPr>
    <w:rPr>
      <w:rFonts w:ascii="Calibri" w:hAnsi="Calibri" w:eastAsia="Calibri" w:cs="Times New Roman"/>
      <w:sz w:val="22"/>
      <w:szCs w:val="22"/>
    </w:rPr>
  </w:style>
  <w:style w:type="paragraph" w:styleId="Heading11">
    <w:name w:val="Heading #1"/>
    <w:basedOn w:val="Normal"/>
    <w:qFormat/>
    <w:pPr>
      <w:widowControl w:val="false"/>
      <w:shd w:fill="FFFFFF" w:val="clear"/>
      <w:spacing w:lineRule="exact" w:line="346" w:before="0" w:after="1020"/>
      <w:jc w:val="center"/>
      <w:outlineLvl w:val="0"/>
    </w:pPr>
    <w:rPr>
      <w:rFonts w:ascii="Iskoola Pota" w:hAnsi="Iskoola Pota" w:eastAsia="Iskoola Pota" w:cs="Iskoola Pota"/>
      <w:color w:val="000000"/>
      <w:sz w:val="30"/>
      <w:szCs w:val="30"/>
      <w:lang w:bidi="fr-FR"/>
    </w:rPr>
  </w:style>
  <w:style w:type="paragraph" w:styleId="PlainText">
    <w:name w:val="Plain Text"/>
    <w:basedOn w:val="Normal"/>
    <w:qFormat/>
    <w:pPr>
      <w:overflowPunct w:val="false"/>
      <w:autoSpaceDE w:val="false"/>
      <w:jc w:val="both"/>
    </w:pPr>
    <w:rPr>
      <w:rFonts w:ascii="Courier New" w:hAnsi="Courier New" w:cs="Courier New"/>
      <w:sz w:val="20"/>
      <w:szCs w:val="20"/>
    </w:rPr>
  </w:style>
  <w:style w:type="paragraph" w:styleId="NormalWeb">
    <w:name w:val="Normal (Web)"/>
    <w:basedOn w:val="Normal"/>
    <w:qFormat/>
    <w:pPr>
      <w:spacing w:lineRule="atLeast" w:line="360" w:before="0" w:after="150"/>
    </w:pPr>
    <w:rPr>
      <w:rFonts w:ascii="robotolight;Times New Roman" w:hAnsi="robotolight;Times New Roman" w:cs="robotolight;Times New Roman"/>
      <w:color w:val="000000"/>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 w:type="numbering" w:styleId="WW8Num1">
    <w:name w:val="WW8Num1"/>
  </w:style>
  <w:style w:type="numbering" w:styleId="WW8Num2">
    <w:name w:val="WW8Num2"/>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Normal</Template>
  <TotalTime>2</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2019-06-17T16:33:00Z</dcterms:created>
  <dc:language>en-GB</dc:language>
  <cp:lastPrinted>2019-05-20T13:55:00Z</cp:lastPrinted>
  <dcterms:modified xsi:type="dcterms:W3CDTF">2019-06-17T17:24:00Z</dcterms:modified>
  <cp:revision>4</cp:revision>
  <dc:title>                                                                                                                              </dc:title>
</cp:coreProperties>
</file>