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pBdr>
          <w:top w:val="single" w:sz="4" w:space="1" w:color="000000"/>
          <w:left w:val="single" w:sz="4" w:space="4" w:color="000000"/>
          <w:bottom w:val="single" w:sz="4" w:space="1" w:color="000000"/>
          <w:right w:val="single" w:sz="4" w:space="4" w:color="000000"/>
        </w:pBdr>
        <w:rPr>
          <w:caps/>
          <w:sz w:val="22"/>
          <w:szCs w:val="22"/>
        </w:rPr>
      </w:pPr>
      <w:r>
        <w:rPr>
          <w:caps/>
          <w:sz w:val="22"/>
          <w:szCs w:val="22"/>
        </w:rPr>
        <w:t xml:space="preserve">NAO 2019-2020 </w:t>
      </w:r>
    </w:p>
    <w:p>
      <w:pPr>
        <w:pStyle w:val="Heading"/>
        <w:pBdr>
          <w:top w:val="single" w:sz="4" w:space="1" w:color="000000"/>
          <w:left w:val="single" w:sz="4" w:space="4" w:color="000000"/>
          <w:bottom w:val="single" w:sz="4" w:space="1" w:color="000000"/>
          <w:right w:val="single" w:sz="4" w:space="4" w:color="000000"/>
        </w:pBdr>
        <w:rPr>
          <w:caps/>
          <w:sz w:val="22"/>
          <w:szCs w:val="22"/>
        </w:rPr>
      </w:pPr>
      <w:r>
        <w:rPr>
          <w:caps/>
          <w:sz w:val="22"/>
          <w:szCs w:val="22"/>
        </w:rPr>
      </w:r>
    </w:p>
    <w:p>
      <w:pPr>
        <w:pStyle w:val="Heading"/>
        <w:pBdr>
          <w:top w:val="single" w:sz="4" w:space="1" w:color="000000"/>
          <w:left w:val="single" w:sz="4" w:space="4" w:color="000000"/>
          <w:bottom w:val="single" w:sz="4" w:space="1" w:color="000000"/>
          <w:right w:val="single" w:sz="4" w:space="4" w:color="000000"/>
        </w:pBdr>
        <w:rPr>
          <w:caps/>
          <w:sz w:val="22"/>
          <w:szCs w:val="22"/>
        </w:rPr>
      </w:pPr>
      <w:r>
        <w:rPr>
          <w:caps/>
          <w:sz w:val="22"/>
          <w:szCs w:val="22"/>
        </w:rPr>
        <w:t xml:space="preserve">ACCORD 2019-2020 SUR LES SALAIRES </w:t>
      </w:r>
    </w:p>
    <w:p>
      <w:pPr>
        <w:pStyle w:val="Heading"/>
        <w:pBdr>
          <w:top w:val="single" w:sz="4" w:space="1" w:color="000000"/>
          <w:left w:val="single" w:sz="4" w:space="4" w:color="000000"/>
          <w:bottom w:val="single" w:sz="4" w:space="1" w:color="000000"/>
          <w:right w:val="single" w:sz="4" w:space="4" w:color="000000"/>
        </w:pBdr>
        <w:rPr>
          <w:caps/>
          <w:sz w:val="22"/>
          <w:szCs w:val="22"/>
        </w:rPr>
      </w:pPr>
      <w:r>
        <w:rPr>
          <w:caps/>
          <w:sz w:val="22"/>
          <w:szCs w:val="22"/>
        </w:rPr>
      </w:r>
    </w:p>
    <w:p>
      <w:pPr>
        <w:pStyle w:val="Normal"/>
        <w:tabs>
          <w:tab w:val="left" w:pos="7513" w:leader="none"/>
        </w:tabs>
        <w:jc w:val="center"/>
        <w:rPr>
          <w:b/>
          <w:b/>
          <w:caps/>
          <w:sz w:val="22"/>
          <w:szCs w:val="22"/>
        </w:rPr>
      </w:pPr>
      <w:r>
        <w:rPr>
          <w:b/>
          <w:caps/>
          <w:sz w:val="22"/>
          <w:szCs w:val="22"/>
        </w:rPr>
      </w:r>
    </w:p>
    <w:p>
      <w:pPr>
        <w:pStyle w:val="Normal"/>
        <w:tabs>
          <w:tab w:val="left" w:pos="7513" w:leader="none"/>
        </w:tabs>
        <w:jc w:val="center"/>
        <w:rPr>
          <w:b/>
          <w:b/>
          <w:sz w:val="22"/>
          <w:szCs w:val="22"/>
        </w:rPr>
      </w:pPr>
      <w:r>
        <w:rPr>
          <w:b/>
          <w:sz w:val="22"/>
          <w:szCs w:val="22"/>
        </w:rPr>
      </w:r>
    </w:p>
    <w:p>
      <w:pPr>
        <w:pStyle w:val="Normal"/>
        <w:tabs>
          <w:tab w:val="left" w:pos="7513" w:leader="none"/>
        </w:tabs>
        <w:jc w:val="center"/>
        <w:rPr>
          <w:b/>
          <w:b/>
          <w:sz w:val="22"/>
          <w:szCs w:val="22"/>
        </w:rPr>
      </w:pPr>
      <w:r>
        <w:rPr>
          <w:b/>
          <w:sz w:val="22"/>
          <w:szCs w:val="22"/>
        </w:rPr>
      </w:r>
    </w:p>
    <w:p>
      <w:pPr>
        <w:pStyle w:val="Normal"/>
        <w:tabs>
          <w:tab w:val="left" w:pos="7513" w:leader="none"/>
        </w:tabs>
        <w:jc w:val="center"/>
        <w:rPr>
          <w:b/>
          <w:b/>
          <w:sz w:val="22"/>
          <w:szCs w:val="22"/>
        </w:rPr>
      </w:pPr>
      <w:r>
        <w:rPr>
          <w:b/>
          <w:sz w:val="22"/>
          <w:szCs w:val="22"/>
        </w:rPr>
      </w:r>
    </w:p>
    <w:p>
      <w:pPr>
        <w:pStyle w:val="Normal"/>
        <w:numPr>
          <w:ilvl w:val="0"/>
          <w:numId w:val="0"/>
        </w:numPr>
        <w:jc w:val="both"/>
        <w:outlineLvl w:val="0"/>
        <w:rPr>
          <w:b/>
          <w:b/>
          <w:caps/>
          <w:sz w:val="22"/>
          <w:szCs w:val="22"/>
        </w:rPr>
      </w:pPr>
      <w:r>
        <w:rPr>
          <w:b/>
          <w:caps/>
          <w:sz w:val="22"/>
          <w:szCs w:val="22"/>
        </w:rPr>
        <w:t xml:space="preserve">Entre </w:t>
      </w:r>
    </w:p>
    <w:p>
      <w:pPr>
        <w:pStyle w:val="Normal"/>
        <w:jc w:val="both"/>
        <w:rPr>
          <w:b/>
          <w:b/>
          <w:caps/>
          <w:sz w:val="22"/>
          <w:szCs w:val="22"/>
        </w:rPr>
      </w:pPr>
      <w:r>
        <w:rPr>
          <w:b/>
          <w:caps/>
          <w:sz w:val="22"/>
          <w:szCs w:val="22"/>
        </w:rPr>
      </w:r>
    </w:p>
    <w:p>
      <w:pPr>
        <w:pStyle w:val="Normal"/>
        <w:jc w:val="both"/>
        <w:rPr>
          <w:b/>
          <w:b/>
          <w:caps/>
          <w:sz w:val="22"/>
          <w:szCs w:val="22"/>
        </w:rPr>
      </w:pPr>
      <w:r>
        <w:rPr>
          <w:b/>
          <w:caps/>
          <w:sz w:val="22"/>
          <w:szCs w:val="22"/>
        </w:rPr>
      </w:r>
    </w:p>
    <w:p>
      <w:pPr>
        <w:pStyle w:val="Normal"/>
        <w:jc w:val="both"/>
        <w:rPr>
          <w:sz w:val="22"/>
          <w:szCs w:val="22"/>
        </w:rPr>
      </w:pPr>
      <w:r>
        <w:rPr>
          <w:sz w:val="22"/>
          <w:szCs w:val="22"/>
        </w:rPr>
        <w:t xml:space="preserve">La société </w:t>
      </w:r>
      <w:r>
        <w:rPr>
          <w:b/>
          <w:caps/>
          <w:sz w:val="22"/>
          <w:szCs w:val="22"/>
        </w:rPr>
        <w:t xml:space="preserve">Brink’s EVOLUTION </w:t>
      </w:r>
      <w:r>
        <w:rPr>
          <w:sz w:val="22"/>
          <w:szCs w:val="22"/>
        </w:rPr>
        <w:t>– 41-45 Boulevard Romain Rolland - 75014 PARIS - représentée par ......., Directeur des Ressources Humaines,</w:t>
      </w:r>
    </w:p>
    <w:p>
      <w:pPr>
        <w:pStyle w:val="Normal"/>
        <w:numPr>
          <w:ilvl w:val="0"/>
          <w:numId w:val="0"/>
        </w:numPr>
        <w:jc w:val="both"/>
        <w:outlineLvl w:val="0"/>
        <w:rPr>
          <w:sz w:val="22"/>
          <w:szCs w:val="22"/>
        </w:rPr>
      </w:pPr>
      <w:r>
        <w:rPr>
          <w:sz w:val="22"/>
          <w:szCs w:val="22"/>
        </w:rPr>
        <w:tab/>
        <w:tab/>
        <w:tab/>
        <w:tab/>
        <w:tab/>
        <w:tab/>
        <w:tab/>
        <w:tab/>
        <w:tab/>
        <w:tab/>
        <w:tab/>
        <w:t xml:space="preserve">D’une part,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0"/>
        </w:numPr>
        <w:jc w:val="both"/>
        <w:outlineLvl w:val="0"/>
        <w:rPr>
          <w:b/>
          <w:b/>
          <w:sz w:val="22"/>
          <w:szCs w:val="22"/>
        </w:rPr>
      </w:pPr>
      <w:r>
        <w:rPr>
          <w:b/>
          <w:sz w:val="22"/>
          <w:szCs w:val="22"/>
        </w:rPr>
        <w:t>ET :</w:t>
      </w:r>
    </w:p>
    <w:p>
      <w:pPr>
        <w:pStyle w:val="Normal"/>
        <w:jc w:val="both"/>
        <w:rPr>
          <w:b/>
          <w:b/>
          <w:sz w:val="22"/>
          <w:szCs w:val="22"/>
        </w:rPr>
      </w:pPr>
      <w:r>
        <w:rPr>
          <w:b/>
          <w:sz w:val="22"/>
          <w:szCs w:val="22"/>
        </w:rPr>
      </w:r>
    </w:p>
    <w:p>
      <w:pPr>
        <w:pStyle w:val="Normal"/>
        <w:jc w:val="both"/>
        <w:rPr/>
      </w:pPr>
      <w:r>
        <w:rPr>
          <w:sz w:val="22"/>
          <w:szCs w:val="22"/>
        </w:rPr>
        <w:t xml:space="preserve">La </w:t>
      </w:r>
      <w:r>
        <w:rPr>
          <w:b/>
          <w:bCs/>
          <w:sz w:val="22"/>
          <w:szCs w:val="22"/>
        </w:rPr>
        <w:t>C F E / C G C</w:t>
      </w:r>
      <w:r>
        <w:rPr>
          <w:sz w:val="22"/>
          <w:szCs w:val="22"/>
        </w:rPr>
        <w:t xml:space="preserve"> – Confédération Française de l’Encadrement / Confédération Générale des Cadres, représentée par Monsieur ................. – délégué syndical central,</w:t>
      </w:r>
    </w:p>
    <w:p>
      <w:pPr>
        <w:pStyle w:val="Normal"/>
        <w:jc w:val="both"/>
        <w:rPr>
          <w:b/>
          <w:b/>
          <w:sz w:val="22"/>
          <w:szCs w:val="22"/>
        </w:rPr>
      </w:pPr>
      <w:r>
        <w:rPr>
          <w:b/>
          <w:sz w:val="22"/>
          <w:szCs w:val="22"/>
        </w:rPr>
      </w:r>
    </w:p>
    <w:p>
      <w:pPr>
        <w:pStyle w:val="Normal"/>
        <w:jc w:val="both"/>
        <w:rPr/>
      </w:pPr>
      <w:r>
        <w:rPr>
          <w:sz w:val="22"/>
          <w:szCs w:val="22"/>
        </w:rPr>
        <w:t>La</w:t>
      </w:r>
      <w:r>
        <w:rPr>
          <w:b/>
          <w:sz w:val="22"/>
          <w:szCs w:val="22"/>
        </w:rPr>
        <w:t xml:space="preserve"> CFTC</w:t>
      </w:r>
      <w:r>
        <w:rPr>
          <w:sz w:val="22"/>
          <w:szCs w:val="22"/>
        </w:rPr>
        <w:t xml:space="preserve"> - Confédération Française des travailleurs Chrétiens représentée par Monsieur .................. - délégué syndical central </w:t>
      </w:r>
    </w:p>
    <w:p>
      <w:pPr>
        <w:pStyle w:val="Normal"/>
        <w:jc w:val="both"/>
        <w:rPr>
          <w:sz w:val="22"/>
          <w:szCs w:val="22"/>
        </w:rPr>
      </w:pPr>
      <w:r>
        <w:rPr>
          <w:sz w:val="22"/>
          <w:szCs w:val="22"/>
        </w:rPr>
      </w:r>
    </w:p>
    <w:p>
      <w:pPr>
        <w:pStyle w:val="Normal"/>
        <w:jc w:val="both"/>
        <w:rPr>
          <w:b/>
          <w:b/>
          <w:sz w:val="22"/>
          <w:szCs w:val="22"/>
        </w:rPr>
      </w:pPr>
      <w:r>
        <w:rPr>
          <w:b/>
          <w:sz w:val="22"/>
          <w:szCs w:val="22"/>
        </w:rPr>
      </w:r>
    </w:p>
    <w:p>
      <w:pPr>
        <w:pStyle w:val="Normal"/>
        <w:jc w:val="both"/>
        <w:rPr/>
      </w:pPr>
      <w:r>
        <w:rPr>
          <w:sz w:val="22"/>
          <w:szCs w:val="22"/>
        </w:rPr>
        <w:t>La</w:t>
      </w:r>
      <w:r>
        <w:rPr>
          <w:b/>
          <w:sz w:val="22"/>
          <w:szCs w:val="22"/>
        </w:rPr>
        <w:t xml:space="preserve"> CGT</w:t>
      </w:r>
      <w:r>
        <w:rPr>
          <w:sz w:val="22"/>
          <w:szCs w:val="22"/>
        </w:rPr>
        <w:t xml:space="preserve"> transport – Fédération Nationale des Syndicats de Transports C.G.T – représentée par Monsieur ........................ – délégué syndical central</w:t>
      </w:r>
    </w:p>
    <w:p>
      <w:pPr>
        <w:pStyle w:val="Normal"/>
        <w:jc w:val="both"/>
        <w:rPr>
          <w:sz w:val="22"/>
          <w:szCs w:val="22"/>
        </w:rPr>
      </w:pPr>
      <w:r>
        <w:rPr>
          <w:sz w:val="22"/>
          <w:szCs w:val="22"/>
        </w:rPr>
      </w:r>
    </w:p>
    <w:p>
      <w:pPr>
        <w:pStyle w:val="Normal"/>
        <w:jc w:val="both"/>
        <w:rPr>
          <w:b/>
          <w:b/>
          <w:sz w:val="22"/>
          <w:szCs w:val="22"/>
        </w:rPr>
      </w:pPr>
      <w:r>
        <w:rPr>
          <w:b/>
          <w:sz w:val="22"/>
          <w:szCs w:val="22"/>
        </w:rPr>
      </w:r>
    </w:p>
    <w:p>
      <w:pPr>
        <w:pStyle w:val="Normal"/>
        <w:jc w:val="both"/>
        <w:rPr/>
      </w:pPr>
      <w:r>
        <w:rPr>
          <w:sz w:val="22"/>
          <w:szCs w:val="22"/>
        </w:rPr>
        <w:t>La</w:t>
      </w:r>
      <w:r>
        <w:rPr>
          <w:b/>
          <w:sz w:val="22"/>
          <w:szCs w:val="22"/>
        </w:rPr>
        <w:t xml:space="preserve"> FGTE CFDT</w:t>
      </w:r>
      <w:r>
        <w:rPr>
          <w:sz w:val="22"/>
          <w:szCs w:val="22"/>
        </w:rPr>
        <w:t xml:space="preserve"> – Fédération Générale des Transports et de l’Equipement – représentée par Monsieur ......... – délégué syndical central</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sz w:val="22"/>
          <w:szCs w:val="22"/>
        </w:rPr>
        <w:t>La</w:t>
      </w:r>
      <w:r>
        <w:rPr>
          <w:b/>
          <w:sz w:val="22"/>
          <w:szCs w:val="22"/>
        </w:rPr>
        <w:t xml:space="preserve"> FNCR</w:t>
      </w:r>
      <w:r>
        <w:rPr>
          <w:sz w:val="22"/>
          <w:szCs w:val="22"/>
        </w:rPr>
        <w:t xml:space="preserve"> – Fédération Nationale des Chauffeurs Routiers – représentée par Monsieur .................... – délégué syndical central</w:t>
      </w:r>
    </w:p>
    <w:p>
      <w:pPr>
        <w:pStyle w:val="Normal"/>
        <w:jc w:val="both"/>
        <w:rPr>
          <w:sz w:val="22"/>
          <w:szCs w:val="22"/>
        </w:rPr>
      </w:pPr>
      <w:r>
        <w:rPr>
          <w:sz w:val="22"/>
          <w:szCs w:val="22"/>
        </w:rPr>
      </w:r>
    </w:p>
    <w:p>
      <w:pPr>
        <w:pStyle w:val="Normal"/>
        <w:jc w:val="both"/>
        <w:rPr>
          <w:b/>
          <w:b/>
          <w:sz w:val="22"/>
          <w:szCs w:val="22"/>
        </w:rPr>
      </w:pPr>
      <w:r>
        <w:rPr>
          <w:b/>
          <w:sz w:val="22"/>
          <w:szCs w:val="22"/>
        </w:rPr>
      </w:r>
    </w:p>
    <w:p>
      <w:pPr>
        <w:pStyle w:val="Normal"/>
        <w:jc w:val="both"/>
        <w:rPr/>
      </w:pPr>
      <w:r>
        <w:rPr>
          <w:b/>
          <w:sz w:val="22"/>
          <w:szCs w:val="22"/>
        </w:rPr>
        <w:t>L’UNSA</w:t>
      </w:r>
      <w:r>
        <w:rPr>
          <w:sz w:val="22"/>
          <w:szCs w:val="22"/>
        </w:rPr>
        <w:t xml:space="preserve"> – Union Nationale des Syndicats Autonomes représentée par Monsieur ...................... – délégué syndical central</w:t>
      </w:r>
    </w:p>
    <w:p>
      <w:pPr>
        <w:pStyle w:val="Normal"/>
        <w:jc w:val="both"/>
        <w:rPr>
          <w:sz w:val="22"/>
          <w:szCs w:val="22"/>
        </w:rPr>
      </w:pPr>
      <w:r>
        <w:rPr>
          <w:sz w:val="22"/>
          <w:szCs w:val="22"/>
        </w:rPr>
      </w:r>
    </w:p>
    <w:p>
      <w:pPr>
        <w:pStyle w:val="Normal"/>
        <w:ind w:left="7788" w:hanging="0"/>
        <w:jc w:val="both"/>
        <w:rPr>
          <w:sz w:val="22"/>
          <w:szCs w:val="22"/>
        </w:rPr>
      </w:pPr>
      <w:r>
        <w:rPr>
          <w:sz w:val="22"/>
          <w:szCs w:val="22"/>
        </w:rPr>
      </w:r>
    </w:p>
    <w:p>
      <w:pPr>
        <w:pStyle w:val="Normal"/>
        <w:ind w:left="7788" w:hanging="0"/>
        <w:jc w:val="both"/>
        <w:rPr>
          <w:sz w:val="22"/>
          <w:szCs w:val="22"/>
        </w:rPr>
      </w:pPr>
      <w:r>
        <w:rPr>
          <w:sz w:val="22"/>
          <w:szCs w:val="22"/>
        </w:rPr>
        <w:t>D’autre part,</w:t>
        <w:tab/>
      </w:r>
    </w:p>
    <w:p>
      <w:pPr>
        <w:pStyle w:val="Normal"/>
        <w:ind w:left="2832" w:firstLine="708"/>
        <w:rPr>
          <w:b/>
          <w:b/>
          <w:bCs/>
          <w:sz w:val="22"/>
          <w:szCs w:val="22"/>
        </w:rPr>
      </w:pPr>
      <w:r>
        <w:rPr>
          <w:b/>
          <w:bCs/>
          <w:sz w:val="22"/>
          <w:szCs w:val="22"/>
        </w:rPr>
      </w:r>
    </w:p>
    <w:p>
      <w:pPr>
        <w:pStyle w:val="Normal"/>
        <w:ind w:left="2832" w:firstLine="708"/>
        <w:rPr>
          <w:b/>
          <w:b/>
          <w:bCs/>
          <w:sz w:val="22"/>
          <w:szCs w:val="22"/>
        </w:rPr>
      </w:pPr>
      <w:r>
        <w:rPr>
          <w:b/>
          <w:bCs/>
          <w:sz w:val="22"/>
          <w:szCs w:val="22"/>
        </w:rPr>
      </w:r>
    </w:p>
    <w:p>
      <w:pPr>
        <w:pStyle w:val="Normal"/>
        <w:ind w:left="2832" w:firstLine="708"/>
        <w:rPr>
          <w:b/>
          <w:b/>
          <w:bCs/>
          <w:sz w:val="22"/>
          <w:szCs w:val="22"/>
        </w:rPr>
      </w:pPr>
      <w:r>
        <w:rPr>
          <w:b/>
          <w:bCs/>
          <w:sz w:val="22"/>
          <w:szCs w:val="22"/>
        </w:rPr>
      </w:r>
    </w:p>
    <w:p>
      <w:pPr>
        <w:pStyle w:val="Normal"/>
        <w:ind w:left="2832" w:firstLine="708"/>
        <w:rPr>
          <w:b/>
          <w:b/>
          <w:bCs/>
          <w:sz w:val="22"/>
          <w:szCs w:val="22"/>
        </w:rPr>
      </w:pPr>
      <w:r>
        <w:rPr>
          <w:b/>
          <w:bCs/>
          <w:sz w:val="22"/>
          <w:szCs w:val="22"/>
        </w:rPr>
      </w:r>
    </w:p>
    <w:p>
      <w:pPr>
        <w:pStyle w:val="Normal"/>
        <w:ind w:left="2832" w:firstLine="708"/>
        <w:rPr>
          <w:b/>
          <w:b/>
          <w:bCs/>
          <w:sz w:val="22"/>
          <w:szCs w:val="22"/>
        </w:rPr>
      </w:pPr>
      <w:r>
        <w:rPr>
          <w:b/>
          <w:bCs/>
          <w:sz w:val="22"/>
          <w:szCs w:val="22"/>
        </w:rPr>
      </w:r>
    </w:p>
    <w:p>
      <w:pPr>
        <w:pStyle w:val="Normal"/>
        <w:jc w:val="both"/>
        <w:rPr/>
      </w:pPr>
      <w:r>
        <w:rPr>
          <w:sz w:val="22"/>
          <w:szCs w:val="22"/>
        </w:rPr>
        <w:t>A l’issue de la négociation obligatoire prévue aux articles L 2242-1 et suivants du code du travail, il a été convenu ce qui suit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b/>
          <w:bCs/>
          <w:sz w:val="22"/>
          <w:szCs w:val="22"/>
        </w:rPr>
      </w:pPr>
      <w:r>
        <w:rPr>
          <w:b/>
          <w:bCs/>
          <w:sz w:val="22"/>
          <w:szCs w:val="22"/>
        </w:rPr>
        <w:t>1. CHAMP D’APPLICATION DE L’ACCORD</w:t>
      </w:r>
    </w:p>
    <w:p>
      <w:pPr>
        <w:pStyle w:val="Normal"/>
        <w:jc w:val="both"/>
        <w:rPr>
          <w:b/>
          <w:b/>
          <w:bCs/>
          <w:sz w:val="22"/>
          <w:szCs w:val="22"/>
        </w:rPr>
      </w:pPr>
      <w:r>
        <w:rPr>
          <w:b/>
          <w:bCs/>
          <w:sz w:val="22"/>
          <w:szCs w:val="22"/>
        </w:rPr>
      </w:r>
    </w:p>
    <w:p>
      <w:pPr>
        <w:pStyle w:val="Normal"/>
        <w:jc w:val="both"/>
        <w:rPr/>
      </w:pPr>
      <w:r>
        <w:rPr>
          <w:sz w:val="22"/>
          <w:szCs w:val="22"/>
        </w:rPr>
        <w:t>Le présent accord s’applique à l’ensemble des salariés de la société BRINK’S EVOLUTION.</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both"/>
        <w:rPr>
          <w:b/>
          <w:b/>
          <w:bCs/>
          <w:sz w:val="22"/>
          <w:szCs w:val="22"/>
        </w:rPr>
      </w:pPr>
      <w:r>
        <w:rPr>
          <w:b/>
          <w:bCs/>
          <w:sz w:val="22"/>
          <w:szCs w:val="22"/>
        </w:rPr>
        <w:t xml:space="preserve">2. OBJET DE L’ACCORD </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Heading2"/>
        <w:numPr>
          <w:ilvl w:val="1"/>
          <w:numId w:val="1"/>
        </w:numPr>
        <w:rPr/>
      </w:pPr>
      <w:r>
        <w:rPr>
          <w:sz w:val="22"/>
          <w:szCs w:val="22"/>
        </w:rPr>
        <w:t xml:space="preserve">2.1 </w:t>
      </w:r>
      <w:r>
        <w:rPr>
          <w:sz w:val="22"/>
          <w:szCs w:val="22"/>
          <w:u w:val="single"/>
        </w:rPr>
        <w:t>REVALORISATION DES SALAIRES DE BASE ET DES PRIMES.</w:t>
      </w:r>
    </w:p>
    <w:p>
      <w:pPr>
        <w:pStyle w:val="Normal"/>
        <w:rPr>
          <w:sz w:val="22"/>
          <w:szCs w:val="22"/>
          <w:u w:val="single"/>
        </w:rPr>
      </w:pPr>
      <w:r>
        <w:rPr>
          <w:sz w:val="22"/>
          <w:szCs w:val="22"/>
          <w:u w:val="single"/>
        </w:rPr>
      </w:r>
    </w:p>
    <w:p>
      <w:pPr>
        <w:pStyle w:val="Normal"/>
        <w:numPr>
          <w:ilvl w:val="0"/>
          <w:numId w:val="7"/>
        </w:numPr>
        <w:jc w:val="both"/>
        <w:rPr>
          <w:b/>
          <w:b/>
          <w:sz w:val="22"/>
          <w:szCs w:val="22"/>
        </w:rPr>
      </w:pPr>
      <w:r>
        <w:rPr>
          <w:b/>
          <w:sz w:val="22"/>
          <w:szCs w:val="22"/>
        </w:rPr>
        <w:t>Salaires de Base</w:t>
      </w:r>
    </w:p>
    <w:p>
      <w:pPr>
        <w:pStyle w:val="Normal"/>
        <w:jc w:val="both"/>
        <w:rPr>
          <w:b/>
          <w:b/>
          <w:sz w:val="22"/>
          <w:szCs w:val="22"/>
        </w:rPr>
      </w:pPr>
      <w:r>
        <w:rPr>
          <w:b/>
          <w:sz w:val="22"/>
          <w:szCs w:val="22"/>
        </w:rPr>
      </w:r>
    </w:p>
    <w:p>
      <w:pPr>
        <w:pStyle w:val="Normal"/>
        <w:numPr>
          <w:ilvl w:val="0"/>
          <w:numId w:val="5"/>
        </w:numPr>
        <w:tabs>
          <w:tab w:val="left" w:pos="720" w:leader="none"/>
        </w:tabs>
        <w:ind w:left="720" w:hanging="360"/>
        <w:jc w:val="both"/>
        <w:rPr>
          <w:sz w:val="22"/>
          <w:szCs w:val="22"/>
        </w:rPr>
      </w:pPr>
      <w:r>
        <w:rPr>
          <w:sz w:val="22"/>
          <w:szCs w:val="22"/>
          <w:u w:val="single"/>
        </w:rPr>
        <w:t>Catégorie Employés / Ouvriers / Agents de Maîtrise :</w:t>
      </w:r>
    </w:p>
    <w:p>
      <w:pPr>
        <w:pStyle w:val="Normal"/>
        <w:jc w:val="both"/>
        <w:rPr>
          <w:sz w:val="22"/>
          <w:szCs w:val="22"/>
          <w:u w:val="single"/>
        </w:rPr>
      </w:pPr>
      <w:r>
        <w:rPr>
          <w:sz w:val="22"/>
          <w:szCs w:val="22"/>
          <w:u w:val="single"/>
        </w:rPr>
      </w:r>
    </w:p>
    <w:p>
      <w:pPr>
        <w:pStyle w:val="Normal"/>
        <w:ind w:left="360" w:hanging="0"/>
        <w:jc w:val="both"/>
        <w:rPr/>
      </w:pPr>
      <w:r>
        <w:rPr>
          <w:sz w:val="22"/>
          <w:szCs w:val="22"/>
        </w:rPr>
        <w:t>Les salaires de base sont revalorisés de :</w:t>
      </w:r>
    </w:p>
    <w:p>
      <w:pPr>
        <w:pStyle w:val="Normal"/>
        <w:ind w:left="360" w:hanging="0"/>
        <w:jc w:val="both"/>
        <w:rPr>
          <w:sz w:val="22"/>
          <w:szCs w:val="22"/>
          <w:lang w:val="de-DE"/>
        </w:rPr>
      </w:pPr>
      <w:r>
        <w:rPr>
          <w:sz w:val="22"/>
          <w:szCs w:val="22"/>
          <w:lang w:val="de-DE"/>
        </w:rPr>
        <w:t>-           au 1</w:t>
      </w:r>
      <w:r>
        <w:rPr>
          <w:sz w:val="22"/>
          <w:szCs w:val="22"/>
          <w:vertAlign w:val="superscript"/>
          <w:lang w:val="de-DE"/>
        </w:rPr>
        <w:t>er</w:t>
      </w:r>
      <w:r>
        <w:rPr>
          <w:sz w:val="22"/>
          <w:szCs w:val="22"/>
          <w:lang w:val="de-DE"/>
        </w:rPr>
        <w:t xml:space="preserve"> juillet 2019</w:t>
      </w:r>
    </w:p>
    <w:p>
      <w:pPr>
        <w:pStyle w:val="Normal"/>
        <w:ind w:left="360" w:hanging="0"/>
        <w:jc w:val="both"/>
        <w:rPr>
          <w:sz w:val="22"/>
          <w:szCs w:val="22"/>
          <w:lang w:val="de-DE"/>
        </w:rPr>
      </w:pPr>
      <w:r>
        <w:rPr>
          <w:sz w:val="22"/>
          <w:szCs w:val="22"/>
          <w:lang w:val="de-DE"/>
        </w:rPr>
        <w:t>-           au 1er septembre 2019</w:t>
      </w:r>
    </w:p>
    <w:p>
      <w:pPr>
        <w:pStyle w:val="Normal"/>
        <w:ind w:left="360" w:hanging="0"/>
        <w:jc w:val="both"/>
        <w:rPr/>
      </w:pPr>
      <w:r>
        <w:rPr>
          <w:sz w:val="22"/>
          <w:szCs w:val="22"/>
          <w:lang w:val="de-DE"/>
        </w:rPr>
        <w:t>-           au 1</w:t>
      </w:r>
      <w:r>
        <w:rPr>
          <w:sz w:val="22"/>
          <w:szCs w:val="22"/>
          <w:vertAlign w:val="superscript"/>
          <w:lang w:val="de-DE"/>
        </w:rPr>
        <w:t>er</w:t>
      </w:r>
      <w:r>
        <w:rPr>
          <w:sz w:val="22"/>
          <w:szCs w:val="22"/>
          <w:lang w:val="de-DE"/>
        </w:rPr>
        <w:t xml:space="preserve"> avril 2020</w:t>
      </w:r>
    </w:p>
    <w:p>
      <w:pPr>
        <w:pStyle w:val="Normal"/>
        <w:ind w:left="360" w:hanging="0"/>
        <w:jc w:val="both"/>
        <w:rPr/>
      </w:pPr>
      <w:r>
        <w:rPr>
          <w:sz w:val="22"/>
          <w:szCs w:val="22"/>
          <w:lang w:val="de-DE"/>
        </w:rPr>
        <w:t>-           au 1er septembre 2020</w:t>
      </w:r>
    </w:p>
    <w:p>
      <w:pPr>
        <w:pStyle w:val="Normal"/>
        <w:ind w:left="360" w:hanging="0"/>
        <w:jc w:val="both"/>
        <w:rPr>
          <w:sz w:val="22"/>
          <w:szCs w:val="22"/>
          <w:lang w:val="de-DE"/>
        </w:rPr>
      </w:pPr>
      <w:r>
        <w:rPr>
          <w:sz w:val="22"/>
          <w:szCs w:val="22"/>
          <w:lang w:val="de-DE"/>
        </w:rPr>
      </w:r>
    </w:p>
    <w:p>
      <w:pPr>
        <w:pStyle w:val="Normal"/>
        <w:ind w:firstLine="360"/>
        <w:jc w:val="both"/>
        <w:rPr>
          <w:sz w:val="22"/>
          <w:szCs w:val="22"/>
          <w:lang w:val="de-DE"/>
        </w:rPr>
      </w:pPr>
      <w:r>
        <w:rPr>
          <w:sz w:val="22"/>
          <w:szCs w:val="22"/>
          <w:lang w:val="de-DE"/>
        </w:rPr>
      </w:r>
    </w:p>
    <w:p>
      <w:pPr>
        <w:pStyle w:val="Normal"/>
        <w:jc w:val="both"/>
        <w:rPr/>
      </w:pPr>
      <w:r>
        <w:rPr>
          <w:sz w:val="22"/>
          <w:szCs w:val="22"/>
        </w:rPr>
        <w:t xml:space="preserve">        </w:t>
      </w:r>
      <w:r>
        <w:rPr>
          <w:sz w:val="22"/>
          <w:szCs w:val="22"/>
        </w:rPr>
        <w:t>c</w:t>
      </w:r>
      <w:r>
        <w:rPr>
          <w:sz w:val="22"/>
          <w:szCs w:val="22"/>
          <w:u w:val="single"/>
        </w:rPr>
        <w:t>) Catégorie Haute Maîtrise et Cadres</w:t>
      </w:r>
      <w:r>
        <w:rPr>
          <w:sz w:val="22"/>
          <w:szCs w:val="22"/>
        </w:rPr>
        <w:t> :</w:t>
      </w:r>
    </w:p>
    <w:p>
      <w:pPr>
        <w:pStyle w:val="Normal"/>
        <w:jc w:val="both"/>
        <w:rPr>
          <w:sz w:val="22"/>
          <w:szCs w:val="22"/>
        </w:rPr>
      </w:pPr>
      <w:r>
        <w:rPr>
          <w:sz w:val="22"/>
          <w:szCs w:val="22"/>
        </w:rPr>
      </w:r>
    </w:p>
    <w:p>
      <w:pPr>
        <w:pStyle w:val="Normal"/>
        <w:jc w:val="both"/>
        <w:rPr>
          <w:sz w:val="22"/>
          <w:szCs w:val="22"/>
        </w:rPr>
      </w:pPr>
      <w:r>
        <w:rPr>
          <w:sz w:val="22"/>
          <w:szCs w:val="22"/>
        </w:rPr>
        <w:t>Une enveloppe de revalorisation de la rémunération de .... est attribuée au 1</w:t>
      </w:r>
      <w:r>
        <w:rPr>
          <w:sz w:val="22"/>
          <w:szCs w:val="22"/>
          <w:vertAlign w:val="superscript"/>
        </w:rPr>
        <w:t>er</w:t>
      </w:r>
      <w:r>
        <w:rPr>
          <w:sz w:val="22"/>
          <w:szCs w:val="22"/>
        </w:rPr>
        <w:t xml:space="preserve"> juillet 2019.</w:t>
      </w:r>
    </w:p>
    <w:p>
      <w:pPr>
        <w:pStyle w:val="Normal"/>
        <w:jc w:val="both"/>
        <w:rPr/>
      </w:pPr>
      <w:r>
        <w:rPr>
          <w:sz w:val="22"/>
          <w:szCs w:val="22"/>
        </w:rPr>
        <w:t xml:space="preserve">Une nouvelle enveloppe de revalorisation de la rémunération de </w:t>
      </w:r>
      <w:r>
        <w:rPr>
          <w:b/>
          <w:sz w:val="22"/>
          <w:szCs w:val="22"/>
        </w:rPr>
        <w:t>.........</w:t>
      </w:r>
      <w:r>
        <w:rPr>
          <w:sz w:val="22"/>
          <w:szCs w:val="22"/>
        </w:rPr>
        <w:t>sera attribuée au 1</w:t>
      </w:r>
      <w:r>
        <w:rPr>
          <w:sz w:val="22"/>
          <w:szCs w:val="22"/>
          <w:vertAlign w:val="superscript"/>
        </w:rPr>
        <w:t>er</w:t>
      </w:r>
      <w:r>
        <w:rPr>
          <w:sz w:val="22"/>
          <w:szCs w:val="22"/>
        </w:rPr>
        <w:t xml:space="preserve"> avril 2020.</w:t>
      </w:r>
    </w:p>
    <w:p>
      <w:pPr>
        <w:pStyle w:val="Normal"/>
        <w:jc w:val="both"/>
        <w:rPr>
          <w:sz w:val="22"/>
          <w:szCs w:val="22"/>
        </w:rPr>
      </w:pPr>
      <w:r>
        <w:rPr>
          <w:sz w:val="22"/>
          <w:szCs w:val="22"/>
        </w:rPr>
      </w:r>
    </w:p>
    <w:p>
      <w:pPr>
        <w:pStyle w:val="Normal"/>
        <w:jc w:val="both"/>
        <w:rPr>
          <w:sz w:val="22"/>
          <w:szCs w:val="22"/>
        </w:rPr>
      </w:pPr>
      <w:r>
        <w:rPr>
          <w:sz w:val="22"/>
          <w:szCs w:val="22"/>
        </w:rPr>
        <w:t>Il est par ailleurs rappelé qu’une enveloppe de ........... sera utilisée dans le cadre des actions liées à l’égalité professionnelle Hommes – Femmes. Les modalités d’attribution sont celles prévues dans le cadre de l’accord égalité Hommes – Femmes signé au sein de l’entreprise le 20 décembre 2018.</w:t>
      </w:r>
    </w:p>
    <w:p>
      <w:pPr>
        <w:pStyle w:val="Normal"/>
        <w:jc w:val="both"/>
        <w:rPr>
          <w:sz w:val="22"/>
          <w:szCs w:val="22"/>
        </w:rPr>
      </w:pPr>
      <w:r>
        <w:rPr>
          <w:sz w:val="22"/>
          <w:szCs w:val="22"/>
        </w:rPr>
      </w:r>
    </w:p>
    <w:p>
      <w:pPr>
        <w:pStyle w:val="Normal"/>
        <w:jc w:val="both"/>
        <w:rPr>
          <w:sz w:val="22"/>
          <w:szCs w:val="22"/>
        </w:rPr>
      </w:pPr>
      <w:r>
        <w:rPr>
          <w:sz w:val="22"/>
          <w:szCs w:val="22"/>
        </w:rPr>
      </w:r>
    </w:p>
    <w:p>
      <w:pPr>
        <w:pStyle w:val="Heading2"/>
        <w:numPr>
          <w:ilvl w:val="0"/>
          <w:numId w:val="7"/>
        </w:numPr>
        <w:rPr/>
      </w:pPr>
      <w:r>
        <w:rPr>
          <w:sz w:val="22"/>
          <w:szCs w:val="22"/>
        </w:rPr>
        <w:t xml:space="preserve">Primes : </w:t>
      </w:r>
    </w:p>
    <w:p>
      <w:pPr>
        <w:pStyle w:val="Normal"/>
        <w:rPr>
          <w:sz w:val="22"/>
          <w:szCs w:val="22"/>
        </w:rPr>
      </w:pPr>
      <w:r>
        <w:rPr>
          <w:sz w:val="22"/>
          <w:szCs w:val="22"/>
        </w:rPr>
      </w:r>
    </w:p>
    <w:p>
      <w:pPr>
        <w:pStyle w:val="Normal"/>
        <w:numPr>
          <w:ilvl w:val="0"/>
          <w:numId w:val="6"/>
        </w:numPr>
        <w:tabs>
          <w:tab w:val="left" w:pos="0" w:leader="none"/>
        </w:tabs>
        <w:rPr/>
      </w:pPr>
      <w:r>
        <w:rPr>
          <w:sz w:val="22"/>
          <w:szCs w:val="22"/>
          <w:u w:val="single"/>
        </w:rPr>
        <w:t>Les primes de risque métier :</w:t>
      </w:r>
    </w:p>
    <w:p>
      <w:pPr>
        <w:pStyle w:val="Normal"/>
        <w:rPr>
          <w:sz w:val="22"/>
          <w:szCs w:val="22"/>
          <w:u w:val="single"/>
        </w:rPr>
      </w:pPr>
      <w:r>
        <w:rPr>
          <w:sz w:val="22"/>
          <w:szCs w:val="22"/>
          <w:u w:val="single"/>
        </w:rPr>
      </w:r>
    </w:p>
    <w:p>
      <w:pPr>
        <w:pStyle w:val="Normal"/>
        <w:rPr>
          <w:sz w:val="22"/>
          <w:szCs w:val="22"/>
        </w:rPr>
      </w:pPr>
      <w:r>
        <w:rPr>
          <w:sz w:val="22"/>
          <w:szCs w:val="22"/>
        </w:rPr>
        <w:t>Ces primes sont revalorisées de :</w:t>
      </w:r>
    </w:p>
    <w:p>
      <w:pPr>
        <w:pStyle w:val="Normal"/>
        <w:ind w:left="360" w:hanging="0"/>
        <w:jc w:val="both"/>
        <w:rPr>
          <w:sz w:val="22"/>
          <w:szCs w:val="22"/>
          <w:lang w:val="de-DE"/>
        </w:rPr>
      </w:pPr>
      <w:r>
        <w:rPr>
          <w:sz w:val="22"/>
          <w:szCs w:val="22"/>
          <w:lang w:val="de-DE"/>
        </w:rPr>
        <w:t>…</w:t>
      </w:r>
      <w:r>
        <w:rPr>
          <w:sz w:val="22"/>
          <w:szCs w:val="22"/>
          <w:lang w:val="de-DE"/>
        </w:rPr>
        <w:t>. au 1</w:t>
      </w:r>
      <w:r>
        <w:rPr>
          <w:sz w:val="22"/>
          <w:szCs w:val="22"/>
          <w:vertAlign w:val="superscript"/>
          <w:lang w:val="de-DE"/>
        </w:rPr>
        <w:t>er</w:t>
      </w:r>
      <w:r>
        <w:rPr>
          <w:sz w:val="22"/>
          <w:szCs w:val="22"/>
          <w:lang w:val="de-DE"/>
        </w:rPr>
        <w:t xml:space="preserve"> avril 2020</w:t>
      </w:r>
    </w:p>
    <w:p>
      <w:pPr>
        <w:pStyle w:val="Normal"/>
        <w:rPr>
          <w:sz w:val="22"/>
          <w:szCs w:val="22"/>
          <w:lang w:val="de-DE"/>
        </w:rPr>
      </w:pPr>
      <w:r>
        <w:rPr>
          <w:sz w:val="22"/>
          <w:szCs w:val="22"/>
          <w:lang w:val="de-DE"/>
        </w:rPr>
      </w:r>
    </w:p>
    <w:p>
      <w:pPr>
        <w:pStyle w:val="Normal"/>
        <w:rPr>
          <w:sz w:val="22"/>
          <w:szCs w:val="22"/>
        </w:rPr>
      </w:pPr>
      <w:r>
        <w:rPr>
          <w:sz w:val="22"/>
          <w:szCs w:val="22"/>
        </w:rPr>
      </w:r>
    </w:p>
    <w:p>
      <w:pPr>
        <w:pStyle w:val="Normal"/>
        <w:numPr>
          <w:ilvl w:val="0"/>
          <w:numId w:val="6"/>
        </w:numPr>
        <w:rPr/>
      </w:pPr>
      <w:r>
        <w:rPr>
          <w:sz w:val="22"/>
          <w:szCs w:val="22"/>
          <w:u w:val="single"/>
        </w:rPr>
        <w:t>La création d’une prime spécifique pour les salariés  affectés au service Monnaie</w:t>
      </w:r>
      <w:r>
        <w:rPr>
          <w:sz w:val="22"/>
          <w:szCs w:val="22"/>
        </w:rPr>
        <w:t> :</w:t>
      </w:r>
    </w:p>
    <w:p>
      <w:pPr>
        <w:pStyle w:val="Normal"/>
        <w:rPr>
          <w:sz w:val="22"/>
          <w:szCs w:val="22"/>
        </w:rPr>
      </w:pPr>
      <w:r>
        <w:rPr>
          <w:sz w:val="22"/>
          <w:szCs w:val="22"/>
        </w:rPr>
      </w:r>
    </w:p>
    <w:p>
      <w:pPr>
        <w:pStyle w:val="Normal"/>
        <w:jc w:val="both"/>
        <w:rPr>
          <w:sz w:val="22"/>
          <w:szCs w:val="22"/>
        </w:rPr>
      </w:pPr>
      <w:r>
        <w:rPr>
          <w:sz w:val="22"/>
          <w:szCs w:val="22"/>
        </w:rPr>
        <w:t>A compter du 1</w:t>
      </w:r>
      <w:r>
        <w:rPr>
          <w:sz w:val="22"/>
          <w:szCs w:val="22"/>
          <w:vertAlign w:val="superscript"/>
        </w:rPr>
        <w:t>er</w:t>
      </w:r>
      <w:r>
        <w:rPr>
          <w:sz w:val="22"/>
          <w:szCs w:val="22"/>
        </w:rPr>
        <w:t xml:space="preserve"> octobre 2019, est attribuée une prime de ....... € bruts mensuels au bénéfice des Opérateurs-trices Monnaie, ainsi qu’aux Responsables exerçant cette activité.</w:t>
      </w:r>
    </w:p>
    <w:p>
      <w:pPr>
        <w:pStyle w:val="Normal"/>
        <w:jc w:val="both"/>
        <w:rPr>
          <w:sz w:val="22"/>
          <w:szCs w:val="22"/>
        </w:rPr>
      </w:pPr>
      <w:r>
        <w:rPr>
          <w:sz w:val="22"/>
          <w:szCs w:val="22"/>
        </w:rPr>
      </w:r>
    </w:p>
    <w:p>
      <w:pPr>
        <w:pStyle w:val="Normal"/>
        <w:jc w:val="both"/>
        <w:rPr/>
      </w:pPr>
      <w:r>
        <w:rPr>
          <w:sz w:val="22"/>
          <w:szCs w:val="22"/>
        </w:rPr>
        <w:t>Pour les salariés affectés temporairement ou à temps partiel au traitement de la monnaie, cette prime sera attribuée au prorata temporis.</w:t>
      </w:r>
    </w:p>
    <w:p>
      <w:pPr>
        <w:pStyle w:val="Normal"/>
        <w:jc w:val="both"/>
        <w:rPr>
          <w:sz w:val="22"/>
          <w:szCs w:val="22"/>
        </w:rPr>
      </w:pPr>
      <w:r>
        <w:rPr>
          <w:sz w:val="22"/>
          <w:szCs w:val="22"/>
        </w:rPr>
      </w:r>
    </w:p>
    <w:p>
      <w:pPr>
        <w:pStyle w:val="Normal"/>
        <w:rPr>
          <w:sz w:val="22"/>
          <w:szCs w:val="22"/>
        </w:rPr>
      </w:pPr>
      <w:r>
        <w:rPr>
          <w:sz w:val="22"/>
          <w:szCs w:val="22"/>
        </w:rPr>
      </w:r>
    </w:p>
    <w:p>
      <w:pPr>
        <w:pStyle w:val="Normal"/>
        <w:numPr>
          <w:ilvl w:val="0"/>
          <w:numId w:val="6"/>
        </w:numPr>
        <w:rPr/>
      </w:pPr>
      <w:r>
        <w:rPr>
          <w:sz w:val="22"/>
          <w:szCs w:val="22"/>
          <w:u w:val="single"/>
        </w:rPr>
        <w:t>Prime d’ancienneté</w:t>
      </w:r>
      <w:r>
        <w:rPr>
          <w:sz w:val="22"/>
          <w:szCs w:val="22"/>
        </w:rPr>
        <w:t> :</w:t>
      </w:r>
    </w:p>
    <w:p>
      <w:pPr>
        <w:pStyle w:val="Normal"/>
        <w:rPr>
          <w:sz w:val="22"/>
          <w:szCs w:val="22"/>
        </w:rPr>
      </w:pPr>
      <w:r>
        <w:rPr>
          <w:sz w:val="22"/>
          <w:szCs w:val="22"/>
        </w:rPr>
      </w:r>
    </w:p>
    <w:p>
      <w:pPr>
        <w:pStyle w:val="Normal"/>
        <w:jc w:val="both"/>
        <w:rPr>
          <w:sz w:val="22"/>
          <w:szCs w:val="22"/>
        </w:rPr>
      </w:pPr>
      <w:r>
        <w:rPr>
          <w:sz w:val="22"/>
          <w:szCs w:val="22"/>
        </w:rPr>
        <w:t>Afin d’harmoniser les pratiques sur l’ensemble du périmètre de l’entreprise, les modalités de calcul de la prime d’ancienneté et du différentiel avenant 19 sont revues à compter du 1</w:t>
      </w:r>
      <w:r>
        <w:rPr>
          <w:sz w:val="22"/>
          <w:szCs w:val="22"/>
          <w:vertAlign w:val="superscript"/>
        </w:rPr>
        <w:t>er</w:t>
      </w:r>
      <w:r>
        <w:rPr>
          <w:sz w:val="22"/>
          <w:szCs w:val="22"/>
        </w:rPr>
        <w:t xml:space="preserve"> juillet 2019, pour les ouvriers justifiant de 15 à 20 ans d’ancienneté :</w:t>
      </w:r>
    </w:p>
    <w:p>
      <w:pPr>
        <w:pStyle w:val="Normal"/>
        <w:jc w:val="both"/>
        <w:rPr>
          <w:sz w:val="22"/>
          <w:szCs w:val="22"/>
        </w:rPr>
      </w:pPr>
      <w:r>
        <w:rPr>
          <w:sz w:val="22"/>
          <w:szCs w:val="22"/>
        </w:rPr>
      </w:r>
    </w:p>
    <w:p>
      <w:pPr>
        <w:pStyle w:val="Normal"/>
        <w:jc w:val="both"/>
        <w:rPr/>
      </w:pPr>
      <w:r>
        <w:rPr>
          <w:sz w:val="22"/>
          <w:szCs w:val="22"/>
        </w:rPr>
        <w:t>Pour cette tranche, le taux d’ancienneté sera harmonisé sur celui en vigueur dans les établissements Sud-Est et Ex Sud-Ouest, soit :</w:t>
      </w:r>
    </w:p>
    <w:p>
      <w:pPr>
        <w:pStyle w:val="Normal"/>
        <w:rPr>
          <w:sz w:val="22"/>
          <w:szCs w:val="22"/>
        </w:rPr>
      </w:pPr>
      <w:r>
        <w:rPr>
          <w:sz w:val="22"/>
          <w:szCs w:val="22"/>
        </w:rPr>
      </w:r>
    </w:p>
    <w:p>
      <w:pPr>
        <w:pStyle w:val="Normal"/>
        <w:numPr>
          <w:ilvl w:val="0"/>
          <w:numId w:val="8"/>
        </w:numPr>
        <w:rPr>
          <w:sz w:val="22"/>
          <w:szCs w:val="22"/>
        </w:rPr>
      </w:pPr>
      <w:r>
        <w:rPr>
          <w:sz w:val="22"/>
          <w:szCs w:val="22"/>
        </w:rPr>
        <w:t>un taux d’ancienneté porté de ................. à compter de 15 ans d’ancienneté</w:t>
      </w:r>
    </w:p>
    <w:p>
      <w:pPr>
        <w:pStyle w:val="Normal"/>
        <w:numPr>
          <w:ilvl w:val="0"/>
          <w:numId w:val="8"/>
        </w:numPr>
        <w:rPr/>
      </w:pPr>
      <w:r>
        <w:rPr>
          <w:sz w:val="22"/>
          <w:szCs w:val="22"/>
        </w:rPr>
        <w:t>un taux d’ancienneté porté de ................. à compter de 17 ans d’ancienneté</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jc w:val="both"/>
        <w:rPr>
          <w:b/>
          <w:b/>
          <w:sz w:val="22"/>
          <w:szCs w:val="22"/>
        </w:rPr>
      </w:pPr>
      <w:r>
        <w:rPr>
          <w:b/>
          <w:sz w:val="22"/>
          <w:szCs w:val="22"/>
        </w:rPr>
      </w:r>
    </w:p>
    <w:p>
      <w:pPr>
        <w:pStyle w:val="Normal"/>
        <w:jc w:val="both"/>
        <w:rPr>
          <w:b/>
          <w:b/>
          <w:sz w:val="22"/>
          <w:szCs w:val="22"/>
          <w:u w:val="single"/>
        </w:rPr>
      </w:pPr>
      <w:r>
        <w:rPr>
          <w:b/>
          <w:sz w:val="22"/>
          <w:szCs w:val="22"/>
        </w:rPr>
        <w:t xml:space="preserve">2.2 </w:t>
      </w:r>
      <w:r>
        <w:rPr>
          <w:b/>
          <w:sz w:val="22"/>
          <w:szCs w:val="22"/>
          <w:u w:val="single"/>
        </w:rPr>
        <w:t xml:space="preserve">ACCESSOIRES DE SALAIRES : </w:t>
      </w:r>
    </w:p>
    <w:p>
      <w:pPr>
        <w:pStyle w:val="Normal"/>
        <w:jc w:val="both"/>
        <w:rPr>
          <w:b/>
          <w:b/>
          <w:sz w:val="22"/>
          <w:szCs w:val="22"/>
          <w:u w:val="single"/>
        </w:rPr>
      </w:pPr>
      <w:r>
        <w:rPr>
          <w:b/>
          <w:sz w:val="22"/>
          <w:szCs w:val="22"/>
          <w:u w:val="single"/>
        </w:rPr>
      </w:r>
    </w:p>
    <w:p>
      <w:pPr>
        <w:pStyle w:val="Normal"/>
        <w:jc w:val="both"/>
        <w:rPr>
          <w:b/>
          <w:b/>
          <w:sz w:val="22"/>
          <w:szCs w:val="22"/>
          <w:u w:val="single"/>
        </w:rPr>
      </w:pPr>
      <w:r>
        <w:rPr>
          <w:b/>
          <w:sz w:val="22"/>
          <w:szCs w:val="22"/>
          <w:u w:val="single"/>
        </w:rPr>
      </w:r>
    </w:p>
    <w:p>
      <w:pPr>
        <w:pStyle w:val="Normal"/>
        <w:numPr>
          <w:ilvl w:val="0"/>
          <w:numId w:val="3"/>
        </w:numPr>
        <w:jc w:val="both"/>
        <w:rPr/>
      </w:pPr>
      <w:r>
        <w:rPr>
          <w:sz w:val="22"/>
          <w:szCs w:val="22"/>
          <w:u w:val="single"/>
        </w:rPr>
        <w:t>Journées d’habillage :</w:t>
      </w:r>
    </w:p>
    <w:p>
      <w:pPr>
        <w:pStyle w:val="Normal"/>
        <w:jc w:val="both"/>
        <w:rPr>
          <w:sz w:val="22"/>
          <w:szCs w:val="22"/>
          <w:u w:val="single"/>
        </w:rPr>
      </w:pPr>
      <w:r>
        <w:rPr>
          <w:sz w:val="22"/>
          <w:szCs w:val="22"/>
          <w:u w:val="single"/>
        </w:rPr>
      </w:r>
    </w:p>
    <w:p>
      <w:pPr>
        <w:pStyle w:val="Normal"/>
        <w:jc w:val="both"/>
        <w:rPr/>
      </w:pPr>
      <w:r>
        <w:rPr>
          <w:sz w:val="22"/>
          <w:szCs w:val="22"/>
        </w:rPr>
        <w:t>A compter du 1</w:t>
      </w:r>
      <w:r>
        <w:rPr>
          <w:sz w:val="22"/>
          <w:szCs w:val="22"/>
          <w:vertAlign w:val="superscript"/>
        </w:rPr>
        <w:t>er</w:t>
      </w:r>
      <w:r>
        <w:rPr>
          <w:sz w:val="22"/>
          <w:szCs w:val="22"/>
        </w:rPr>
        <w:t xml:space="preserve"> janvier 2020, les Mécaniciens se voient octroyer 2 jours d’habillage par an.</w:t>
      </w:r>
    </w:p>
    <w:p>
      <w:pPr>
        <w:pStyle w:val="Normal"/>
        <w:jc w:val="both"/>
        <w:rPr>
          <w:sz w:val="22"/>
          <w:szCs w:val="22"/>
        </w:rPr>
      </w:pPr>
      <w:r>
        <w:rPr>
          <w:sz w:val="22"/>
          <w:szCs w:val="22"/>
        </w:rPr>
      </w:r>
    </w:p>
    <w:p>
      <w:pPr>
        <w:pStyle w:val="Normal"/>
        <w:numPr>
          <w:ilvl w:val="0"/>
          <w:numId w:val="3"/>
        </w:numPr>
        <w:jc w:val="both"/>
        <w:rPr/>
      </w:pPr>
      <w:r>
        <w:rPr>
          <w:sz w:val="22"/>
          <w:szCs w:val="22"/>
          <w:u w:val="single"/>
        </w:rPr>
        <w:t>Défraiements pour nettoyage des équipements professionnels</w:t>
      </w:r>
      <w:r>
        <w:rPr>
          <w:sz w:val="22"/>
          <w:szCs w:val="22"/>
        </w:rPr>
        <w:t> :</w:t>
      </w:r>
    </w:p>
    <w:p>
      <w:pPr>
        <w:pStyle w:val="Normal"/>
        <w:jc w:val="both"/>
        <w:rPr>
          <w:sz w:val="22"/>
          <w:szCs w:val="22"/>
        </w:rPr>
      </w:pPr>
      <w:r>
        <w:rPr>
          <w:sz w:val="22"/>
          <w:szCs w:val="22"/>
        </w:rPr>
      </w:r>
    </w:p>
    <w:p>
      <w:pPr>
        <w:pStyle w:val="Normal"/>
        <w:jc w:val="both"/>
        <w:rPr>
          <w:sz w:val="22"/>
          <w:szCs w:val="22"/>
        </w:rPr>
      </w:pPr>
      <w:r>
        <w:rPr>
          <w:sz w:val="22"/>
          <w:szCs w:val="22"/>
        </w:rPr>
        <w:t>Afin de compenser la suppression de la carte de points pour paiement dans les pressings (« carte Clean Way »), il est attribué une compensation de ces frais égale à :</w:t>
      </w:r>
    </w:p>
    <w:p>
      <w:pPr>
        <w:pStyle w:val="Normal"/>
        <w:numPr>
          <w:ilvl w:val="0"/>
          <w:numId w:val="2"/>
        </w:numPr>
        <w:jc w:val="both"/>
        <w:rPr>
          <w:sz w:val="22"/>
          <w:szCs w:val="22"/>
        </w:rPr>
      </w:pPr>
      <w:r>
        <w:rPr>
          <w:sz w:val="22"/>
          <w:szCs w:val="22"/>
        </w:rPr>
        <w:t>12,20 € nets par mois pour les convoyeurs VB, les chefs de mouvement et agents de chambre forte. Cette indemnité est réduite de 2,81 € par semaine non travaillée.</w:t>
      </w:r>
    </w:p>
    <w:p>
      <w:pPr>
        <w:pStyle w:val="Normal"/>
        <w:numPr>
          <w:ilvl w:val="0"/>
          <w:numId w:val="2"/>
        </w:numPr>
        <w:jc w:val="both"/>
        <w:rPr/>
      </w:pPr>
      <w:r>
        <w:rPr>
          <w:sz w:val="22"/>
          <w:szCs w:val="22"/>
        </w:rPr>
        <w:t>3,61 € nets par mois pour les personnels du Comptage. Cette indemnité est réduite de 0,83 € par semaine non travaillée</w:t>
      </w:r>
    </w:p>
    <w:p>
      <w:pPr>
        <w:pStyle w:val="Normal"/>
        <w:ind w:left="720" w:hanging="0"/>
        <w:jc w:val="both"/>
        <w:rPr>
          <w:sz w:val="22"/>
          <w:szCs w:val="22"/>
        </w:rPr>
      </w:pPr>
      <w:r>
        <w:rPr>
          <w:sz w:val="22"/>
          <w:szCs w:val="22"/>
        </w:rPr>
      </w:r>
    </w:p>
    <w:p>
      <w:pPr>
        <w:pStyle w:val="Normal"/>
        <w:jc w:val="both"/>
        <w:rPr>
          <w:sz w:val="22"/>
          <w:szCs w:val="22"/>
        </w:rPr>
      </w:pPr>
      <w:r>
        <w:rPr>
          <w:sz w:val="22"/>
          <w:szCs w:val="22"/>
        </w:rPr>
        <w:t>Cette mesure prendra effet à compter du 1</w:t>
      </w:r>
      <w:r>
        <w:rPr>
          <w:sz w:val="22"/>
          <w:szCs w:val="22"/>
          <w:vertAlign w:val="superscript"/>
        </w:rPr>
        <w:t>er</w:t>
      </w:r>
      <w:r>
        <w:rPr>
          <w:sz w:val="22"/>
          <w:szCs w:val="22"/>
        </w:rPr>
        <w:t xml:space="preserve"> janvier 2020.</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3"/>
        </w:numPr>
        <w:jc w:val="both"/>
        <w:rPr/>
      </w:pPr>
      <w:r>
        <w:rPr>
          <w:sz w:val="22"/>
          <w:szCs w:val="22"/>
          <w:u w:val="single"/>
        </w:rPr>
        <w:t>Tickets Restaurant</w:t>
      </w:r>
      <w:r>
        <w:rPr>
          <w:sz w:val="22"/>
          <w:szCs w:val="22"/>
        </w:rPr>
        <w:t xml:space="preserve"> : </w:t>
      </w:r>
    </w:p>
    <w:p>
      <w:pPr>
        <w:pStyle w:val="Normal"/>
        <w:jc w:val="both"/>
        <w:rPr>
          <w:sz w:val="22"/>
          <w:szCs w:val="22"/>
        </w:rPr>
      </w:pPr>
      <w:r>
        <w:rPr>
          <w:sz w:val="22"/>
          <w:szCs w:val="22"/>
        </w:rPr>
      </w:r>
    </w:p>
    <w:p>
      <w:pPr>
        <w:pStyle w:val="Normal"/>
        <w:jc w:val="both"/>
        <w:rPr/>
      </w:pPr>
      <w:r>
        <w:rPr>
          <w:sz w:val="22"/>
          <w:szCs w:val="22"/>
        </w:rPr>
        <w:t xml:space="preserve">Les tickets restaurants sont portés à </w:t>
      </w:r>
      <w:r>
        <w:rPr>
          <w:b/>
          <w:sz w:val="22"/>
          <w:szCs w:val="22"/>
        </w:rPr>
        <w:t>8 €</w:t>
      </w:r>
      <w:r>
        <w:rPr>
          <w:sz w:val="22"/>
          <w:szCs w:val="22"/>
        </w:rPr>
        <w:t xml:space="preserve"> à effet du 1</w:t>
      </w:r>
      <w:r>
        <w:rPr>
          <w:sz w:val="22"/>
          <w:szCs w:val="22"/>
          <w:vertAlign w:val="superscript"/>
        </w:rPr>
        <w:t>er</w:t>
      </w:r>
      <w:r>
        <w:rPr>
          <w:sz w:val="22"/>
          <w:szCs w:val="22"/>
        </w:rPr>
        <w:t xml:space="preserve"> janvier 2020. La part patronale est fixée à 60 %.</w:t>
      </w:r>
    </w:p>
    <w:p>
      <w:pPr>
        <w:pStyle w:val="Normal"/>
        <w:jc w:val="both"/>
        <w:rPr>
          <w:sz w:val="22"/>
          <w:szCs w:val="22"/>
        </w:rPr>
      </w:pPr>
      <w:r>
        <w:rPr>
          <w:sz w:val="22"/>
          <w:szCs w:val="22"/>
        </w:rPr>
        <w:tab/>
      </w:r>
    </w:p>
    <w:p>
      <w:pPr>
        <w:pStyle w:val="Normal"/>
        <w:jc w:val="both"/>
        <w:rPr>
          <w:sz w:val="22"/>
          <w:szCs w:val="22"/>
        </w:rPr>
      </w:pPr>
      <w:r>
        <w:rPr>
          <w:sz w:val="22"/>
          <w:szCs w:val="22"/>
        </w:rPr>
      </w:r>
    </w:p>
    <w:p>
      <w:pPr>
        <w:pStyle w:val="Normal"/>
        <w:numPr>
          <w:ilvl w:val="0"/>
          <w:numId w:val="3"/>
        </w:numPr>
        <w:jc w:val="both"/>
        <w:rPr>
          <w:sz w:val="22"/>
          <w:szCs w:val="22"/>
        </w:rPr>
      </w:pPr>
      <w:r>
        <w:rPr>
          <w:sz w:val="22"/>
          <w:szCs w:val="22"/>
          <w:u w:val="single"/>
        </w:rPr>
        <w:t>Paiement des Repos Compensateurs de Lissage (RCL)</w:t>
      </w:r>
      <w:r>
        <w:rPr>
          <w:sz w:val="22"/>
          <w:szCs w:val="22"/>
        </w:rPr>
        <w:t> :</w:t>
      </w:r>
    </w:p>
    <w:p>
      <w:pPr>
        <w:pStyle w:val="Normal"/>
        <w:jc w:val="both"/>
        <w:rPr>
          <w:sz w:val="22"/>
          <w:szCs w:val="22"/>
        </w:rPr>
      </w:pPr>
      <w:r>
        <w:rPr>
          <w:sz w:val="22"/>
          <w:szCs w:val="22"/>
        </w:rPr>
      </w:r>
    </w:p>
    <w:p>
      <w:pPr>
        <w:pStyle w:val="Normal"/>
        <w:jc w:val="both"/>
        <w:rPr>
          <w:sz w:val="22"/>
          <w:szCs w:val="22"/>
        </w:rPr>
      </w:pPr>
      <w:r>
        <w:rPr>
          <w:sz w:val="22"/>
          <w:szCs w:val="22"/>
        </w:rPr>
        <w:t>Sur demande des salariés sur la base d’un processus qui sera localement communiqué, la Direction s’engage à payer sur le mois de septembre une partie des RCL acquis. Ce paiement ne saurait aller au-delà de 15 jours de RCL par salarié.</w:t>
      </w:r>
    </w:p>
    <w:p>
      <w:pPr>
        <w:pStyle w:val="Normal"/>
        <w:jc w:val="both"/>
        <w:rPr>
          <w:sz w:val="22"/>
          <w:szCs w:val="22"/>
        </w:rPr>
      </w:pPr>
      <w:r>
        <w:rPr>
          <w:sz w:val="22"/>
          <w:szCs w:val="22"/>
        </w:rPr>
      </w:r>
    </w:p>
    <w:p>
      <w:pPr>
        <w:pStyle w:val="Normal"/>
        <w:numPr>
          <w:ilvl w:val="0"/>
          <w:numId w:val="3"/>
        </w:numPr>
        <w:jc w:val="both"/>
        <w:rPr>
          <w:sz w:val="22"/>
          <w:szCs w:val="22"/>
        </w:rPr>
      </w:pPr>
      <w:r>
        <w:rPr>
          <w:sz w:val="22"/>
          <w:szCs w:val="22"/>
        </w:rPr>
        <w:t xml:space="preserve"> </w:t>
      </w:r>
      <w:r>
        <w:rPr>
          <w:sz w:val="22"/>
          <w:szCs w:val="22"/>
          <w:u w:val="single"/>
        </w:rPr>
        <w:t>Œuvres sociales versées aux Comités Sociaux et Economiques d’Etablissement</w:t>
      </w:r>
      <w:r>
        <w:rPr>
          <w:sz w:val="22"/>
          <w:szCs w:val="22"/>
        </w:rPr>
        <w:t> :</w:t>
      </w:r>
    </w:p>
    <w:p>
      <w:pPr>
        <w:pStyle w:val="Normal"/>
        <w:jc w:val="both"/>
        <w:rPr>
          <w:sz w:val="22"/>
          <w:szCs w:val="22"/>
        </w:rPr>
      </w:pPr>
      <w:r>
        <w:rPr>
          <w:sz w:val="22"/>
          <w:szCs w:val="22"/>
        </w:rPr>
      </w:r>
    </w:p>
    <w:p>
      <w:pPr>
        <w:pStyle w:val="Normal"/>
        <w:ind w:left="284" w:hanging="0"/>
        <w:jc w:val="both"/>
        <w:rPr>
          <w:sz w:val="22"/>
          <w:szCs w:val="22"/>
        </w:rPr>
      </w:pPr>
      <w:r>
        <w:rPr>
          <w:sz w:val="22"/>
          <w:szCs w:val="22"/>
        </w:rPr>
        <w:t>Le versement complémentaire effectué sur les œuvres sociales des CSE d’Etablissement dans le cadre de la politique de complément aux chèques vacances est maintenu pour les années 2019 et 2020. Le versement attribué par salarié est défini par chacun des CSE d’Etablissement sur la base du budget octroyé à chacun d’eux par l’entreprise.</w:t>
      </w:r>
    </w:p>
    <w:p>
      <w:pPr>
        <w:pStyle w:val="Normal"/>
        <w:jc w:val="both"/>
        <w:rPr>
          <w:sz w:val="22"/>
          <w:szCs w:val="22"/>
        </w:rPr>
      </w:pPr>
      <w:r>
        <w:rPr>
          <w:sz w:val="22"/>
          <w:szCs w:val="22"/>
        </w:rPr>
      </w:r>
    </w:p>
    <w:p>
      <w:pPr>
        <w:pStyle w:val="Normal"/>
        <w:numPr>
          <w:ilvl w:val="0"/>
          <w:numId w:val="3"/>
        </w:numPr>
        <w:jc w:val="both"/>
        <w:rPr>
          <w:sz w:val="22"/>
          <w:szCs w:val="22"/>
          <w:u w:val="single"/>
        </w:rPr>
      </w:pPr>
      <w:r>
        <w:rPr>
          <w:sz w:val="22"/>
          <w:szCs w:val="22"/>
          <w:u w:val="single"/>
        </w:rPr>
        <w:t>Prise des JRTT :</w:t>
      </w:r>
    </w:p>
    <w:p>
      <w:pPr>
        <w:pStyle w:val="Normal"/>
        <w:jc w:val="both"/>
        <w:rPr>
          <w:sz w:val="22"/>
          <w:szCs w:val="22"/>
          <w:u w:val="single"/>
        </w:rPr>
      </w:pPr>
      <w:r>
        <w:rPr>
          <w:sz w:val="22"/>
          <w:szCs w:val="22"/>
          <w:u w:val="single"/>
        </w:rPr>
      </w:r>
    </w:p>
    <w:p>
      <w:pPr>
        <w:pStyle w:val="Normal"/>
        <w:ind w:firstLine="360"/>
        <w:jc w:val="both"/>
        <w:rPr>
          <w:sz w:val="22"/>
          <w:szCs w:val="22"/>
        </w:rPr>
      </w:pPr>
      <w:r>
        <w:rPr>
          <w:sz w:val="22"/>
          <w:szCs w:val="22"/>
        </w:rPr>
        <w:t>Pour les bénéficiaires de ce type de congé, il est accordé la possibilité d’accoler, une fois par an et hors période estivale (15 juin – 15 septembre), une semaine complète de jours RTT.</w:t>
      </w:r>
    </w:p>
    <w:p>
      <w:pPr>
        <w:pStyle w:val="Normal"/>
        <w:jc w:val="both"/>
        <w:rPr>
          <w:sz w:val="22"/>
          <w:szCs w:val="22"/>
        </w:rPr>
      </w:pPr>
      <w:r>
        <w:rPr>
          <w:sz w:val="22"/>
          <w:szCs w:val="22"/>
        </w:rPr>
      </w:r>
    </w:p>
    <w:p>
      <w:pPr>
        <w:pStyle w:val="Normal"/>
        <w:numPr>
          <w:ilvl w:val="0"/>
          <w:numId w:val="3"/>
        </w:numPr>
        <w:jc w:val="both"/>
        <w:rPr/>
      </w:pPr>
      <w:r>
        <w:rPr>
          <w:sz w:val="22"/>
          <w:szCs w:val="22"/>
          <w:u w:val="single"/>
        </w:rPr>
        <w:t>Journée de solidarité</w:t>
      </w:r>
      <w:r>
        <w:rPr>
          <w:sz w:val="22"/>
          <w:szCs w:val="22"/>
        </w:rPr>
        <w:t> :</w:t>
      </w:r>
    </w:p>
    <w:p>
      <w:pPr>
        <w:pStyle w:val="Normal"/>
        <w:jc w:val="both"/>
        <w:rPr>
          <w:sz w:val="22"/>
          <w:szCs w:val="22"/>
        </w:rPr>
      </w:pPr>
      <w:r>
        <w:rPr>
          <w:sz w:val="22"/>
          <w:szCs w:val="22"/>
        </w:rPr>
      </w:r>
    </w:p>
    <w:p>
      <w:pPr>
        <w:pStyle w:val="Heading"/>
        <w:numPr>
          <w:ilvl w:val="0"/>
          <w:numId w:val="0"/>
        </w:numPr>
        <w:ind w:left="360" w:hanging="0"/>
        <w:jc w:val="left"/>
        <w:outlineLvl w:val="0"/>
        <w:rPr>
          <w:b w:val="false"/>
          <w:b w:val="false"/>
          <w:bCs w:val="false"/>
          <w:sz w:val="22"/>
          <w:szCs w:val="22"/>
        </w:rPr>
      </w:pPr>
      <w:r>
        <w:rPr>
          <w:b w:val="false"/>
          <w:bCs w:val="false"/>
          <w:sz w:val="22"/>
          <w:szCs w:val="22"/>
        </w:rPr>
        <w:t>La contribution de chacun au titre de la journée de solidarité est maintenue.</w:t>
      </w:r>
    </w:p>
    <w:p>
      <w:pPr>
        <w:pStyle w:val="Heading"/>
        <w:numPr>
          <w:ilvl w:val="0"/>
          <w:numId w:val="0"/>
        </w:numPr>
        <w:ind w:left="360" w:hanging="0"/>
        <w:jc w:val="left"/>
        <w:outlineLvl w:val="0"/>
        <w:rPr>
          <w:b w:val="false"/>
          <w:b w:val="false"/>
          <w:bCs w:val="false"/>
          <w:sz w:val="22"/>
          <w:szCs w:val="22"/>
        </w:rPr>
      </w:pPr>
      <w:r>
        <w:rPr>
          <w:b w:val="false"/>
          <w:bCs w:val="false"/>
          <w:sz w:val="22"/>
          <w:szCs w:val="22"/>
        </w:rPr>
        <w:t>Aussi les salariés seront conduits à contribuer selon les modalités suivantes :</w:t>
      </w:r>
    </w:p>
    <w:p>
      <w:pPr>
        <w:pStyle w:val="Heading"/>
        <w:numPr>
          <w:ilvl w:val="0"/>
          <w:numId w:val="4"/>
        </w:numPr>
        <w:jc w:val="left"/>
        <w:outlineLvl w:val="0"/>
        <w:rPr>
          <w:b w:val="false"/>
          <w:b w:val="false"/>
          <w:bCs w:val="false"/>
          <w:sz w:val="22"/>
          <w:szCs w:val="22"/>
        </w:rPr>
      </w:pPr>
      <w:r>
        <w:rPr>
          <w:b w:val="false"/>
          <w:bCs w:val="false"/>
          <w:sz w:val="22"/>
          <w:szCs w:val="22"/>
        </w:rPr>
        <w:t>pour les catégories employé / ouvrier : retenue d’un jour de repos compensateur de remplacement (1) ou d’un jour de repos compensateur (2), d’un jour de repos habillage (3), d’un jour de congé de fractionnement ou supplémentaire (4). Cette journée sera prélevée en juin sur les compteurs existants et dans l’ordre de priorité ci-dessus défini. En l’absence d’un compteur suffisant en juin, cette journée sera prélevée en décembre.</w:t>
      </w:r>
    </w:p>
    <w:p>
      <w:pPr>
        <w:pStyle w:val="Heading"/>
        <w:numPr>
          <w:ilvl w:val="0"/>
          <w:numId w:val="4"/>
        </w:numPr>
        <w:jc w:val="left"/>
        <w:outlineLvl w:val="0"/>
        <w:rPr>
          <w:b w:val="false"/>
          <w:b w:val="false"/>
          <w:sz w:val="22"/>
          <w:szCs w:val="22"/>
        </w:rPr>
      </w:pPr>
      <w:r>
        <w:rPr>
          <w:b w:val="false"/>
          <w:sz w:val="22"/>
          <w:szCs w:val="22"/>
        </w:rPr>
        <w:t xml:space="preserve">pour les catégories AM / CADRE : retenue d’une journée de RTT, </w:t>
      </w:r>
    </w:p>
    <w:p>
      <w:pPr>
        <w:pStyle w:val="Heading"/>
        <w:numPr>
          <w:ilvl w:val="0"/>
          <w:numId w:val="0"/>
        </w:numPr>
        <w:jc w:val="left"/>
        <w:outlineLvl w:val="0"/>
        <w:rPr>
          <w:b w:val="false"/>
          <w:b w:val="false"/>
          <w:sz w:val="22"/>
          <w:szCs w:val="22"/>
        </w:rPr>
      </w:pPr>
      <w:r>
        <w:rPr>
          <w:b w:val="false"/>
          <w:sz w:val="22"/>
          <w:szCs w:val="22"/>
        </w:rPr>
      </w:r>
    </w:p>
    <w:p>
      <w:pPr>
        <w:pStyle w:val="Heading"/>
        <w:numPr>
          <w:ilvl w:val="0"/>
          <w:numId w:val="0"/>
        </w:numPr>
        <w:jc w:val="left"/>
        <w:outlineLvl w:val="0"/>
        <w:rPr/>
      </w:pPr>
      <w:r>
        <w:rPr/>
      </w:r>
    </w:p>
    <w:p>
      <w:pPr>
        <w:pStyle w:val="Heading"/>
        <w:numPr>
          <w:ilvl w:val="0"/>
          <w:numId w:val="0"/>
        </w:numPr>
        <w:jc w:val="left"/>
        <w:outlineLvl w:val="0"/>
        <w:rPr/>
      </w:pPr>
      <w:r>
        <w:rPr/>
      </w:r>
    </w:p>
    <w:p>
      <w:pPr>
        <w:pStyle w:val="Heading"/>
        <w:numPr>
          <w:ilvl w:val="0"/>
          <w:numId w:val="0"/>
        </w:numPr>
        <w:jc w:val="left"/>
        <w:outlineLvl w:val="0"/>
        <w:rPr/>
      </w:pPr>
      <w:r>
        <w:rPr/>
      </w:r>
    </w:p>
    <w:p>
      <w:pPr>
        <w:pStyle w:val="Normal"/>
        <w:jc w:val="both"/>
        <w:rPr>
          <w:sz w:val="22"/>
          <w:szCs w:val="22"/>
        </w:rPr>
      </w:pPr>
      <w:r>
        <w:rPr>
          <w:sz w:val="22"/>
          <w:szCs w:val="22"/>
        </w:rPr>
      </w:r>
    </w:p>
    <w:p>
      <w:pPr>
        <w:pStyle w:val="Normal"/>
        <w:jc w:val="both"/>
        <w:rPr>
          <w:sz w:val="22"/>
          <w:szCs w:val="22"/>
        </w:rPr>
      </w:pPr>
      <w:r>
        <w:rPr>
          <w:b/>
          <w:sz w:val="22"/>
          <w:szCs w:val="22"/>
        </w:rPr>
        <w:t xml:space="preserve"> </w:t>
      </w:r>
      <w:r>
        <w:rPr>
          <w:b/>
          <w:sz w:val="22"/>
          <w:szCs w:val="22"/>
          <w:u w:val="single"/>
        </w:rPr>
        <w:t>2.3</w:t>
      </w:r>
      <w:r>
        <w:rPr>
          <w:sz w:val="22"/>
          <w:szCs w:val="22"/>
          <w:u w:val="single"/>
        </w:rPr>
        <w:t xml:space="preserve">  </w:t>
      </w:r>
      <w:r>
        <w:rPr>
          <w:b/>
          <w:sz w:val="22"/>
          <w:szCs w:val="22"/>
          <w:u w:val="single"/>
        </w:rPr>
        <w:t>ENGAGEMENTS DE LA DIRECTION</w:t>
      </w:r>
      <w:r>
        <w:rPr>
          <w:sz w:val="22"/>
          <w:szCs w:val="22"/>
        </w:rPr>
        <w:t> :</w:t>
      </w:r>
    </w:p>
    <w:p>
      <w:pPr>
        <w:pStyle w:val="Normal"/>
        <w:jc w:val="both"/>
        <w:rPr>
          <w:sz w:val="22"/>
          <w:szCs w:val="22"/>
        </w:rPr>
      </w:pPr>
      <w:r>
        <w:rPr>
          <w:sz w:val="22"/>
          <w:szCs w:val="22"/>
        </w:rPr>
      </w:r>
    </w:p>
    <w:p>
      <w:pPr>
        <w:pStyle w:val="Normal"/>
        <w:numPr>
          <w:ilvl w:val="0"/>
          <w:numId w:val="9"/>
        </w:numPr>
        <w:jc w:val="both"/>
        <w:rPr>
          <w:sz w:val="22"/>
          <w:szCs w:val="22"/>
          <w:u w:val="single"/>
        </w:rPr>
      </w:pPr>
      <w:r>
        <w:rPr>
          <w:sz w:val="22"/>
          <w:szCs w:val="22"/>
          <w:u w:val="single"/>
        </w:rPr>
        <w:t>Responsables BKFF au sein des agences :</w:t>
      </w:r>
    </w:p>
    <w:p>
      <w:pPr>
        <w:pStyle w:val="Normal"/>
        <w:jc w:val="both"/>
        <w:rPr>
          <w:sz w:val="22"/>
          <w:szCs w:val="22"/>
          <w:u w:val="single"/>
        </w:rPr>
      </w:pPr>
      <w:r>
        <w:rPr>
          <w:sz w:val="22"/>
          <w:szCs w:val="22"/>
          <w:u w:val="single"/>
        </w:rPr>
      </w:r>
    </w:p>
    <w:p>
      <w:pPr>
        <w:pStyle w:val="Normal"/>
        <w:jc w:val="both"/>
        <w:rPr>
          <w:sz w:val="22"/>
          <w:szCs w:val="22"/>
        </w:rPr>
      </w:pPr>
      <w:r>
        <w:rPr>
          <w:sz w:val="22"/>
          <w:szCs w:val="22"/>
        </w:rPr>
        <w:t>La Direction s’engage à étudier la pertinence et l’opportunité de mettre en place les modalités de reconnaissance pour les salarié-e-s assumant la responsabilité de pilotage et de validation liée au mode opératoire dit « BKFF » au sein des agences.</w:t>
      </w:r>
    </w:p>
    <w:p>
      <w:pPr>
        <w:pStyle w:val="Normal"/>
        <w:spacing w:before="0" w:after="60"/>
        <w:rPr>
          <w:sz w:val="22"/>
          <w:szCs w:val="22"/>
        </w:rPr>
      </w:pPr>
      <w:r>
        <w:rPr>
          <w:sz w:val="22"/>
          <w:szCs w:val="22"/>
        </w:rPr>
      </w:r>
    </w:p>
    <w:p>
      <w:pPr>
        <w:pStyle w:val="Normal"/>
        <w:spacing w:before="0" w:after="60"/>
        <w:rPr/>
      </w:pPr>
      <w:r>
        <w:rPr/>
      </w:r>
    </w:p>
    <w:p>
      <w:pPr>
        <w:pStyle w:val="Normal"/>
        <w:numPr>
          <w:ilvl w:val="0"/>
          <w:numId w:val="9"/>
        </w:numPr>
        <w:spacing w:before="0" w:after="60"/>
        <w:rPr/>
      </w:pPr>
      <w:r>
        <w:rPr>
          <w:sz w:val="22"/>
          <w:szCs w:val="22"/>
          <w:u w:val="single"/>
        </w:rPr>
        <w:t>Fusion AGIRC - ARCO</w:t>
      </w:r>
      <w:r>
        <w:rPr/>
        <w:t> :</w:t>
      </w:r>
    </w:p>
    <w:p>
      <w:pPr>
        <w:pStyle w:val="Normal"/>
        <w:spacing w:before="0" w:after="60"/>
        <w:rPr/>
      </w:pPr>
      <w:r>
        <w:rPr/>
      </w:r>
    </w:p>
    <w:p>
      <w:pPr>
        <w:pStyle w:val="Normal"/>
        <w:spacing w:before="0" w:after="60"/>
        <w:rPr>
          <w:sz w:val="22"/>
          <w:szCs w:val="22"/>
        </w:rPr>
      </w:pPr>
      <w:r>
        <w:rPr>
          <w:sz w:val="22"/>
          <w:szCs w:val="22"/>
        </w:rPr>
        <w:t>La Direction s’engage à mesurer les conséquences et en faire présentation auprès des représentants de l’impact potentiel de la récente fusion de l’AGIRC et de l’ARCO.</w:t>
      </w:r>
    </w:p>
    <w:p>
      <w:pPr>
        <w:pStyle w:val="Normal"/>
        <w:spacing w:before="0" w:after="60"/>
        <w:rPr>
          <w:sz w:val="22"/>
          <w:szCs w:val="22"/>
        </w:rPr>
      </w:pPr>
      <w:r>
        <w:rPr>
          <w:sz w:val="22"/>
          <w:szCs w:val="22"/>
        </w:rPr>
      </w:r>
    </w:p>
    <w:p>
      <w:pPr>
        <w:pStyle w:val="Normal"/>
        <w:numPr>
          <w:ilvl w:val="0"/>
          <w:numId w:val="9"/>
        </w:numPr>
        <w:spacing w:before="0" w:after="60"/>
        <w:rPr>
          <w:sz w:val="22"/>
          <w:szCs w:val="22"/>
          <w:u w:val="single"/>
        </w:rPr>
      </w:pPr>
      <w:r>
        <w:rPr>
          <w:sz w:val="22"/>
          <w:szCs w:val="22"/>
          <w:u w:val="single"/>
        </w:rPr>
        <w:t>Clause de revoyure :</w:t>
      </w:r>
    </w:p>
    <w:p>
      <w:pPr>
        <w:pStyle w:val="Normal"/>
        <w:spacing w:before="0" w:after="60"/>
        <w:rPr>
          <w:sz w:val="22"/>
          <w:szCs w:val="22"/>
        </w:rPr>
      </w:pPr>
      <w:r>
        <w:rPr>
          <w:sz w:val="22"/>
          <w:szCs w:val="22"/>
        </w:rPr>
        <w:t>La  Direction s’engage à convoquer les Organisations Syndicales au mois de juin 2020, afin de faire le point sur la marche de l’entreprise et le niveau d’inflation et analyser si des mesures complémentaires pourraient être mises en place.</w:t>
      </w:r>
    </w:p>
    <w:p>
      <w:pPr>
        <w:pStyle w:val="Heading"/>
        <w:numPr>
          <w:ilvl w:val="0"/>
          <w:numId w:val="0"/>
        </w:numPr>
        <w:ind w:left="360" w:hanging="0"/>
        <w:jc w:val="left"/>
        <w:outlineLvl w:val="0"/>
        <w:rPr>
          <w:sz w:val="22"/>
          <w:szCs w:val="22"/>
        </w:rPr>
      </w:pPr>
      <w:r>
        <w:rPr>
          <w:sz w:val="22"/>
          <w:szCs w:val="22"/>
        </w:rPr>
      </w:r>
    </w:p>
    <w:p>
      <w:pPr>
        <w:pStyle w:val="Heading"/>
        <w:numPr>
          <w:ilvl w:val="0"/>
          <w:numId w:val="0"/>
        </w:numPr>
        <w:ind w:left="360" w:hanging="0"/>
        <w:jc w:val="left"/>
        <w:outlineLvl w:val="0"/>
        <w:rPr>
          <w:sz w:val="22"/>
          <w:szCs w:val="22"/>
        </w:rPr>
      </w:pPr>
      <w:r>
        <w:rPr>
          <w:sz w:val="22"/>
          <w:szCs w:val="22"/>
        </w:rPr>
      </w:r>
    </w:p>
    <w:p>
      <w:pPr>
        <w:pStyle w:val="Heading"/>
        <w:numPr>
          <w:ilvl w:val="0"/>
          <w:numId w:val="0"/>
        </w:numPr>
        <w:ind w:left="360" w:hanging="0"/>
        <w:jc w:val="left"/>
        <w:outlineLvl w:val="0"/>
        <w:rPr/>
      </w:pPr>
      <w:r>
        <w:rPr>
          <w:sz w:val="22"/>
          <w:szCs w:val="22"/>
        </w:rPr>
        <w:t>3. ENTREE EN VIGUEUR</w:t>
      </w:r>
    </w:p>
    <w:p>
      <w:pPr>
        <w:pStyle w:val="Heading"/>
        <w:ind w:left="360" w:hanging="0"/>
        <w:jc w:val="left"/>
        <w:rPr>
          <w:b w:val="false"/>
          <w:b w:val="false"/>
          <w:bCs w:val="false"/>
          <w:sz w:val="22"/>
          <w:szCs w:val="22"/>
        </w:rPr>
      </w:pPr>
      <w:r>
        <w:rPr>
          <w:b w:val="false"/>
          <w:bCs w:val="false"/>
          <w:sz w:val="22"/>
          <w:szCs w:val="22"/>
        </w:rPr>
      </w:r>
    </w:p>
    <w:p>
      <w:pPr>
        <w:pStyle w:val="Heading"/>
        <w:numPr>
          <w:ilvl w:val="0"/>
          <w:numId w:val="0"/>
        </w:numPr>
        <w:ind w:left="360" w:hanging="0"/>
        <w:jc w:val="both"/>
        <w:outlineLvl w:val="0"/>
        <w:rPr/>
      </w:pPr>
      <w:r>
        <w:rPr>
          <w:b w:val="false"/>
          <w:bCs w:val="false"/>
          <w:sz w:val="22"/>
          <w:szCs w:val="22"/>
        </w:rPr>
        <w:t>Le présent accord entrera en vigueur à compter de sa signature.</w:t>
      </w:r>
    </w:p>
    <w:p>
      <w:pPr>
        <w:pStyle w:val="Heading"/>
        <w:ind w:left="360" w:hanging="0"/>
        <w:jc w:val="left"/>
        <w:rPr>
          <w:b w:val="false"/>
          <w:b w:val="false"/>
          <w:bCs w:val="false"/>
          <w:sz w:val="22"/>
          <w:szCs w:val="22"/>
        </w:rPr>
      </w:pPr>
      <w:r>
        <w:rPr>
          <w:b w:val="false"/>
          <w:bCs w:val="false"/>
          <w:sz w:val="22"/>
          <w:szCs w:val="22"/>
        </w:rPr>
      </w:r>
    </w:p>
    <w:p>
      <w:pPr>
        <w:pStyle w:val="Heading"/>
        <w:ind w:left="360" w:hanging="0"/>
        <w:jc w:val="left"/>
        <w:rPr>
          <w:b w:val="false"/>
          <w:b w:val="false"/>
          <w:bCs w:val="false"/>
          <w:sz w:val="22"/>
          <w:szCs w:val="22"/>
        </w:rPr>
      </w:pPr>
      <w:r>
        <w:rPr>
          <w:b w:val="false"/>
          <w:bCs w:val="false"/>
          <w:sz w:val="22"/>
          <w:szCs w:val="22"/>
        </w:rPr>
      </w:r>
    </w:p>
    <w:p>
      <w:pPr>
        <w:pStyle w:val="Heading"/>
        <w:numPr>
          <w:ilvl w:val="0"/>
          <w:numId w:val="0"/>
        </w:numPr>
        <w:ind w:left="360" w:hanging="0"/>
        <w:jc w:val="left"/>
        <w:outlineLvl w:val="0"/>
        <w:rPr/>
      </w:pPr>
      <w:r>
        <w:rPr>
          <w:sz w:val="22"/>
          <w:szCs w:val="22"/>
        </w:rPr>
        <w:t>4. INDIVISIBILITE DE L’ACCORD</w:t>
      </w:r>
    </w:p>
    <w:p>
      <w:pPr>
        <w:pStyle w:val="Corpsdetexte3"/>
        <w:ind w:left="360" w:hanging="0"/>
        <w:rPr>
          <w:sz w:val="22"/>
          <w:szCs w:val="22"/>
        </w:rPr>
      </w:pPr>
      <w:r>
        <w:rPr>
          <w:sz w:val="22"/>
          <w:szCs w:val="22"/>
        </w:rPr>
      </w:r>
    </w:p>
    <w:p>
      <w:pPr>
        <w:pStyle w:val="Corpsdetexte3"/>
        <w:ind w:left="360" w:hanging="0"/>
        <w:rPr>
          <w:sz w:val="22"/>
          <w:szCs w:val="22"/>
        </w:rPr>
      </w:pPr>
      <w:r>
        <w:rPr>
          <w:sz w:val="22"/>
          <w:szCs w:val="22"/>
        </w:rPr>
        <w:t>Il est convenu que l’accord constitue un tout indivisible qui ne saurait être mis en œuvre de manière fractionné ou faire l’objet d’une dénonciation partielle.</w:t>
      </w:r>
    </w:p>
    <w:p>
      <w:pPr>
        <w:pStyle w:val="Heading"/>
        <w:numPr>
          <w:ilvl w:val="0"/>
          <w:numId w:val="0"/>
        </w:numPr>
        <w:ind w:left="360" w:hanging="0"/>
        <w:jc w:val="left"/>
        <w:outlineLvl w:val="0"/>
        <w:rPr>
          <w:sz w:val="22"/>
          <w:szCs w:val="22"/>
        </w:rPr>
      </w:pPr>
      <w:r>
        <w:rPr>
          <w:sz w:val="22"/>
          <w:szCs w:val="22"/>
        </w:rPr>
      </w:r>
    </w:p>
    <w:p>
      <w:pPr>
        <w:pStyle w:val="Heading"/>
        <w:numPr>
          <w:ilvl w:val="0"/>
          <w:numId w:val="0"/>
        </w:numPr>
        <w:ind w:left="360" w:hanging="0"/>
        <w:jc w:val="left"/>
        <w:outlineLvl w:val="0"/>
        <w:rPr>
          <w:sz w:val="22"/>
          <w:szCs w:val="22"/>
        </w:rPr>
      </w:pPr>
      <w:r>
        <w:rPr>
          <w:sz w:val="22"/>
          <w:szCs w:val="22"/>
        </w:rPr>
      </w:r>
    </w:p>
    <w:p>
      <w:pPr>
        <w:pStyle w:val="Heading"/>
        <w:numPr>
          <w:ilvl w:val="0"/>
          <w:numId w:val="0"/>
        </w:numPr>
        <w:ind w:left="360" w:hanging="0"/>
        <w:jc w:val="left"/>
        <w:outlineLvl w:val="0"/>
        <w:rPr/>
      </w:pPr>
      <w:r>
        <w:rPr>
          <w:sz w:val="22"/>
          <w:szCs w:val="22"/>
        </w:rPr>
        <w:t xml:space="preserve">5. REVISION DE L’ACCORD </w:t>
      </w:r>
    </w:p>
    <w:p>
      <w:pPr>
        <w:pStyle w:val="Heading"/>
        <w:numPr>
          <w:ilvl w:val="0"/>
          <w:numId w:val="0"/>
        </w:numPr>
        <w:ind w:left="360" w:hanging="0"/>
        <w:jc w:val="left"/>
        <w:outlineLvl w:val="0"/>
        <w:rPr>
          <w:sz w:val="22"/>
          <w:szCs w:val="22"/>
        </w:rPr>
      </w:pPr>
      <w:r>
        <w:rPr>
          <w:sz w:val="22"/>
          <w:szCs w:val="22"/>
        </w:rPr>
      </w:r>
    </w:p>
    <w:p>
      <w:pPr>
        <w:pStyle w:val="Heading"/>
        <w:numPr>
          <w:ilvl w:val="0"/>
          <w:numId w:val="0"/>
        </w:numPr>
        <w:ind w:left="360" w:hanging="0"/>
        <w:jc w:val="left"/>
        <w:outlineLvl w:val="0"/>
        <w:rPr>
          <w:b w:val="false"/>
          <w:b w:val="false"/>
          <w:bCs w:val="false"/>
          <w:sz w:val="22"/>
          <w:szCs w:val="22"/>
        </w:rPr>
      </w:pPr>
      <w:r>
        <w:rPr>
          <w:b w:val="false"/>
          <w:bCs w:val="false"/>
          <w:sz w:val="22"/>
          <w:szCs w:val="22"/>
        </w:rPr>
        <w:t xml:space="preserve">Les parties signataires ont la faculté de réviser le présent accord selon les dispositions prévues par les textes législatifs. </w:t>
      </w:r>
    </w:p>
    <w:p>
      <w:pPr>
        <w:pStyle w:val="Heading"/>
        <w:numPr>
          <w:ilvl w:val="0"/>
          <w:numId w:val="0"/>
        </w:numPr>
        <w:ind w:left="360" w:hanging="0"/>
        <w:jc w:val="left"/>
        <w:outlineLvl w:val="0"/>
        <w:rPr>
          <w:b w:val="false"/>
          <w:b w:val="false"/>
          <w:bCs w:val="false"/>
          <w:sz w:val="22"/>
          <w:szCs w:val="22"/>
        </w:rPr>
      </w:pPr>
      <w:r>
        <w:rPr>
          <w:b w:val="false"/>
          <w:bCs w:val="false"/>
          <w:sz w:val="22"/>
          <w:szCs w:val="22"/>
        </w:rPr>
      </w:r>
    </w:p>
    <w:p>
      <w:pPr>
        <w:pStyle w:val="Heading"/>
        <w:numPr>
          <w:ilvl w:val="0"/>
          <w:numId w:val="0"/>
        </w:numPr>
        <w:ind w:left="360" w:hanging="0"/>
        <w:jc w:val="left"/>
        <w:outlineLvl w:val="0"/>
        <w:rPr>
          <w:b w:val="false"/>
          <w:b w:val="false"/>
          <w:bCs w:val="false"/>
          <w:sz w:val="22"/>
          <w:szCs w:val="22"/>
        </w:rPr>
      </w:pPr>
      <w:r>
        <w:rPr>
          <w:b w:val="false"/>
          <w:bCs w:val="false"/>
          <w:sz w:val="22"/>
          <w:szCs w:val="22"/>
        </w:rPr>
      </w:r>
    </w:p>
    <w:p>
      <w:pPr>
        <w:pStyle w:val="Heading"/>
        <w:numPr>
          <w:ilvl w:val="0"/>
          <w:numId w:val="0"/>
        </w:numPr>
        <w:ind w:left="360" w:hanging="0"/>
        <w:jc w:val="left"/>
        <w:outlineLvl w:val="0"/>
        <w:rPr>
          <w:rFonts w:ascii="Calibri" w:hAnsi="Calibri" w:cs="Calibri"/>
          <w:sz w:val="22"/>
          <w:szCs w:val="22"/>
        </w:rPr>
      </w:pPr>
      <w:r>
        <w:rPr>
          <w:bCs w:val="false"/>
          <w:sz w:val="22"/>
          <w:szCs w:val="22"/>
        </w:rPr>
        <w:t>6. FORMALITES DE DEPOT ET PUBLICITE</w:t>
      </w:r>
    </w:p>
    <w:p>
      <w:pPr>
        <w:pStyle w:val="Heading"/>
        <w:jc w:val="left"/>
        <w:rPr>
          <w:rFonts w:ascii="Calibri" w:hAnsi="Calibri" w:cs="Calibri"/>
          <w:sz w:val="22"/>
          <w:szCs w:val="22"/>
        </w:rPr>
      </w:pPr>
      <w:r>
        <w:rPr>
          <w:rFonts w:cs="Calibri" w:ascii="Calibri" w:hAnsi="Calibri"/>
          <w:sz w:val="22"/>
          <w:szCs w:val="22"/>
        </w:rPr>
      </w:r>
    </w:p>
    <w:p>
      <w:pPr>
        <w:pStyle w:val="Normal"/>
        <w:spacing w:before="120" w:after="120"/>
        <w:ind w:left="360" w:hanging="0"/>
        <w:jc w:val="both"/>
        <w:rPr/>
      </w:pPr>
      <w:r>
        <w:rPr>
          <w:sz w:val="22"/>
          <w:szCs w:val="22"/>
        </w:rPr>
        <w:t>Le présent accord sera notifié aux organisations syndicales représentatives. Cette formalité sera effectuée par la remise d’un exemplaire de l’accord lors de sa signature, ou à défaut par remise en mains propres ou par lettre recommandée avec accusé de réception.</w:t>
      </w:r>
      <w:r>
        <w:rPr>
          <w:rFonts w:eastAsia="MS Mincho;ＭＳ 明朝"/>
          <w:sz w:val="22"/>
          <w:szCs w:val="22"/>
        </w:rPr>
        <w:t xml:space="preserve"> Pour les organisations syndicales disposant d'une section syndicale dans l'entreprise, elle fera courir le délai de deux mois pour engager l’action en nullité prévue par l’article L.2262-14 du Code du travail.</w:t>
      </w:r>
    </w:p>
    <w:p>
      <w:pPr>
        <w:pStyle w:val="Normal"/>
        <w:spacing w:lineRule="auto" w:line="256"/>
        <w:ind w:left="360" w:hanging="0"/>
        <w:rPr>
          <w:rFonts w:eastAsia="Calibri"/>
          <w:sz w:val="22"/>
          <w:szCs w:val="22"/>
          <w:lang w:eastAsia="en-US"/>
        </w:rPr>
      </w:pPr>
      <w:r>
        <w:rPr>
          <w:rFonts w:eastAsia="Calibri"/>
          <w:sz w:val="22"/>
          <w:szCs w:val="22"/>
          <w:lang w:eastAsia="en-US"/>
        </w:rPr>
        <w:t>Le présent accord sera déposé :</w:t>
      </w:r>
    </w:p>
    <w:p>
      <w:pPr>
        <w:pStyle w:val="Normal"/>
        <w:spacing w:lineRule="auto" w:line="256"/>
        <w:ind w:left="360" w:hanging="0"/>
        <w:rPr>
          <w:rFonts w:eastAsia="Calibri"/>
          <w:sz w:val="22"/>
          <w:szCs w:val="22"/>
          <w:lang w:eastAsia="en-US"/>
        </w:rPr>
      </w:pPr>
      <w:r>
        <w:rPr>
          <w:rFonts w:eastAsia="Calibri"/>
          <w:sz w:val="22"/>
          <w:szCs w:val="22"/>
          <w:lang w:eastAsia="en-US"/>
        </w:rPr>
      </w:r>
    </w:p>
    <w:p>
      <w:pPr>
        <w:pStyle w:val="WWTextBody"/>
        <w:numPr>
          <w:ilvl w:val="0"/>
          <w:numId w:val="10"/>
        </w:numPr>
        <w:ind w:left="1571" w:hanging="360"/>
        <w:rPr/>
      </w:pPr>
      <w:r>
        <w:rPr>
          <w:rFonts w:eastAsia="Calibri"/>
          <w:b w:val="false"/>
          <w:spacing w:val="0"/>
          <w:sz w:val="22"/>
          <w:szCs w:val="22"/>
          <w:lang w:eastAsia="en-US"/>
        </w:rPr>
        <w:t>sur la plateforme de téléprocédure du Ministère du travail (« TéléAccords »)</w:t>
      </w:r>
      <w:r>
        <w:rPr>
          <w:b w:val="false"/>
          <w:sz w:val="22"/>
          <w:szCs w:val="22"/>
        </w:rPr>
        <w:t>. Les noms et prénoms des négociateurs et des signataires seront également anonymisés avant la publication en ligne du présent accord.</w:t>
      </w:r>
    </w:p>
    <w:p>
      <w:pPr>
        <w:pStyle w:val="WWTextBody"/>
        <w:ind w:left="360" w:hanging="0"/>
        <w:rPr>
          <w:b w:val="false"/>
          <w:b w:val="false"/>
          <w:sz w:val="22"/>
          <w:szCs w:val="22"/>
        </w:rPr>
      </w:pPr>
      <w:r>
        <w:rPr>
          <w:b w:val="false"/>
          <w:sz w:val="22"/>
          <w:szCs w:val="22"/>
        </w:rPr>
      </w:r>
    </w:p>
    <w:p>
      <w:pPr>
        <w:pStyle w:val="Paragraphedeliste"/>
        <w:numPr>
          <w:ilvl w:val="0"/>
          <w:numId w:val="10"/>
        </w:numPr>
        <w:spacing w:lineRule="auto" w:line="256" w:before="0" w:after="160"/>
        <w:ind w:left="1571" w:hanging="360"/>
        <w:contextualSpacing/>
        <w:jc w:val="left"/>
        <w:rPr>
          <w:rFonts w:ascii="Times New Roman" w:hAnsi="Times New Roman" w:eastAsia="Calibri" w:cs="Times New Roman"/>
          <w:lang w:eastAsia="en-US"/>
        </w:rPr>
      </w:pPr>
      <w:r>
        <w:rPr>
          <w:rFonts w:eastAsia="Calibri" w:cs="Times New Roman" w:ascii="Times New Roman" w:hAnsi="Times New Roman"/>
          <w:lang w:eastAsia="en-US"/>
        </w:rPr>
        <w:t>au Conseil de Prud’hommes compétent.</w:t>
      </w:r>
    </w:p>
    <w:p>
      <w:pPr>
        <w:pStyle w:val="Paragraphedeliste"/>
        <w:spacing w:lineRule="auto" w:line="256" w:before="0" w:after="160"/>
        <w:ind w:left="1080" w:hanging="0"/>
        <w:contextualSpacing/>
        <w:jc w:val="left"/>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exact" w:line="280"/>
        <w:ind w:left="270" w:hanging="0"/>
        <w:jc w:val="both"/>
        <w:rPr>
          <w:rFonts w:eastAsia="Calibri"/>
          <w:sz w:val="22"/>
          <w:szCs w:val="22"/>
        </w:rPr>
      </w:pPr>
      <w:r>
        <w:rPr>
          <w:rFonts w:eastAsia="Calibri"/>
          <w:sz w:val="22"/>
          <w:szCs w:val="22"/>
        </w:rPr>
        <w:t xml:space="preserve">Les parties signataires conviennent que les taux de revalorisation des salaires et des primes prévues à l’article 2.1, ne doivent pas faire  l’objet d’une publication dans la base de données nationale visée à l’article </w:t>
      </w:r>
    </w:p>
    <w:p>
      <w:pPr>
        <w:pStyle w:val="Normal"/>
        <w:spacing w:lineRule="exact" w:line="280"/>
        <w:ind w:left="270" w:hanging="0"/>
        <w:jc w:val="both"/>
        <w:rPr>
          <w:rFonts w:eastAsia="Calibri"/>
          <w:sz w:val="22"/>
          <w:szCs w:val="22"/>
        </w:rPr>
      </w:pPr>
      <w:r>
        <w:rPr>
          <w:rFonts w:eastAsia="Calibri"/>
          <w:sz w:val="22"/>
          <w:szCs w:val="22"/>
        </w:rPr>
        <w:t>L. 2231-5-1 du code du travail.</w:t>
      </w:r>
    </w:p>
    <w:p>
      <w:pPr>
        <w:pStyle w:val="Normal"/>
        <w:spacing w:lineRule="exact" w:line="280"/>
        <w:jc w:val="both"/>
        <w:rPr>
          <w:rFonts w:eastAsia="Calibri"/>
          <w:sz w:val="22"/>
          <w:szCs w:val="22"/>
        </w:rPr>
      </w:pPr>
      <w:r>
        <w:rPr>
          <w:rFonts w:eastAsia="Calibri"/>
          <w:sz w:val="22"/>
          <w:szCs w:val="22"/>
        </w:rPr>
      </w:r>
    </w:p>
    <w:p>
      <w:pPr>
        <w:pStyle w:val="Normal"/>
        <w:spacing w:lineRule="exact" w:line="280"/>
        <w:ind w:left="270" w:hanging="0"/>
        <w:jc w:val="both"/>
        <w:rPr>
          <w:rFonts w:eastAsia="Calibri"/>
          <w:sz w:val="22"/>
          <w:szCs w:val="22"/>
        </w:rPr>
      </w:pPr>
      <w:r>
        <w:rPr>
          <w:rFonts w:eastAsia="Calibri"/>
          <w:sz w:val="22"/>
          <w:szCs w:val="22"/>
        </w:rPr>
        <w:t>Cette demande sera formulée sur un document spécialement établi à cet effet et communiquée lors du dépôt de l’accord.</w:t>
      </w:r>
    </w:p>
    <w:p>
      <w:pPr>
        <w:pStyle w:val="Normal"/>
        <w:spacing w:before="120" w:after="120"/>
        <w:ind w:left="360" w:hanging="0"/>
        <w:rPr>
          <w:rFonts w:eastAsia="MS Mincho;ＭＳ 明朝"/>
          <w:sz w:val="22"/>
          <w:szCs w:val="22"/>
        </w:rPr>
      </w:pPr>
      <w:r>
        <w:rPr>
          <w:rFonts w:eastAsia="MS Mincho;ＭＳ 明朝"/>
          <w:sz w:val="22"/>
          <w:szCs w:val="22"/>
        </w:rPr>
      </w:r>
    </w:p>
    <w:p>
      <w:pPr>
        <w:pStyle w:val="Normal"/>
        <w:spacing w:before="120" w:after="120"/>
        <w:ind w:left="360" w:hanging="0"/>
        <w:rPr>
          <w:sz w:val="22"/>
          <w:szCs w:val="22"/>
        </w:rPr>
      </w:pPr>
      <w:r>
        <w:rPr>
          <w:rFonts w:eastAsia="MS Mincho;ＭＳ 明朝"/>
          <w:sz w:val="22"/>
          <w:szCs w:val="22"/>
        </w:rPr>
        <w:t>Les termes du présent accord seront portés à la connaissance de l’ensemble du personnel par voie d’affichage ou tout autre support de communication.</w:t>
      </w:r>
    </w:p>
    <w:p>
      <w:pPr>
        <w:pStyle w:val="Heading"/>
        <w:numPr>
          <w:ilvl w:val="0"/>
          <w:numId w:val="0"/>
        </w:numPr>
        <w:ind w:left="360" w:hanging="0"/>
        <w:jc w:val="left"/>
        <w:outlineLvl w:val="0"/>
        <w:rPr>
          <w:sz w:val="22"/>
          <w:szCs w:val="22"/>
        </w:rPr>
      </w:pPr>
      <w:r>
        <w:rPr>
          <w:sz w:val="22"/>
          <w:szCs w:val="22"/>
        </w:rPr>
      </w:r>
    </w:p>
    <w:p>
      <w:pPr>
        <w:pStyle w:val="Heading"/>
        <w:ind w:left="360" w:hanging="0"/>
        <w:jc w:val="both"/>
        <w:rPr>
          <w:b w:val="false"/>
          <w:b w:val="false"/>
          <w:bCs w:val="false"/>
          <w:sz w:val="22"/>
          <w:szCs w:val="22"/>
        </w:rPr>
      </w:pPr>
      <w:r>
        <w:rPr>
          <w:b w:val="false"/>
          <w:bCs w:val="false"/>
          <w:sz w:val="22"/>
          <w:szCs w:val="22"/>
        </w:rPr>
      </w:r>
    </w:p>
    <w:p>
      <w:pPr>
        <w:pStyle w:val="Textebrut"/>
        <w:rPr>
          <w:rFonts w:ascii="Times New Roman" w:hAnsi="Times New Roman" w:cs="Times New Roman"/>
          <w:b/>
          <w:b/>
          <w:bCs/>
          <w:sz w:val="22"/>
          <w:szCs w:val="22"/>
        </w:rPr>
      </w:pPr>
      <w:r>
        <w:rPr>
          <w:rFonts w:cs="Times New Roman" w:ascii="Times New Roman" w:hAnsi="Times New Roman"/>
          <w:b/>
          <w:bCs/>
          <w:sz w:val="22"/>
          <w:szCs w:val="22"/>
        </w:rPr>
      </w:r>
    </w:p>
    <w:p>
      <w:pPr>
        <w:pStyle w:val="Textebrut"/>
        <w:ind w:left="360" w:hanging="0"/>
        <w:rPr>
          <w:rFonts w:ascii="Times New Roman" w:hAnsi="Times New Roman" w:cs="Times New Roman"/>
          <w:sz w:val="22"/>
          <w:szCs w:val="22"/>
        </w:rPr>
      </w:pPr>
      <w:r>
        <w:rPr>
          <w:rFonts w:cs="Times New Roman" w:ascii="Times New Roman" w:hAnsi="Times New Roman"/>
          <w:sz w:val="22"/>
          <w:szCs w:val="22"/>
        </w:rPr>
      </w:r>
    </w:p>
    <w:p>
      <w:pPr>
        <w:pStyle w:val="Textebrut"/>
        <w:numPr>
          <w:ilvl w:val="0"/>
          <w:numId w:val="0"/>
        </w:numPr>
        <w:ind w:left="360" w:hanging="0"/>
        <w:outlineLvl w:val="0"/>
        <w:rPr>
          <w:rFonts w:ascii="Times New Roman" w:hAnsi="Times New Roman" w:cs="Times New Roman"/>
          <w:sz w:val="22"/>
          <w:szCs w:val="22"/>
        </w:rPr>
      </w:pPr>
      <w:r>
        <w:rPr>
          <w:rFonts w:cs="Times New Roman" w:ascii="Times New Roman" w:hAnsi="Times New Roman"/>
          <w:sz w:val="22"/>
          <w:szCs w:val="22"/>
        </w:rPr>
        <w:t>Fait à Paris le 21 juin 2019 en dix exemplaires</w:t>
      </w:r>
    </w:p>
    <w:p>
      <w:pPr>
        <w:pStyle w:val="Textebrut"/>
        <w:numPr>
          <w:ilvl w:val="0"/>
          <w:numId w:val="0"/>
        </w:numPr>
        <w:ind w:left="360" w:hanging="0"/>
        <w:outlineLvl w:val="0"/>
        <w:rPr>
          <w:rFonts w:ascii="Times New Roman" w:hAnsi="Times New Roman" w:cs="Times New Roman"/>
          <w:sz w:val="22"/>
          <w:szCs w:val="22"/>
        </w:rPr>
      </w:pPr>
      <w:r>
        <w:rPr>
          <w:rFonts w:cs="Times New Roman" w:ascii="Times New Roman" w:hAnsi="Times New Roman"/>
          <w:sz w:val="22"/>
          <w:szCs w:val="22"/>
        </w:rPr>
      </w:r>
    </w:p>
    <w:p>
      <w:pPr>
        <w:pStyle w:val="Normal"/>
        <w:ind w:left="360" w:hanging="0"/>
        <w:jc w:val="both"/>
        <w:rPr>
          <w:rFonts w:ascii="Times New Roman" w:hAnsi="Times New Roman" w:cs="Times New Roman"/>
          <w:sz w:val="22"/>
          <w:szCs w:val="22"/>
        </w:rPr>
      </w:pPr>
      <w:r>
        <w:rPr>
          <w:rFonts w:cs="Times New Roman"/>
          <w:sz w:val="22"/>
          <w:szCs w:val="22"/>
        </w:rPr>
      </w:r>
    </w:p>
    <w:p>
      <w:pPr>
        <w:pStyle w:val="Normal"/>
        <w:ind w:left="360" w:hanging="0"/>
        <w:jc w:val="both"/>
        <w:rPr>
          <w:sz w:val="22"/>
          <w:szCs w:val="22"/>
        </w:rPr>
      </w:pPr>
      <w:r>
        <w:rPr>
          <w:sz w:val="22"/>
          <w:szCs w:val="22"/>
        </w:rPr>
      </w:r>
    </w:p>
    <w:p>
      <w:pPr>
        <w:pStyle w:val="Heading4"/>
        <w:numPr>
          <w:ilvl w:val="3"/>
          <w:numId w:val="1"/>
        </w:numPr>
        <w:jc w:val="left"/>
        <w:rPr/>
      </w:pPr>
      <w:r>
        <w:rPr>
          <w:bCs/>
          <w:sz w:val="22"/>
          <w:szCs w:val="22"/>
        </w:rPr>
        <w:t xml:space="preserve">     </w:t>
      </w:r>
      <w:r>
        <w:rPr>
          <w:bCs/>
          <w:sz w:val="22"/>
          <w:szCs w:val="22"/>
        </w:rPr>
        <w:t>Pour la société :</w:t>
        <w:tab/>
        <w:tab/>
        <w:tab/>
        <w:tab/>
        <w:t>Pour les Organisations Syndicales :</w:t>
        <w:tab/>
      </w:r>
    </w:p>
    <w:p>
      <w:pPr>
        <w:pStyle w:val="Heading4"/>
        <w:numPr>
          <w:ilvl w:val="3"/>
          <w:numId w:val="1"/>
        </w:numPr>
        <w:jc w:val="left"/>
        <w:rPr>
          <w:sz w:val="22"/>
          <w:szCs w:val="22"/>
        </w:rPr>
      </w:pPr>
      <w:r>
        <w:rPr>
          <w:b/>
          <w:sz w:val="22"/>
          <w:szCs w:val="22"/>
        </w:rPr>
        <w:tab/>
        <w:tab/>
        <w:tab/>
        <w:tab/>
        <w:tab/>
      </w:r>
      <w:r>
        <w:rPr>
          <w:b/>
          <w:bCs/>
          <w:sz w:val="22"/>
          <w:szCs w:val="22"/>
        </w:rPr>
        <w:tab/>
      </w:r>
    </w:p>
    <w:p>
      <w:pPr>
        <w:pStyle w:val="Normal"/>
        <w:rPr>
          <w:sz w:val="22"/>
          <w:szCs w:val="22"/>
        </w:rPr>
      </w:pPr>
      <w:r>
        <w:rPr>
          <w:sz w:val="22"/>
          <w:szCs w:val="22"/>
        </w:rPr>
        <w:tab/>
        <w:tab/>
        <w:tab/>
        <w:tab/>
        <w:tab/>
      </w:r>
    </w:p>
    <w:p>
      <w:pPr>
        <w:pStyle w:val="Normal"/>
        <w:ind w:left="3540" w:firstLine="708"/>
        <w:rPr>
          <w:sz w:val="22"/>
          <w:szCs w:val="22"/>
        </w:rPr>
      </w:pPr>
      <w:r>
        <w:rPr>
          <w:b/>
          <w:bCs/>
          <w:sz w:val="22"/>
          <w:szCs w:val="22"/>
        </w:rPr>
        <w:t>CFE / CGC</w:t>
      </w:r>
      <w:r>
        <w:rPr>
          <w:sz w:val="22"/>
          <w:szCs w:val="22"/>
        </w:rPr>
        <w:t xml:space="preserve"> : </w:t>
      </w:r>
    </w:p>
    <w:p>
      <w:pPr>
        <w:pStyle w:val="Normal"/>
        <w:rPr>
          <w:sz w:val="22"/>
          <w:szCs w:val="22"/>
        </w:rPr>
      </w:pPr>
      <w:r>
        <w:rPr>
          <w:sz w:val="22"/>
          <w:szCs w:val="22"/>
        </w:rPr>
        <w:tab/>
        <w:tab/>
        <w:tab/>
        <w:tab/>
        <w:tab/>
        <w:tab/>
      </w:r>
    </w:p>
    <w:p>
      <w:pPr>
        <w:pStyle w:val="Normal"/>
        <w:rPr>
          <w:sz w:val="22"/>
          <w:szCs w:val="22"/>
        </w:rPr>
      </w:pPr>
      <w:r>
        <w:rPr>
          <w:sz w:val="22"/>
          <w:szCs w:val="22"/>
        </w:rPr>
        <w:tab/>
        <w:tab/>
        <w:tab/>
        <w:tab/>
        <w:tab/>
        <w:tab/>
      </w:r>
    </w:p>
    <w:p>
      <w:pPr>
        <w:pStyle w:val="Normal"/>
        <w:ind w:left="3540" w:firstLine="708"/>
        <w:rPr>
          <w:sz w:val="22"/>
          <w:szCs w:val="22"/>
        </w:rPr>
      </w:pPr>
      <w:r>
        <w:rPr>
          <w:b/>
          <w:bCs/>
          <w:sz w:val="22"/>
          <w:szCs w:val="22"/>
        </w:rPr>
        <w:t xml:space="preserve">CFTC : </w:t>
      </w:r>
    </w:p>
    <w:p>
      <w:pPr>
        <w:pStyle w:val="Heading2"/>
        <w:numPr>
          <w:ilvl w:val="1"/>
          <w:numId w:val="1"/>
        </w:numPr>
        <w:rPr>
          <w:i/>
          <w:i/>
          <w:iCs/>
          <w:sz w:val="22"/>
          <w:szCs w:val="22"/>
        </w:rPr>
      </w:pPr>
      <w:r>
        <w:rPr>
          <w:i/>
          <w:iCs/>
          <w:sz w:val="22"/>
          <w:szCs w:val="22"/>
        </w:rPr>
        <w:tab/>
      </w:r>
    </w:p>
    <w:p>
      <w:pPr>
        <w:pStyle w:val="Normal"/>
        <w:tabs>
          <w:tab w:val="left" w:pos="7513" w:leader="none"/>
        </w:tabs>
        <w:ind w:left="4248" w:hanging="0"/>
        <w:rPr>
          <w:sz w:val="22"/>
          <w:szCs w:val="22"/>
        </w:rPr>
      </w:pPr>
      <w:r>
        <w:rPr>
          <w:b/>
          <w:sz w:val="22"/>
          <w:szCs w:val="22"/>
        </w:rPr>
        <w:tab/>
        <w:tab/>
        <w:t xml:space="preserve">                                                 </w:t>
      </w:r>
      <w:r>
        <w:rPr>
          <w:b/>
          <w:bCs/>
          <w:sz w:val="22"/>
          <w:szCs w:val="22"/>
        </w:rPr>
        <w:t xml:space="preserve">                   CGT : </w:t>
      </w:r>
    </w:p>
    <w:p>
      <w:pPr>
        <w:pStyle w:val="Normal"/>
        <w:tabs>
          <w:tab w:val="left" w:pos="5670" w:leader="none"/>
          <w:tab w:val="left" w:pos="7513" w:leader="none"/>
        </w:tabs>
        <w:rPr>
          <w:sz w:val="22"/>
          <w:szCs w:val="22"/>
        </w:rPr>
      </w:pPr>
      <w:r>
        <w:rPr>
          <w:sz w:val="22"/>
          <w:szCs w:val="22"/>
        </w:rPr>
      </w:r>
    </w:p>
    <w:p>
      <w:pPr>
        <w:pStyle w:val="Normal"/>
        <w:tabs>
          <w:tab w:val="left" w:pos="5670" w:leader="none"/>
          <w:tab w:val="left" w:pos="7513" w:leader="none"/>
        </w:tabs>
        <w:rPr>
          <w:sz w:val="22"/>
          <w:szCs w:val="22"/>
        </w:rPr>
      </w:pPr>
      <w:r>
        <w:rPr>
          <w:sz w:val="22"/>
          <w:szCs w:val="22"/>
        </w:rPr>
      </w:r>
    </w:p>
    <w:p>
      <w:pPr>
        <w:pStyle w:val="Normal"/>
        <w:tabs>
          <w:tab w:val="left" w:pos="5670" w:leader="none"/>
          <w:tab w:val="left" w:pos="7513" w:leader="none"/>
        </w:tabs>
        <w:rPr>
          <w:sz w:val="22"/>
          <w:szCs w:val="22"/>
        </w:rPr>
      </w:pPr>
      <w:r>
        <w:rPr>
          <w:sz w:val="22"/>
          <w:szCs w:val="22"/>
        </w:rPr>
        <w:t xml:space="preserve">                                                                    </w:t>
      </w:r>
    </w:p>
    <w:p>
      <w:pPr>
        <w:pStyle w:val="Normal"/>
        <w:tabs>
          <w:tab w:val="left" w:pos="5670" w:leader="none"/>
          <w:tab w:val="left" w:pos="7513" w:leader="none"/>
        </w:tabs>
        <w:rPr>
          <w:sz w:val="22"/>
          <w:szCs w:val="22"/>
        </w:rPr>
      </w:pPr>
      <w:r>
        <w:rPr>
          <w:sz w:val="22"/>
          <w:szCs w:val="22"/>
        </w:rPr>
        <w:t xml:space="preserve">                                                                             </w:t>
      </w:r>
      <w:r>
        <w:rPr>
          <w:b/>
          <w:bCs/>
          <w:sz w:val="22"/>
          <w:szCs w:val="22"/>
        </w:rPr>
        <w:t xml:space="preserve">FGTE / CFDT : </w:t>
      </w:r>
    </w:p>
    <w:p>
      <w:pPr>
        <w:pStyle w:val="Normal"/>
        <w:numPr>
          <w:ilvl w:val="0"/>
          <w:numId w:val="0"/>
        </w:numPr>
        <w:tabs>
          <w:tab w:val="left" w:pos="5670" w:leader="none"/>
          <w:tab w:val="left" w:pos="7513" w:leader="none"/>
        </w:tabs>
        <w:outlineLvl w:val="0"/>
        <w:rPr>
          <w:sz w:val="22"/>
          <w:szCs w:val="22"/>
        </w:rPr>
      </w:pPr>
      <w:r>
        <w:rPr>
          <w:sz w:val="22"/>
          <w:szCs w:val="22"/>
        </w:rPr>
      </w:r>
    </w:p>
    <w:p>
      <w:pPr>
        <w:pStyle w:val="Normal"/>
        <w:tabs>
          <w:tab w:val="left" w:pos="5670" w:leader="none"/>
          <w:tab w:val="left" w:pos="7513" w:leader="none"/>
        </w:tabs>
        <w:rPr>
          <w:b/>
          <w:b/>
          <w:bCs/>
          <w:sz w:val="22"/>
          <w:szCs w:val="22"/>
        </w:rPr>
      </w:pPr>
      <w:r>
        <w:rPr>
          <w:b/>
          <w:bCs/>
          <w:sz w:val="22"/>
          <w:szCs w:val="22"/>
        </w:rPr>
      </w:r>
    </w:p>
    <w:p>
      <w:pPr>
        <w:pStyle w:val="Normal"/>
        <w:tabs>
          <w:tab w:val="left" w:pos="5670" w:leader="none"/>
          <w:tab w:val="left" w:pos="7513" w:leader="none"/>
        </w:tabs>
        <w:rPr>
          <w:b/>
          <w:b/>
          <w:bCs/>
          <w:sz w:val="22"/>
          <w:szCs w:val="22"/>
        </w:rPr>
      </w:pPr>
      <w:r>
        <w:rPr>
          <w:b/>
          <w:bCs/>
          <w:sz w:val="22"/>
          <w:szCs w:val="22"/>
        </w:rPr>
        <w:t xml:space="preserve">                                                </w:t>
      </w:r>
    </w:p>
    <w:p>
      <w:pPr>
        <w:pStyle w:val="Normal"/>
        <w:tabs>
          <w:tab w:val="left" w:pos="5670" w:leader="none"/>
          <w:tab w:val="left" w:pos="7513" w:leader="none"/>
        </w:tabs>
        <w:rPr>
          <w:sz w:val="22"/>
          <w:szCs w:val="22"/>
        </w:rPr>
      </w:pPr>
      <w:r>
        <w:rPr>
          <w:b/>
          <w:bCs/>
          <w:sz w:val="22"/>
          <w:szCs w:val="22"/>
        </w:rPr>
        <w:t xml:space="preserve">                                                                             </w:t>
      </w:r>
      <w:r>
        <w:rPr>
          <w:b/>
          <w:bCs/>
          <w:sz w:val="22"/>
          <w:szCs w:val="22"/>
        </w:rPr>
        <w:t>FNCR :</w:t>
      </w:r>
      <w:r>
        <w:rPr>
          <w:sz w:val="22"/>
          <w:szCs w:val="22"/>
        </w:rPr>
        <w:tab/>
        <w:tab/>
        <w:tab/>
        <w:tab/>
        <w:tab/>
      </w:r>
    </w:p>
    <w:p>
      <w:pPr>
        <w:pStyle w:val="Normal"/>
        <w:numPr>
          <w:ilvl w:val="0"/>
          <w:numId w:val="0"/>
        </w:numPr>
        <w:outlineLvl w:val="0"/>
        <w:rPr>
          <w:sz w:val="22"/>
          <w:szCs w:val="22"/>
        </w:rPr>
      </w:pPr>
      <w:r>
        <w:rPr>
          <w:sz w:val="22"/>
          <w:szCs w:val="22"/>
        </w:rPr>
        <w:tab/>
      </w:r>
    </w:p>
    <w:p>
      <w:pPr>
        <w:pStyle w:val="Normal"/>
        <w:numPr>
          <w:ilvl w:val="0"/>
          <w:numId w:val="0"/>
        </w:numPr>
        <w:outlineLvl w:val="0"/>
        <w:rPr>
          <w:sz w:val="22"/>
          <w:szCs w:val="22"/>
        </w:rPr>
      </w:pPr>
      <w:r>
        <w:rPr>
          <w:sz w:val="22"/>
          <w:szCs w:val="22"/>
        </w:rPr>
      </w:r>
    </w:p>
    <w:p>
      <w:pPr>
        <w:pStyle w:val="Normal"/>
        <w:numPr>
          <w:ilvl w:val="0"/>
          <w:numId w:val="0"/>
        </w:numPr>
        <w:outlineLvl w:val="0"/>
        <w:rPr>
          <w:sz w:val="22"/>
          <w:szCs w:val="22"/>
        </w:rPr>
      </w:pPr>
      <w:r>
        <w:rPr>
          <w:sz w:val="22"/>
          <w:szCs w:val="22"/>
        </w:rPr>
      </w:r>
    </w:p>
    <w:p>
      <w:pPr>
        <w:pStyle w:val="Normal"/>
        <w:numPr>
          <w:ilvl w:val="0"/>
          <w:numId w:val="0"/>
        </w:numPr>
        <w:outlineLvl w:val="0"/>
        <w:rPr/>
      </w:pPr>
      <w:r>
        <w:rPr>
          <w:sz w:val="22"/>
          <w:szCs w:val="22"/>
        </w:rPr>
        <w:tab/>
        <w:tab/>
        <w:tab/>
        <w:tab/>
        <w:tab/>
        <w:t xml:space="preserve">              </w:t>
      </w:r>
      <w:r>
        <w:rPr>
          <w:b/>
          <w:bCs/>
          <w:sz w:val="22"/>
          <w:szCs w:val="22"/>
        </w:rPr>
        <w:t>UNSA </w:t>
      </w:r>
      <w:r>
        <w:rPr>
          <w:sz w:val="22"/>
          <w:szCs w:val="22"/>
        </w:rPr>
        <w:t xml:space="preserve">: </w:t>
      </w:r>
    </w:p>
    <w:sectPr>
      <w:headerReference w:type="default" r:id="rId2"/>
      <w:footerReference w:type="default" r:id="rId3"/>
      <w:type w:val="nextPage"/>
      <w:pgSz w:w="11906" w:h="16838"/>
      <w:pgMar w:left="426" w:right="1417" w:header="720" w:top="776"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omic Sans MS">
    <w:charset w:val="00"/>
    <w:family w:val="script"/>
    <w:pitch w:val="variable"/>
  </w:font>
  <w:font w:name="Calibri">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bottom w:val="single" w:sz="12" w:space="1" w:color="000000"/>
      </w:pBdr>
      <w:rPr/>
    </w:pPr>
    <w:r>
      <w:rPr>
        <w:rStyle w:val="PageNumber"/>
      </w:rPr>
      <w:tab/>
    </w:r>
    <w:r>
      <w:rPr>
        <w:rStyle w:val="PageNumber"/>
      </w:rPr>
      <w:fldChar w:fldCharType="begin"/>
    </w:r>
    <w:r>
      <w:instrText> PAGE </w:instrText>
    </w:r>
    <w:r>
      <w:fldChar w:fldCharType="separate"/>
    </w:r>
    <w:r>
      <w:t>5</w:t>
    </w:r>
    <w:r>
      <w:fldChar w:fldCharType="end"/>
    </w:r>
    <w:r>
      <w:rPr>
        <w:rStyle w:val="PageNumber"/>
      </w:rPr>
      <w:t>/5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ahoma" w:hAnsi="Tahoma" w:cs="Tahoma"/>
        <w:b/>
        <w:b/>
        <w:sz w:val="18"/>
      </w:rPr>
    </w:pPr>
    <w:r>
      <w:rPr>
        <w:rFonts w:cs="Tahoma" w:ascii="Tahoma" w:hAnsi="Tahoma"/>
        <w:b/>
        <w:sz w:val="18"/>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ind w:left="720" w:hanging="360"/>
      </w:pPr>
      <w:rPr>
        <w:rFonts w:ascii="Times New Roman" w:hAnsi="Times New Roman" w:cs="Times New Roman" w:hint="default"/>
        <w:sz w:val="22"/>
        <w:szCs w:val="22"/>
        <w:rFonts w:cs="Times New Roman"/>
      </w:rPr>
    </w:lvl>
  </w:abstractNum>
  <w:abstractNum w:abstractNumId="3">
    <w:lvl w:ilvl="0">
      <w:start w:val="1"/>
      <w:numFmt w:val="lowerLetter"/>
      <w:lvlText w:val="%1)"/>
      <w:lvlJc w:val="left"/>
      <w:pPr>
        <w:tabs>
          <w:tab w:val="num" w:pos="720"/>
        </w:tabs>
        <w:ind w:left="720" w:hanging="360"/>
      </w:pPr>
      <w:rPr>
        <w:sz w:val="22"/>
        <w:szCs w:val="22"/>
      </w:rPr>
    </w:lvl>
  </w:abstractNum>
  <w:abstractNum w:abstractNumId="4">
    <w:lvl w:ilvl="0">
      <w:start w:val="3"/>
      <w:numFmt w:val="bullet"/>
      <w:lvlText w:val="-"/>
      <w:lvlJc w:val="left"/>
      <w:pPr>
        <w:tabs>
          <w:tab w:val="num" w:pos="720"/>
        </w:tabs>
        <w:ind w:left="720" w:hanging="360"/>
      </w:pPr>
      <w:rPr>
        <w:rFonts w:ascii="Times New Roman" w:hAnsi="Times New Roman" w:cs="Times New Roman" w:hint="default"/>
        <w:sz w:val="22"/>
        <w:szCs w:val="22"/>
        <w:rFonts w:cs="Times New Roman"/>
      </w:rPr>
    </w:lvl>
  </w:abstractNum>
  <w:abstractNum w:abstractNumId="5">
    <w:lvl w:ilvl="0">
      <w:start w:val="1"/>
      <w:numFmt w:val="lowerLetter"/>
      <w:lvlText w:val="%1)"/>
      <w:lvlJc w:val="left"/>
      <w:pPr>
        <w:tabs>
          <w:tab w:val="num" w:pos="360"/>
        </w:tabs>
        <w:ind w:left="360" w:hanging="360"/>
      </w:pPr>
      <w:rPr>
        <w:sz w:val="22"/>
        <w:szCs w:val="22"/>
      </w:rPr>
    </w:lvl>
  </w:abstractNum>
  <w:abstractNum w:abstractNumId="6">
    <w:lvl w:ilvl="0">
      <w:start w:val="1"/>
      <w:numFmt w:val="lowerLetter"/>
      <w:lvlText w:val="%1)"/>
      <w:lvlJc w:val="left"/>
      <w:pPr>
        <w:tabs>
          <w:tab w:val="num" w:pos="720"/>
        </w:tabs>
        <w:ind w:left="720" w:hanging="360"/>
      </w:pPr>
      <w:rPr>
        <w:sz w:val="22"/>
        <w:szCs w:val="22"/>
      </w:rPr>
    </w:lvl>
  </w:abstractNum>
  <w:abstractNum w:abstractNumId="7">
    <w:lvl w:ilvl="0">
      <w:start w:val="1"/>
      <w:numFmt w:val="upperLetter"/>
      <w:lvlText w:val="%1."/>
      <w:lvlJc w:val="left"/>
      <w:pPr>
        <w:tabs>
          <w:tab w:val="num" w:pos="786"/>
        </w:tabs>
        <w:ind w:left="786" w:hanging="360"/>
      </w:pPr>
      <w:rPr>
        <w:sz w:val="22"/>
        <w:szCs w:val="22"/>
      </w:rPr>
    </w:lvl>
    <w:lvl w:ilvl="1">
      <w:start w:val="1"/>
      <w:numFmt w:val="decimal"/>
      <w:lvlText w:val="%1.%2."/>
      <w:lvlJc w:val="left"/>
      <w:pPr>
        <w:tabs>
          <w:tab w:val="num" w:pos="1506"/>
        </w:tabs>
        <w:ind w:left="1506" w:hanging="720"/>
      </w:pPr>
      <w:rPr>
        <w:sz w:val="22"/>
        <w:szCs w:val="22"/>
      </w:rPr>
    </w:lvl>
    <w:lvl w:ilvl="2">
      <w:start w:val="1"/>
      <w:numFmt w:val="decimal"/>
      <w:lvlText w:val="%1.%2.%3."/>
      <w:lvlJc w:val="left"/>
      <w:pPr>
        <w:tabs>
          <w:tab w:val="num" w:pos="1866"/>
        </w:tabs>
        <w:ind w:left="1866" w:hanging="720"/>
      </w:pPr>
      <w:rPr>
        <w:sz w:val="22"/>
        <w:szCs w:val="22"/>
      </w:rPr>
    </w:lvl>
    <w:lvl w:ilvl="3">
      <w:start w:val="1"/>
      <w:numFmt w:val="decimal"/>
      <w:lvlText w:val="%1.%2.%3.%4."/>
      <w:lvlJc w:val="left"/>
      <w:pPr>
        <w:tabs>
          <w:tab w:val="num" w:pos="2586"/>
        </w:tabs>
        <w:ind w:left="2586" w:hanging="1080"/>
      </w:pPr>
      <w:rPr>
        <w:sz w:val="22"/>
        <w:szCs w:val="22"/>
      </w:rPr>
    </w:lvl>
    <w:lvl w:ilvl="4">
      <w:start w:val="1"/>
      <w:numFmt w:val="decimal"/>
      <w:lvlText w:val="%1.%2.%3.%4.%5."/>
      <w:lvlJc w:val="left"/>
      <w:pPr>
        <w:tabs>
          <w:tab w:val="num" w:pos="3306"/>
        </w:tabs>
        <w:ind w:left="3306" w:hanging="1440"/>
      </w:pPr>
      <w:rPr>
        <w:sz w:val="22"/>
        <w:szCs w:val="22"/>
      </w:rPr>
    </w:lvl>
    <w:lvl w:ilvl="5">
      <w:start w:val="1"/>
      <w:numFmt w:val="decimal"/>
      <w:lvlText w:val="%1.%2.%3.%4.%5.%6."/>
      <w:lvlJc w:val="left"/>
      <w:pPr>
        <w:tabs>
          <w:tab w:val="num" w:pos="3666"/>
        </w:tabs>
        <w:ind w:left="3666" w:hanging="1440"/>
      </w:pPr>
      <w:rPr>
        <w:sz w:val="22"/>
        <w:szCs w:val="22"/>
      </w:rPr>
    </w:lvl>
    <w:lvl w:ilvl="6">
      <w:start w:val="1"/>
      <w:numFmt w:val="decimal"/>
      <w:lvlText w:val="%1.%2.%3.%4.%5.%6.%7."/>
      <w:lvlJc w:val="left"/>
      <w:pPr>
        <w:tabs>
          <w:tab w:val="num" w:pos="4386"/>
        </w:tabs>
        <w:ind w:left="4386" w:hanging="1800"/>
      </w:pPr>
      <w:rPr>
        <w:sz w:val="22"/>
        <w:szCs w:val="22"/>
      </w:rPr>
    </w:lvl>
    <w:lvl w:ilvl="7">
      <w:start w:val="1"/>
      <w:numFmt w:val="decimal"/>
      <w:lvlText w:val="%1.%2.%3.%4.%5.%6.%7.%8."/>
      <w:lvlJc w:val="left"/>
      <w:pPr>
        <w:tabs>
          <w:tab w:val="num" w:pos="4746"/>
        </w:tabs>
        <w:ind w:left="4746" w:hanging="1800"/>
      </w:pPr>
      <w:rPr>
        <w:sz w:val="22"/>
        <w:szCs w:val="22"/>
      </w:rPr>
    </w:lvl>
    <w:lvl w:ilvl="8">
      <w:start w:val="1"/>
      <w:numFmt w:val="decimal"/>
      <w:lvlText w:val="%1.%2.%3.%4.%5.%6.%7.%8.%9."/>
      <w:lvlJc w:val="left"/>
      <w:pPr>
        <w:tabs>
          <w:tab w:val="num" w:pos="5466"/>
        </w:tabs>
        <w:ind w:left="5466" w:hanging="2160"/>
      </w:pPr>
      <w:rPr>
        <w:sz w:val="22"/>
        <w:szCs w:val="22"/>
      </w:rPr>
    </w:lvl>
  </w:abstractNum>
  <w:abstractNum w:abstractNumId="8">
    <w:lvl w:ilvl="0">
      <w:start w:val="1"/>
      <w:numFmt w:val="bullet"/>
      <w:lvlText w:val=""/>
      <w:lvlJc w:val="left"/>
      <w:pPr>
        <w:ind w:left="720" w:hanging="360"/>
      </w:pPr>
      <w:rPr>
        <w:rFonts w:ascii="Wingdings" w:hAnsi="Wingdings" w:cs="Wingdings" w:hint="default"/>
        <w:sz w:val="22"/>
        <w:szCs w:val="22"/>
        <w:rFonts w:cs="Wingdings"/>
      </w:rPr>
    </w:lvl>
  </w:abstractNum>
  <w:abstractNum w:abstractNumId="9">
    <w:lvl w:ilvl="0">
      <w:start w:val="1"/>
      <w:numFmt w:val="lowerLetter"/>
      <w:lvlText w:val="%1)"/>
      <w:lvlJc w:val="left"/>
      <w:pPr>
        <w:tabs>
          <w:tab w:val="num" w:pos="720"/>
        </w:tabs>
        <w:ind w:left="720" w:hanging="360"/>
      </w:pPr>
      <w:rPr>
        <w:sz w:val="22"/>
        <w:szCs w:val="22"/>
      </w:rPr>
    </w:lvl>
  </w:abstractNum>
  <w:abstractNum w:abstractNumId="10">
    <w:lvl w:ilvl="0">
      <w:start w:val="1"/>
      <w:numFmt w:val="bullet"/>
      <w:lvlText w:val=""/>
      <w:lvlJc w:val="left"/>
      <w:pPr>
        <w:ind w:left="1211" w:hanging="360"/>
      </w:pPr>
      <w:rPr>
        <w:rFonts w:ascii="Wingdings" w:hAnsi="Wingdings" w:cs="Wingdings" w:hint="default"/>
        <w:sz w:val="22"/>
        <w:szCs w:val="22"/>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ind w:left="567" w:hanging="0"/>
      <w:outlineLvl w:val="0"/>
      <w:outlineLvl w:val="0"/>
    </w:pPr>
    <w:rPr>
      <w:b/>
      <w:bCs/>
    </w:rPr>
  </w:style>
  <w:style w:type="paragraph" w:styleId="Heading2">
    <w:name w:val="Heading 2"/>
    <w:basedOn w:val="Normal"/>
    <w:next w:val="Normal"/>
    <w:qFormat/>
    <w:pPr>
      <w:keepNext/>
      <w:numPr>
        <w:ilvl w:val="1"/>
        <w:numId w:val="1"/>
      </w:numPr>
      <w:jc w:val="both"/>
      <w:outlineLvl w:val="1"/>
      <w:outlineLvl w:val="1"/>
    </w:pPr>
    <w:rPr>
      <w:b/>
      <w:bCs/>
      <w:sz w:val="24"/>
      <w:szCs w:val="24"/>
    </w:rPr>
  </w:style>
  <w:style w:type="paragraph" w:styleId="Heading3">
    <w:name w:val="Heading 3"/>
    <w:basedOn w:val="Normal"/>
    <w:next w:val="Normal"/>
    <w:qFormat/>
    <w:pPr>
      <w:keepNext/>
      <w:numPr>
        <w:ilvl w:val="2"/>
        <w:numId w:val="1"/>
      </w:numPr>
      <w:outlineLvl w:val="2"/>
      <w:outlineLvl w:val="2"/>
    </w:pPr>
    <w:rPr>
      <w:b/>
      <w:bCs/>
      <w:sz w:val="24"/>
      <w:szCs w:val="24"/>
    </w:rPr>
  </w:style>
  <w:style w:type="paragraph" w:styleId="Heading4">
    <w:name w:val="Heading 4"/>
    <w:basedOn w:val="Normal"/>
    <w:next w:val="Normal"/>
    <w:qFormat/>
    <w:pPr>
      <w:keepNext/>
      <w:numPr>
        <w:ilvl w:val="3"/>
        <w:numId w:val="1"/>
      </w:numPr>
      <w:jc w:val="center"/>
      <w:outlineLvl w:val="3"/>
      <w:outlineLvl w:val="3"/>
    </w:pPr>
    <w:rPr>
      <w:sz w:val="24"/>
      <w:szCs w:val="24"/>
    </w:rPr>
  </w:style>
  <w:style w:type="paragraph" w:styleId="Heading5">
    <w:name w:val="Heading 5"/>
    <w:basedOn w:val="Normal"/>
    <w:next w:val="Normal"/>
    <w:qFormat/>
    <w:pPr>
      <w:keepNext/>
      <w:widowControl w:val="false"/>
      <w:numPr>
        <w:ilvl w:val="4"/>
        <w:numId w:val="1"/>
      </w:numPr>
      <w:ind w:right="153" w:hanging="0"/>
      <w:jc w:val="center"/>
      <w:outlineLvl w:val="4"/>
      <w:outlineLvl w:val="4"/>
    </w:pPr>
    <w:rPr>
      <w:rFonts w:ascii="Arial" w:hAnsi="Arial" w:cs="Arial"/>
      <w:b/>
      <w:bCs/>
    </w:rPr>
  </w:style>
  <w:style w:type="paragraph" w:styleId="Heading6">
    <w:name w:val="Heading 6"/>
    <w:basedOn w:val="Normal"/>
    <w:next w:val="Normal"/>
    <w:qFormat/>
    <w:pPr>
      <w:keepNext/>
      <w:numPr>
        <w:ilvl w:val="5"/>
        <w:numId w:val="1"/>
      </w:numPr>
      <w:jc w:val="center"/>
      <w:outlineLvl w:val="5"/>
      <w:outlineLvl w:val="5"/>
    </w:pPr>
    <w:rPr>
      <w:b/>
      <w:bCs/>
      <w:sz w:val="24"/>
      <w:szCs w:val="24"/>
    </w:rPr>
  </w:style>
  <w:style w:type="paragraph" w:styleId="Heading7">
    <w:name w:val="Heading 7"/>
    <w:basedOn w:val="Normal"/>
    <w:next w:val="Normal"/>
    <w:qFormat/>
    <w:pPr>
      <w:keepNext/>
      <w:numPr>
        <w:ilvl w:val="6"/>
        <w:numId w:val="1"/>
      </w:numPr>
      <w:jc w:val="both"/>
      <w:outlineLvl w:val="6"/>
      <w:outlineLvl w:val="6"/>
    </w:pPr>
    <w:rPr>
      <w:sz w:val="24"/>
      <w:szCs w:val="24"/>
    </w:rPr>
  </w:style>
  <w:style w:type="paragraph" w:styleId="Heading8">
    <w:name w:val="Heading 8"/>
    <w:basedOn w:val="Normal"/>
    <w:next w:val="Normal"/>
    <w:qFormat/>
    <w:pPr>
      <w:keepNext/>
      <w:numPr>
        <w:ilvl w:val="7"/>
        <w:numId w:val="1"/>
      </w:numPr>
      <w:outlineLvl w:val="7"/>
      <w:outlineLvl w:val="7"/>
    </w:pPr>
    <w:rPr>
      <w:i/>
      <w:iCs/>
      <w:sz w:val="24"/>
      <w:szCs w:val="24"/>
    </w:rPr>
  </w:style>
  <w:style w:type="paragraph" w:styleId="Heading9">
    <w:name w:val="Heading 9"/>
    <w:basedOn w:val="Normal"/>
    <w:next w:val="Normal"/>
    <w:qFormat/>
    <w:pPr>
      <w:keepNext/>
      <w:numPr>
        <w:ilvl w:val="8"/>
        <w:numId w:val="1"/>
      </w:numPr>
      <w:ind w:left="4956" w:firstLine="708"/>
      <w:outlineLvl w:val="8"/>
      <w:outlineLvl w:val="8"/>
    </w:pPr>
    <w:rPr>
      <w:b/>
      <w:bCs/>
      <w:sz w:val="24"/>
      <w:szCs w:val="24"/>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sz w:val="22"/>
      <w:szCs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22"/>
      <w:szCs w:val="22"/>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sz w:val="22"/>
      <w:szCs w:val="22"/>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z w:val="22"/>
      <w:szCs w:val="22"/>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z w:val="22"/>
      <w:szCs w:val="22"/>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omic Sans MS" w:hAnsi="Comic Sans MS"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omic Sans MS" w:hAnsi="Comic Sans MS"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z w:val="22"/>
      <w:szCs w:val="22"/>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eastAsia="Times New Roman"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Wingdings" w:hAnsi="Wingdings" w:cs="Wingdings"/>
      <w:sz w:val="22"/>
      <w:szCs w:val="22"/>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sz w:val="22"/>
      <w:szCs w:val="22"/>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Wingdings" w:hAnsi="Wingdings" w:cs="Wingdings"/>
      <w:sz w:val="22"/>
      <w:szCs w:val="22"/>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ParagraphedelisteCar">
    <w:name w:val="Paragraphe de liste Car"/>
    <w:qFormat/>
    <w:rPr>
      <w:rFonts w:ascii="Calibri" w:hAnsi="Calibri" w:cs="Calibri"/>
      <w:sz w:val="22"/>
      <w:szCs w:val="22"/>
    </w:rPr>
  </w:style>
  <w:style w:type="character" w:styleId="TitreCar">
    <w:name w:val="Titre Car"/>
    <w:qFormat/>
    <w:rPr>
      <w:b/>
      <w:bCs/>
    </w:rPr>
  </w:style>
  <w:style w:type="paragraph" w:styleId="Heading">
    <w:name w:val="Heading"/>
    <w:basedOn w:val="Normal"/>
    <w:next w:val="TextBody"/>
    <w:qFormat/>
    <w:pPr>
      <w:tabs>
        <w:tab w:val="left" w:pos="7513" w:leader="none"/>
      </w:tabs>
      <w:jc w:val="center"/>
    </w:pPr>
    <w:rPr>
      <w:b/>
      <w:bCs/>
    </w:rPr>
  </w:style>
  <w:style w:type="paragraph" w:styleId="TextBody">
    <w:name w:val="Text Body"/>
    <w:basedOn w:val="Normal"/>
    <w:pPr/>
    <w:rPr>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Explorateurdedocuments">
    <w:name w:val="Explorateur de documents"/>
    <w:basedOn w:val="Normal"/>
    <w:qFormat/>
    <w:pPr>
      <w:shd w:fill="000080" w:val="clear"/>
    </w:pPr>
    <w:rPr>
      <w:rFonts w:ascii="Tahoma" w:hAnsi="Tahoma" w:cs="Tahoma"/>
    </w:rPr>
  </w:style>
  <w:style w:type="paragraph" w:styleId="Corpsdetexte3">
    <w:name w:val="Corps de texte 3"/>
    <w:basedOn w:val="Normal"/>
    <w:qFormat/>
    <w:pPr>
      <w:jc w:val="both"/>
    </w:pPr>
    <w:rPr>
      <w:sz w:val="24"/>
      <w:szCs w:val="24"/>
    </w:rPr>
  </w:style>
  <w:style w:type="paragraph" w:styleId="TextBodyIndent">
    <w:name w:val="Text Body Indent"/>
    <w:basedOn w:val="Normal"/>
    <w:pPr>
      <w:ind w:left="360" w:hanging="0"/>
      <w:jc w:val="both"/>
    </w:pPr>
    <w:rPr>
      <w:rFonts w:ascii="Tahoma" w:hAnsi="Tahoma" w:cs="Tahoma"/>
    </w:rPr>
  </w:style>
  <w:style w:type="paragraph" w:styleId="Retraitcorpsdetexte2">
    <w:name w:val="Retrait corps de texte 2"/>
    <w:basedOn w:val="Normal"/>
    <w:qFormat/>
    <w:pPr>
      <w:ind w:left="426" w:hanging="0"/>
      <w:jc w:val="both"/>
    </w:pPr>
    <w:rPr>
      <w:rFonts w:ascii="Tahoma" w:hAnsi="Tahoma" w:cs="Tahoma"/>
      <w:sz w:val="22"/>
      <w:szCs w:val="22"/>
    </w:rPr>
  </w:style>
  <w:style w:type="paragraph" w:styleId="Retraitcorpsdetexte3">
    <w:name w:val="Retrait corps de texte 3"/>
    <w:basedOn w:val="Normal"/>
    <w:qFormat/>
    <w:pPr>
      <w:ind w:left="360" w:hanging="0"/>
      <w:jc w:val="both"/>
    </w:pPr>
    <w:rPr>
      <w:rFonts w:ascii="Tahoma" w:hAnsi="Tahoma" w:cs="Tahoma"/>
      <w:sz w:val="22"/>
      <w:szCs w:val="22"/>
    </w:rPr>
  </w:style>
  <w:style w:type="paragraph" w:styleId="Textedebulles">
    <w:name w:val="Texte de bulles"/>
    <w:basedOn w:val="Normal"/>
    <w:qFormat/>
    <w:pPr/>
    <w:rPr>
      <w:rFonts w:ascii="Tahoma" w:hAnsi="Tahoma" w:cs="Tahoma"/>
      <w:sz w:val="16"/>
      <w:szCs w:val="16"/>
    </w:rPr>
  </w:style>
  <w:style w:type="paragraph" w:styleId="Textebrut">
    <w:name w:val="Texte brut"/>
    <w:basedOn w:val="Normal"/>
    <w:qFormat/>
    <w:pPr/>
    <w:rPr>
      <w:rFonts w:ascii="Courier New" w:hAnsi="Courier New" w:cs="Courier New"/>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spacing w:before="0" w:after="240"/>
      <w:ind w:left="720" w:hanging="0"/>
      <w:contextualSpacing/>
      <w:jc w:val="both"/>
    </w:pPr>
    <w:rPr>
      <w:rFonts w:ascii="Calibri" w:hAnsi="Calibri" w:cs="Calibri"/>
      <w:sz w:val="22"/>
      <w:szCs w:val="22"/>
    </w:rPr>
  </w:style>
  <w:style w:type="paragraph" w:styleId="WWTextBody">
    <w:name w:val="WW-Text Body"/>
    <w:basedOn w:val="Normal"/>
    <w:qFormat/>
    <w:pPr>
      <w:jc w:val="both"/>
    </w:pPr>
    <w:rPr>
      <w:b/>
      <w:spacing w:val="-3"/>
      <w:sz w:val="28"/>
      <w:lang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2019-07-10T11:10:00Z</dcterms:created>
  <dc:language>en-GB</dc:language>
  <cp:lastPrinted>2019-06-21T09:43:00Z</cp:lastPrinted>
  <dcterms:modified xsi:type="dcterms:W3CDTF">2019-07-10T11:24:00Z</dcterms:modified>
  <cp:revision>3</cp:revision>
  <dc:title>PREAMBULE</dc:title>
</cp:coreProperties>
</file>