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cs="Calibri"/>
          <w:b/>
          <w:b/>
          <w:bCs/>
          <w:sz w:val="26"/>
          <w:szCs w:val="26"/>
          <w:highlight w:val="yellow"/>
        </w:rPr>
      </w:pPr>
      <w:bookmarkStart w:id="0" w:name="_Hlk527713289"/>
      <w:bookmarkStart w:id="1" w:name="_Hlk527713289"/>
      <w:bookmarkEnd w:id="1"/>
      <w:r>
        <w:rPr>
          <w:rFonts w:cs="Calibri"/>
          <w:b/>
          <w:bCs/>
          <w:sz w:val="26"/>
          <w:szCs w:val="26"/>
          <w:highlight w:val="yellow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cs="Calibri"/>
          <w:b/>
          <w:b/>
          <w:bCs/>
          <w:sz w:val="26"/>
          <w:szCs w:val="26"/>
          <w:highlight w:val="yellow"/>
        </w:rPr>
      </w:pPr>
      <w:r>
        <w:rPr>
          <w:rFonts w:cs="Calibri"/>
          <w:b/>
          <w:bCs/>
          <w:sz w:val="26"/>
          <w:szCs w:val="26"/>
          <w:highlight w:val="yellow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cs="Calibri"/>
          <w:b/>
          <w:b/>
          <w:bCs/>
          <w:sz w:val="26"/>
          <w:szCs w:val="26"/>
          <w:highlight w:val="yellow"/>
          <w:lang w:val="en-GB" w:eastAsia="en-GB"/>
        </w:rPr>
      </w:pPr>
      <w:r>
        <w:rPr>
          <w:rFonts w:cs="Calibri"/>
          <w:b/>
          <w:bCs/>
          <w:sz w:val="26"/>
          <w:szCs w:val="26"/>
          <w:highlight w:val="yellow"/>
          <w:lang w:val="en-GB" w:eastAsia="en-GB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-56515</wp:posOffset>
                </wp:positionH>
                <wp:positionV relativeFrom="paragraph">
                  <wp:posOffset>97790</wp:posOffset>
                </wp:positionV>
                <wp:extent cx="5877560" cy="915035"/>
                <wp:effectExtent l="0" t="0" r="0" b="0"/>
                <wp:wrapNone/>
                <wp:docPr id="1" name="Rectangle : coins arrondi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00" cy="914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257" h="1442">
                              <a:moveTo>
                                <a:pt x="240" y="0"/>
                              </a:moveTo>
                              <a:cubicBezTo>
                                <a:pt x="120" y="0"/>
                                <a:pt x="0" y="120"/>
                                <a:pt x="0" y="240"/>
                              </a:cubicBezTo>
                              <a:lnTo>
                                <a:pt x="0" y="1200"/>
                              </a:lnTo>
                              <a:cubicBezTo>
                                <a:pt x="0" y="1320"/>
                                <a:pt x="120" y="1441"/>
                                <a:pt x="240" y="1441"/>
                              </a:cubicBezTo>
                              <a:lnTo>
                                <a:pt x="9015" y="1441"/>
                              </a:lnTo>
                              <a:cubicBezTo>
                                <a:pt x="9135" y="1441"/>
                                <a:pt x="9256" y="1320"/>
                                <a:pt x="9256" y="1200"/>
                              </a:cubicBezTo>
                              <a:lnTo>
                                <a:pt x="9256" y="240"/>
                              </a:lnTo>
                              <a:cubicBezTo>
                                <a:pt x="9256" y="120"/>
                                <a:pt x="9135" y="0"/>
                                <a:pt x="9015" y="0"/>
                              </a:cubicBez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Rectangle : coins arrondis 5" stroked="t" style="position:absolute;margin-left:-4.45pt;margin-top:7.7pt;width:462.7pt;height:71.95pt;mso-position-horizontal-relative:margin">
                <w10:wrap type="none"/>
                <v:fill o:detectmouseclick="t" on="false"/>
                <v:stroke color="black" weight="12600" joinstyle="miter" endcap="square"/>
              </v:roundrect>
            </w:pict>
          </mc:Fallback>
        </mc:AlternateContent>
      </w:r>
    </w:p>
    <w:p>
      <w:pPr>
        <w:pStyle w:val="Normal"/>
        <w:autoSpaceDE w:val="false"/>
        <w:spacing w:lineRule="auto" w:line="240" w:before="0" w:after="0"/>
        <w:jc w:val="center"/>
        <w:rPr>
          <w:rFonts w:cs="Calibri"/>
          <w:b/>
          <w:b/>
          <w:bCs/>
          <w:sz w:val="26"/>
          <w:szCs w:val="26"/>
          <w:highlight w:val="yellow"/>
        </w:rPr>
      </w:pPr>
      <w:r>
        <w:rPr>
          <w:rFonts w:cs="Calibri"/>
          <w:b/>
          <w:bCs/>
          <w:sz w:val="26"/>
          <w:szCs w:val="26"/>
          <w:highlight w:val="yellow"/>
        </w:rPr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cs="Calibri"/>
          <w:b/>
          <w:bCs/>
          <w:sz w:val="26"/>
          <w:szCs w:val="26"/>
        </w:rPr>
        <w:t>AVENANT N°3 A L’ACCORD RELATIF A LA GESTION DES EMPLOIS ET DES PARCOURS PROFESSIONNELS (GEPP) AU SEIN DE LA SOCIETE DOCAPOST DPS</w:t>
      </w:r>
    </w:p>
    <w:p>
      <w:pPr>
        <w:pStyle w:val="Normal"/>
        <w:autoSpaceDE w:val="false"/>
        <w:spacing w:lineRule="auto" w:line="240" w:before="0" w:after="0"/>
        <w:jc w:val="center"/>
        <w:rPr>
          <w:rFonts w:cs="Calibri"/>
          <w:b/>
          <w:b/>
          <w:bCs/>
          <w:sz w:val="30"/>
          <w:szCs w:val="30"/>
        </w:rPr>
      </w:pPr>
      <w:bookmarkStart w:id="2" w:name="_Hlk527713289"/>
      <w:bookmarkStart w:id="3" w:name="_Hlk527713289"/>
      <w:bookmarkEnd w:id="3"/>
      <w:r>
        <w:rPr>
          <w:rFonts w:cs="Calibri"/>
          <w:b/>
          <w:bCs/>
          <w:sz w:val="30"/>
          <w:szCs w:val="30"/>
        </w:rPr>
      </w:r>
    </w:p>
    <w:p>
      <w:pPr>
        <w:pStyle w:val="Normal"/>
        <w:spacing w:before="0" w:after="0"/>
        <w:rPr>
          <w:rFonts w:cs="Calibri"/>
          <w:b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</w:r>
    </w:p>
    <w:p>
      <w:pPr>
        <w:pStyle w:val="Normal"/>
        <w:spacing w:before="0" w:after="0"/>
        <w:rPr>
          <w:rFonts w:cs="Calibri"/>
          <w:b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</w:r>
    </w:p>
    <w:p>
      <w:pPr>
        <w:pStyle w:val="Normal"/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  <w:t>ENTRE LES SOUSSIGNEES :</w:t>
      </w:r>
    </w:p>
    <w:p>
      <w:pPr>
        <w:pStyle w:val="Normal"/>
        <w:suppressAutoHyphens w:val="true"/>
        <w:spacing w:before="0" w:after="0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0" w:after="0"/>
        <w:jc w:val="both"/>
        <w:rPr/>
      </w:pPr>
      <w:r>
        <w:rPr>
          <w:rFonts w:cs="Calibri"/>
          <w:b/>
          <w:bCs/>
        </w:rPr>
        <w:t>La Société DOCAPOST DPS,</w:t>
      </w:r>
      <w:r>
        <w:rPr>
          <w:rFonts w:cs="Calibri"/>
          <w:bCs/>
        </w:rPr>
        <w:t xml:space="preserve"> dont le siège social est situé 45/47 boulevard Paul Vaillant Couturier, 94 200 IVRY SUR SEINE, immatriculée au RCS de Créteil sous le numéro 314 704 057, représentée par  , en sa qualité de Directrice des Ressources Humaines Adjointe, dûment habilitée aux effets de la présente. </w:t>
      </w:r>
    </w:p>
    <w:p>
      <w:pPr>
        <w:pStyle w:val="Normal"/>
        <w:spacing w:before="0" w:after="0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spacing w:before="0" w:after="0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suppressAutoHyphens w:val="true"/>
        <w:spacing w:before="0" w:after="0"/>
        <w:ind w:left="705" w:hanging="705"/>
        <w:jc w:val="right"/>
        <w:rPr>
          <w:rFonts w:cs="Calibri"/>
          <w:i/>
          <w:i/>
          <w:iCs/>
        </w:rPr>
      </w:pPr>
      <w:r>
        <w:rPr>
          <w:rFonts w:cs="Calibri"/>
          <w:i/>
          <w:iCs/>
        </w:rPr>
        <w:t>D’une part,</w:t>
      </w:r>
    </w:p>
    <w:p>
      <w:pPr>
        <w:pStyle w:val="Normal"/>
        <w:suppressAutoHyphens w:val="true"/>
        <w:spacing w:before="0" w:after="0"/>
        <w:ind w:left="705" w:hanging="705"/>
        <w:jc w:val="right"/>
        <w:rPr>
          <w:rFonts w:cs="Calibri"/>
          <w:i/>
          <w:i/>
          <w:iCs/>
        </w:rPr>
      </w:pPr>
      <w:r>
        <w:rPr>
          <w:rFonts w:cs="Calibri"/>
          <w:i/>
          <w:iCs/>
        </w:rPr>
      </w:r>
    </w:p>
    <w:p>
      <w:pPr>
        <w:pStyle w:val="Normal"/>
        <w:tabs>
          <w:tab w:val="left" w:pos="720" w:leader="none"/>
          <w:tab w:val="left" w:pos="885" w:leader="none"/>
          <w:tab w:val="left" w:pos="1395" w:leader="none"/>
          <w:tab w:val="left" w:pos="2160" w:leader="none"/>
          <w:tab w:val="left" w:pos="2880" w:leader="none"/>
          <w:tab w:val="left" w:pos="3600" w:leader="none"/>
          <w:tab w:val="left" w:pos="4137" w:leader="none"/>
          <w:tab w:val="left" w:pos="5040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before="0" w:after="0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  <w:t>ET :</w:t>
      </w:r>
    </w:p>
    <w:p>
      <w:pPr>
        <w:pStyle w:val="Normal"/>
        <w:tabs>
          <w:tab w:val="left" w:pos="720" w:leader="none"/>
          <w:tab w:val="left" w:pos="885" w:leader="none"/>
          <w:tab w:val="left" w:pos="1395" w:leader="none"/>
          <w:tab w:val="left" w:pos="2160" w:leader="none"/>
          <w:tab w:val="left" w:pos="2880" w:leader="none"/>
          <w:tab w:val="left" w:pos="3600" w:leader="none"/>
          <w:tab w:val="left" w:pos="4137" w:leader="none"/>
          <w:tab w:val="left" w:pos="5040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before="0" w:after="0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uppressAutoHyphens w:val="true"/>
        <w:spacing w:before="0" w:after="0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  <w:t xml:space="preserve">Les Organisations Syndicales suivantes représentées par les Délégués Syndicaux Centraux en vertu du mandat reçu à cet effet :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L’organisation syndicale CFDT, représentative dans l’entreprise, 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cs="Calibri"/>
          <w:bCs/>
        </w:rPr>
        <w:t>Représentée par  , délégué syndical central dans l’entreprise,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cs="Calibri"/>
          <w:bCs/>
        </w:rPr>
      </w:pPr>
      <w:r>
        <w:rPr>
          <w:rFonts w:cs="Calibri"/>
          <w:bCs/>
        </w:rPr>
        <w:t>L’organisation syndicale CFTC, représentative dans l’entreprise,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cs="Calibri"/>
          <w:bCs/>
        </w:rPr>
        <w:t xml:space="preserve">Représentée par  , délégué syndical central dans l’entreprise,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L’organisation syndicale FO COM, représentative dans l’entreprise, 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cs="Calibri"/>
          <w:bCs/>
        </w:rPr>
        <w:t>Représentée par  , délégué syndical central dans l’entreprise,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cs="Calibri"/>
          <w:bCs/>
        </w:rPr>
      </w:pPr>
      <w:r>
        <w:rPr>
          <w:rFonts w:cs="Calibri"/>
          <w:bCs/>
        </w:rPr>
        <w:t>L’organisation syndicale SUD PTT, représentative dans l’entreprise,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cs="Calibri"/>
          <w:bCs/>
        </w:rPr>
        <w:t>Représentée par  , délégué syndical central dans l’entreprise,</w:t>
      </w:r>
    </w:p>
    <w:p>
      <w:pPr>
        <w:pStyle w:val="Normal"/>
        <w:suppressAutoHyphens w:val="true"/>
        <w:spacing w:before="0" w:after="0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suppressAutoHyphens w:val="true"/>
        <w:spacing w:before="0" w:after="0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suppressAutoHyphens w:val="true"/>
        <w:spacing w:before="0" w:after="0"/>
        <w:ind w:left="7092" w:firstLine="696"/>
        <w:jc w:val="center"/>
        <w:rPr>
          <w:rFonts w:cs="Calibri"/>
          <w:i/>
          <w:i/>
          <w:iCs/>
        </w:rPr>
      </w:pPr>
      <w:r>
        <w:rPr>
          <w:rFonts w:cs="Calibri"/>
          <w:i/>
          <w:iCs/>
        </w:rPr>
        <w:t>D’autre part.</w:t>
      </w:r>
    </w:p>
    <w:p>
      <w:pPr>
        <w:pStyle w:val="Normal"/>
        <w:spacing w:before="0" w:after="0"/>
        <w:jc w:val="right"/>
        <w:rPr>
          <w:rFonts w:cs="Calibri"/>
          <w:i/>
          <w:i/>
        </w:rPr>
      </w:pPr>
      <w:r>
        <w:rPr>
          <w:rFonts w:cs="Calibri"/>
          <w:i/>
        </w:rPr>
        <w:t xml:space="preserve">Ci-ensemble dénommées « les Parties ». </w:t>
      </w:r>
    </w:p>
    <w:p>
      <w:pPr>
        <w:pStyle w:val="Normal"/>
        <w:spacing w:before="0" w:after="0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>
          <w:b/>
          <w:b/>
        </w:rPr>
      </w:pPr>
      <w:r>
        <w:rPr>
          <w:b/>
        </w:rPr>
        <w:t>IL A ETE CONVENU CE QUI SUIT </w:t>
      </w:r>
    </w:p>
    <w:p>
      <w:pPr>
        <w:pStyle w:val="Sansinterligne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PREAMBULE</w:t>
      </w:r>
    </w:p>
    <w:p>
      <w:pPr>
        <w:pStyle w:val="Sansinterligne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Sansinterlign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La Direction et les Organisations syndicales représentatives au sein de la Société DOCAPOST DPS ont conclu, le 16 juin 2016, un accord relatif à la Gestion des Emplois et des Parcours Professionnel (GEPP) d’une durée de 3 ans. </w:t>
      </w:r>
    </w:p>
    <w:p>
      <w:pPr>
        <w:pStyle w:val="Sansinterlign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ansinterlign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Dans le cadre de nouvelles discussions portant sur la Gestion des Emplois et des Parcours Professionnels, la Direction et les Organisations syndicales représentatives se sont rencontrées à compter du 13 septembre 2018, au cours de plusieurs réunions de négociation.</w:t>
      </w:r>
    </w:p>
    <w:p>
      <w:pPr>
        <w:pStyle w:val="Sansinterlign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ansinterlign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 cette occasion, la Direction et les Organisations syndicales représentatives ont échangé sur l’opportunité de proroger l’accord GEPP du 16 juin 2016.</w:t>
      </w:r>
    </w:p>
    <w:p>
      <w:pPr>
        <w:pStyle w:val="Sansinterlign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ansinterlign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C’est la raison pour laquelle, les Parties sont convenues de conclure le présent avenant à l’accord du 16 juin 2016, relatif à la GEPP au sein de la Société DOCAPOST DPS. </w:t>
      </w:r>
    </w:p>
    <w:p>
      <w:pPr>
        <w:pStyle w:val="Sansinterlign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ansinterligne"/>
        <w:spacing w:lineRule="auto" w:line="276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ARTICLE 1 : PROROGATION DE L’ACCORD GEPP DU 16 JUIN 2016</w:t>
      </w:r>
    </w:p>
    <w:p>
      <w:pPr>
        <w:pStyle w:val="Normal"/>
        <w:spacing w:before="0" w:after="0"/>
        <w:jc w:val="both"/>
        <w:rPr>
          <w:rFonts w:ascii="Calibri" w:hAnsi="Calibri"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Les Parties décident conjointement que l’accord GEPP du 16 juin 2016 est prorogé pour une durée de 3 ans. Cet accord cessera de s’appliquer le 16 juin 2022.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jc w:val="both"/>
        <w:rPr/>
      </w:pPr>
      <w:r>
        <w:rPr>
          <w:b/>
          <w:u w:val="single"/>
        </w:rPr>
        <w:t xml:space="preserve">ARTICLE 2 : DUREE ET ENTREE EN VIGUEUR </w:t>
      </w:r>
    </w:p>
    <w:p>
      <w:pPr>
        <w:pStyle w:val="Normal"/>
        <w:spacing w:before="0" w:after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/>
        <w:t xml:space="preserve">Le présent avenant est conclu pour la durée de prorogation de l’accord de Gestion des Emplois et des Parcours Professionnels du 16 juin 2016.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Il entrera en vigueur le lendemain de son dépôt auprès de la Direction Régionale des Entreprises, de la Concurrence, de la Consommation, du Travail et de l’Emploi (DIRECCTE).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A l’échéance de son terme, il cessera de produire ses effets de plein droit.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u w:val="single"/>
        </w:rPr>
        <w:t>ARTICLE 3 : REVISION</w:t>
      </w:r>
    </w:p>
    <w:p>
      <w:pPr>
        <w:pStyle w:val="Normal"/>
        <w:spacing w:before="0" w:after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/>
        <w:t xml:space="preserve">Le présent avenant pourra être révisé par voie d’avenant, conformément aux dispositions des articles L. 2261-7 et suivants du Code du travail, sur tout point.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Toute demande de révision devra être effectuée par lettre recommandée avec accusé de réception adressée aux autres parties signataires. Elle doit être accompagnée d’une proposition nouvelle sur les points à réviser.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La discussion de la demande de révision doit s’engager dans les 3 mois suivants la présentation de celle-ci. Toute modification fera l’objet d’un avenant conclu dans les conditions prévues par les dispositions législatives et réglementaires.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b/>
          <w:u w:val="single"/>
        </w:rPr>
        <w:t>ARTICLE 4 : PUBLICITE ET DEPOT</w:t>
      </w:r>
    </w:p>
    <w:p>
      <w:pPr>
        <w:pStyle w:val="Normal"/>
        <w:spacing w:before="0" w:after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/>
        <w:t xml:space="preserve">Conformément à l’article L. 2231-5 du Code du travail, le texte du présent avenant sera notifié à l’ensemble des Organisations syndicales représentatives dans l’entreprise.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Son existence ainsi que ses modalités seront portées à la connaissance du personnel par voie d’affichage.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Le présent accord sera déposé sur la plateforme de téléprocédure du ministère du travail.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Un exemplaire sera déposé au Secrétariat du Greffe du Conseil des Prud’hommes de Créteil.</w:t>
      </w:r>
    </w:p>
    <w:p>
      <w:pPr>
        <w:pStyle w:val="Normal"/>
        <w:spacing w:before="0" w:after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before="0" w:after="0"/>
        <w:jc w:val="both"/>
        <w:rPr/>
      </w:pPr>
      <w:r>
        <w:rPr/>
        <w:t xml:space="preserve">Enfin, conformément aux dispositions de l’accord national de branche du 15 septembre 2005, le texte du présent avenant sera transmis à l’observatoire Paritaire de la Négociation Collective (OPNC) à l'adresse électronique suivante : </w:t>
      </w:r>
      <w:hyperlink r:id="rId4">
        <w:r>
          <w:rPr>
            <w:rStyle w:val="InternetLink"/>
          </w:rPr>
          <w:t>opnc@syntec.fr</w:t>
        </w:r>
      </w:hyperlink>
      <w:r>
        <w:rPr/>
        <w:t>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Fait à Ivry sur Seine, le 14 mars 2019, en 7 exemplaires.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W w:w="9539" w:type="dxa"/>
        <w:jc w:val="center"/>
        <w:tblInd w:w="0" w:type="dxa"/>
        <w:tblBorders>
          <w:bottom w:val="single" w:sz="8" w:space="0" w:color="999999"/>
          <w:insideH w:val="single" w:sz="8" w:space="0" w:color="999999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2774"/>
        <w:gridCol w:w="3185"/>
        <w:gridCol w:w="20"/>
      </w:tblGrid>
      <w:tr>
        <w:trPr>
          <w:trHeight w:val="553" w:hRule="atLeast"/>
        </w:trPr>
        <w:tc>
          <w:tcPr>
            <w:tcW w:w="3560" w:type="dxa"/>
            <w:tcBorders>
              <w:bottom w:val="single" w:sz="8" w:space="0" w:color="999999"/>
              <w:insideH w:val="single" w:sz="8" w:space="0" w:color="999999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Pour DOCAPOST DPS </w:t>
            </w:r>
          </w:p>
          <w:p>
            <w:pPr>
              <w:pStyle w:val="Normal"/>
              <w:spacing w:before="0" w:after="160"/>
              <w:jc w:val="both"/>
              <w:rPr>
                <w:rFonts w:cs="Arial"/>
                <w:b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</w:r>
          </w:p>
        </w:tc>
        <w:tc>
          <w:tcPr>
            <w:tcW w:w="2774" w:type="dxa"/>
            <w:tcBorders>
              <w:bottom w:val="single" w:sz="8" w:space="0" w:color="999999"/>
              <w:insideH w:val="single" w:sz="8" w:space="0" w:color="999999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</w:r>
          </w:p>
        </w:tc>
        <w:tc>
          <w:tcPr>
            <w:tcW w:w="3185" w:type="dxa"/>
            <w:tcBorders>
              <w:bottom w:val="single" w:sz="8" w:space="0" w:color="999999"/>
              <w:insideH w:val="single" w:sz="8" w:space="0" w:color="999999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</w:r>
          </w:p>
        </w:tc>
      </w:tr>
      <w:tr>
        <w:trPr>
          <w:trHeight w:val="673" w:hRule="atLeast"/>
        </w:trPr>
        <w:tc>
          <w:tcPr>
            <w:tcW w:w="3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insideH w:val="single" w:sz="8" w:space="0" w:color="99999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999999"/>
              <w:bottom w:val="single" w:sz="8" w:space="0" w:color="999999"/>
              <w:insideH w:val="single" w:sz="8" w:space="0" w:color="999999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/>
              </w:rPr>
              <w:t>Directrice des Ressources Humaines Adjointe</w:t>
            </w:r>
          </w:p>
        </w:tc>
        <w:tc>
          <w:tcPr>
            <w:tcW w:w="3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587" w:hRule="atLeast"/>
        </w:trPr>
        <w:tc>
          <w:tcPr>
            <w:tcW w:w="6334" w:type="dxa"/>
            <w:gridSpan w:val="2"/>
            <w:tcBorders>
              <w:bottom w:val="single" w:sz="8" w:space="0" w:color="999999"/>
              <w:insideH w:val="single" w:sz="8" w:space="0" w:color="999999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Pour les organisations syndicales</w:t>
              <w:tab/>
              <w:tab/>
              <w:tab/>
              <w:tab/>
            </w:r>
          </w:p>
          <w:p>
            <w:pPr>
              <w:pStyle w:val="Normal"/>
              <w:spacing w:before="0" w:after="160"/>
              <w:jc w:val="both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</w:r>
          </w:p>
        </w:tc>
        <w:tc>
          <w:tcPr>
            <w:tcW w:w="3185" w:type="dxa"/>
            <w:tcBorders>
              <w:bottom w:val="single" w:sz="8" w:space="0" w:color="999999"/>
              <w:insideH w:val="single" w:sz="8" w:space="0" w:color="999999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</w:r>
          </w:p>
        </w:tc>
      </w:tr>
      <w:tr>
        <w:trPr>
          <w:trHeight w:val="606" w:hRule="atLeast"/>
        </w:trPr>
        <w:tc>
          <w:tcPr>
            <w:tcW w:w="3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insideH w:val="single" w:sz="8" w:space="0" w:color="99999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999999"/>
              <w:bottom w:val="single" w:sz="8" w:space="0" w:color="999999"/>
              <w:insideH w:val="single" w:sz="8" w:space="0" w:color="999999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cs="Arial"/>
              </w:rPr>
            </w:pPr>
            <w:r>
              <w:rPr>
                <w:rFonts w:cs="Arial"/>
              </w:rPr>
              <w:t>CFDT</w:t>
            </w:r>
          </w:p>
        </w:tc>
        <w:tc>
          <w:tcPr>
            <w:tcW w:w="3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57" w:hRule="atLeast"/>
        </w:trPr>
        <w:tc>
          <w:tcPr>
            <w:tcW w:w="3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insideH w:val="single" w:sz="8" w:space="0" w:color="99999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999999"/>
              <w:bottom w:val="single" w:sz="8" w:space="0" w:color="999999"/>
              <w:insideH w:val="single" w:sz="8" w:space="0" w:color="999999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cs="Arial"/>
              </w:rPr>
            </w:pPr>
            <w:r>
              <w:rPr>
                <w:rFonts w:cs="Arial"/>
              </w:rPr>
              <w:t>CFTC</w:t>
            </w:r>
          </w:p>
        </w:tc>
        <w:tc>
          <w:tcPr>
            <w:tcW w:w="3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53" w:hRule="atLeast"/>
        </w:trPr>
        <w:tc>
          <w:tcPr>
            <w:tcW w:w="3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insideH w:val="single" w:sz="8" w:space="0" w:color="99999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999999"/>
              <w:bottom w:val="single" w:sz="8" w:space="0" w:color="999999"/>
              <w:insideH w:val="single" w:sz="8" w:space="0" w:color="999999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cs="Arial"/>
              </w:rPr>
            </w:pPr>
            <w:r>
              <w:rPr>
                <w:rFonts w:cs="Arial"/>
              </w:rPr>
              <w:t>FO COM</w:t>
            </w:r>
          </w:p>
        </w:tc>
        <w:tc>
          <w:tcPr>
            <w:tcW w:w="3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42" w:hRule="atLeast"/>
        </w:trPr>
        <w:tc>
          <w:tcPr>
            <w:tcW w:w="3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insideH w:val="single" w:sz="8" w:space="0" w:color="99999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999999"/>
              <w:bottom w:val="single" w:sz="8" w:space="0" w:color="999999"/>
              <w:insideH w:val="single" w:sz="8" w:space="0" w:color="999999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cs="Arial"/>
              </w:rPr>
            </w:pPr>
            <w:r>
              <w:rPr>
                <w:rFonts w:cs="Arial"/>
              </w:rPr>
              <w:t>SUD PTT</w:t>
            </w:r>
          </w:p>
        </w:tc>
        <w:tc>
          <w:tcPr>
            <w:tcW w:w="3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Century Gothic">
    <w:charset w:val="00"/>
    <w:family w:val="swiss"/>
    <w:pitch w:val="variable"/>
  </w:font>
  <w:font w:name="Segoe U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Avenant n°3 à l’accord GEPP du 16 juin 2016 – Docaposte DPS</w:t>
      <w:tab/>
      <w:tab/>
    </w:r>
    <w:r>
      <w:rPr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8"/>
        <w:szCs w:val="18"/>
      </w:rPr>
      <w:t>/3</w:t>
    </w:r>
  </w:p>
  <w:p>
    <w:pPr>
      <w:pStyle w:val="Footer"/>
      <w:spacing w:before="0" w:after="160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sz w:val="18"/>
        <w:szCs w:val="18"/>
      </w:rPr>
      <w:t>Avenant n°3 à l’accord GEPP du 16 juin 2016 – Docaposte DPS</w:t>
      <w:tab/>
      <w:tab/>
    </w:r>
    <w:r>
      <w:rPr>
        <w:sz w:val="18"/>
        <w:szCs w:val="18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sz w:val="18"/>
        <w:szCs w:val="18"/>
      </w:rPr>
      <w:t>/3</w:t>
    </w:r>
  </w:p>
  <w:p>
    <w:pPr>
      <w:pStyle w:val="Footer"/>
      <w:spacing w:before="0" w:after="160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536" w:leader="none"/>
        <w:tab w:val="right" w:pos="9072" w:leader="none"/>
      </w:tabs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536" w:leader="none"/>
        <w:tab w:val="right" w:pos="9072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fr-FR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>
      <w:rFonts w:ascii="Calibri" w:hAnsi="Calibri" w:eastAsia="Times New Roman" w:cs="Calibri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Calibri" w:hAnsi="Calibri" w:eastAsia="Times New Roman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Policepardfaut">
    <w:name w:val="Police par défaut"/>
    <w:qFormat/>
    <w:rPr/>
  </w:style>
  <w:style w:type="character" w:styleId="Titre1Car">
    <w:name w:val="Titre 1 Car"/>
    <w:qFormat/>
    <w:rPr>
      <w:rFonts w:ascii="Century Gothic" w:hAnsi="Century Gothic" w:eastAsia="Times New Roman" w:cs="Times New Roman"/>
      <w:b/>
      <w:bCs/>
      <w:sz w:val="32"/>
      <w:szCs w:val="32"/>
    </w:rPr>
  </w:style>
  <w:style w:type="character" w:styleId="Titre2Car">
    <w:name w:val="Titre 2 Car"/>
    <w:qFormat/>
    <w:rPr>
      <w:rFonts w:ascii="Century Gothic" w:hAnsi="Century Gothic" w:eastAsia="Times New Roman" w:cs="Times New Roman"/>
      <w:b/>
      <w:bCs/>
      <w:i/>
      <w:iCs/>
      <w:sz w:val="28"/>
      <w:szCs w:val="28"/>
    </w:rPr>
  </w:style>
  <w:style w:type="character" w:styleId="TitreCar">
    <w:name w:val="Titre Car"/>
    <w:qFormat/>
    <w:rPr>
      <w:rFonts w:ascii="Century Gothic" w:hAnsi="Century Gothic" w:eastAsia="Times New Roman" w:cs="Times New Roman"/>
      <w:b/>
      <w:bCs/>
      <w:sz w:val="32"/>
      <w:szCs w:val="32"/>
    </w:rPr>
  </w:style>
  <w:style w:type="character" w:styleId="Accentuationlgre">
    <w:name w:val="Accentuation légère"/>
    <w:qFormat/>
    <w:rPr>
      <w:rFonts w:ascii="Century Gothic" w:hAnsi="Century Gothic" w:cs="Century Gothic"/>
      <w:i/>
      <w:iCs/>
      <w:color w:val="404040"/>
    </w:rPr>
  </w:style>
  <w:style w:type="character" w:styleId="Marquedecommentaire">
    <w:name w:val="Marque de commentaire"/>
    <w:qFormat/>
    <w:rPr>
      <w:sz w:val="16"/>
      <w:szCs w:val="16"/>
    </w:rPr>
  </w:style>
  <w:style w:type="character" w:styleId="CommentaireCar">
    <w:name w:val="Commentaire Car"/>
    <w:qFormat/>
    <w:rPr/>
  </w:style>
  <w:style w:type="character" w:styleId="ObjetducommentaireCar">
    <w:name w:val="Objet du commentaire Car"/>
    <w:qFormat/>
    <w:rPr>
      <w:b/>
      <w:bCs/>
    </w:rPr>
  </w:style>
  <w:style w:type="character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styleId="InternetLink">
    <w:name w:val="Internet Link"/>
    <w:rPr>
      <w:color w:val="0563C1"/>
      <w:u w:val="single"/>
    </w:rPr>
  </w:style>
  <w:style w:type="character" w:styleId="Mentionnonrsolue">
    <w:name w:val="Mention non résolue"/>
    <w:qFormat/>
    <w:rPr>
      <w:color w:val="605E5C"/>
      <w:shd w:fill="E1DFDD" w:val="clear"/>
    </w:rPr>
  </w:style>
  <w:style w:type="character" w:styleId="EntteCar">
    <w:name w:val="En-tête Car"/>
    <w:qFormat/>
    <w:rPr>
      <w:sz w:val="22"/>
      <w:szCs w:val="22"/>
    </w:rPr>
  </w:style>
  <w:style w:type="character" w:styleId="PieddepageCar">
    <w:name w:val="Pied de page Car"/>
    <w:qFormat/>
    <w:rPr>
      <w:sz w:val="22"/>
      <w:szCs w:val="22"/>
    </w:rPr>
  </w:style>
  <w:style w:type="paragraph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mmentaire">
    <w:name w:val="Commentaire"/>
    <w:basedOn w:val="Normal"/>
    <w:qFormat/>
    <w:pPr/>
    <w:rPr>
      <w:sz w:val="20"/>
      <w:szCs w:val="20"/>
    </w:rPr>
  </w:style>
  <w:style w:type="paragraph" w:styleId="Objetducommentaire">
    <w:name w:val="Objet du commentaire"/>
    <w:basedOn w:val="Commentaire"/>
    <w:next w:val="Commentaire"/>
    <w:qFormat/>
    <w:pPr/>
    <w:rPr>
      <w:b/>
      <w:bCs/>
    </w:rPr>
  </w:style>
  <w:style w:type="paragraph" w:styleId="Textedebulles">
    <w:name w:val="Texte de bulles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nsinterligne">
    <w:name w:val="Sans interligne"/>
    <w:qFormat/>
    <w:pPr>
      <w:widowControl/>
    </w:pPr>
    <w:rPr>
      <w:rFonts w:ascii="Arial" w:hAnsi="Arial" w:eastAsia="Times New Roman" w:cs="Arial"/>
      <w:color w:val="auto"/>
      <w:sz w:val="22"/>
      <w:szCs w:val="22"/>
      <w:lang w:val="fr-FR" w:bidi="ar-SA" w:eastAsia="zh-CN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mailto:opnc@syntec.fr" TargetMode="Externa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2019-08-20T17:18:00Z</dcterms:created>
  <dc:language>en-GB</dc:language>
  <cp:lastPrinted>2019-03-13T17:16:00Z</cp:lastPrinted>
  <dcterms:modified xsi:type="dcterms:W3CDTF">2019-08-20T17:18:00Z</dcterms:modified>
  <cp:revision>2</cp:revision>
</cp:coreProperties>
</file>