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8842D7" w:rsidR="008842D7" w:rsidRDefault="00BF117D">
      <w:bookmarkStart w:id="0" w:name="_GoBack"/>
      <w:bookmarkEnd w:id="0"/>
      <w:r>
        <w:rPr>
          <w:noProof/>
        </w:rPr>
        <w:drawing>
          <wp:anchor allowOverlap="1" behindDoc="0" distB="0" distL="114300" distR="114300" distT="0" layoutInCell="1" locked="0" relativeHeight="251661312" simplePos="0" wp14:anchorId="35EC6E20" wp14:editId="4A498BF4">
            <wp:simplePos x="0" y="0"/>
            <wp:positionH relativeFrom="column">
              <wp:posOffset>4658264</wp:posOffset>
            </wp:positionH>
            <wp:positionV relativeFrom="paragraph">
              <wp:posOffset>-807720</wp:posOffset>
            </wp:positionV>
            <wp:extent cx="1346835" cy="807720"/>
            <wp:effectExtent b="0" l="19050" r="5715" t="0"/>
            <wp:wrapNone/>
            <wp:docPr descr="Intersnack_Logo_RGB"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Intersnack_Logo_RGB" id="0" name="Picture 5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allowOverlap="1" behindDoc="0" distB="0" distL="114300" distR="114300" distT="0" layoutInCell="1" locked="0" relativeHeight="251659264" simplePos="0" wp14:anchorId="4A2F8A06" wp14:editId="1CCED283">
            <wp:simplePos x="0" y="0"/>
            <wp:positionH relativeFrom="margin">
              <wp:align>left</wp:align>
            </wp:positionH>
            <wp:positionV relativeFrom="paragraph">
              <wp:posOffset>-513990</wp:posOffset>
            </wp:positionV>
            <wp:extent cx="1372870" cy="477520"/>
            <wp:effectExtent b="55880" l="19050" r="17780" t="571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223063">
                      <a:off x="0" y="0"/>
                      <a:ext cx="13728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P="008842D7" w:rsidR="008842D7" w:rsidRDefault="008842D7" w:rsidRPr="00366D5D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jc w:val="center"/>
        <w:outlineLvl w:val="0"/>
        <w:rPr>
          <w:rFonts w:ascii="Verdana" w:cs="Arial" w:hAnsi="Verdana"/>
          <w:b/>
          <w:sz w:val="22"/>
          <w:szCs w:val="22"/>
        </w:rPr>
      </w:pPr>
      <w:r w:rsidRPr="00366D5D">
        <w:rPr>
          <w:rFonts w:ascii="Verdana" w:cs="Arial" w:hAnsi="Verdana"/>
          <w:b/>
          <w:sz w:val="22"/>
          <w:szCs w:val="22"/>
        </w:rPr>
        <w:t xml:space="preserve">ACCORD COLLECTIF </w:t>
      </w:r>
    </w:p>
    <w:p w:rsidP="008842D7" w:rsidR="008842D7" w:rsidRDefault="008842D7" w:rsidRPr="00366D5D">
      <w:pPr>
        <w:pBdr>
          <w:top w:color="auto" w:space="1" w:sz="4" w:val="single"/>
          <w:left w:color="auto" w:space="4" w:sz="4" w:val="single"/>
          <w:bottom w:color="auto" w:space="1" w:sz="4" w:val="single"/>
          <w:right w:color="auto" w:space="4" w:sz="4" w:val="single"/>
        </w:pBdr>
        <w:jc w:val="center"/>
        <w:outlineLvl w:val="0"/>
        <w:rPr>
          <w:rFonts w:ascii="Verdana" w:cs="Arial" w:hAnsi="Verdana"/>
          <w:b/>
          <w:sz w:val="22"/>
          <w:szCs w:val="22"/>
        </w:rPr>
      </w:pPr>
      <w:r w:rsidRPr="00366D5D">
        <w:rPr>
          <w:rFonts w:ascii="Verdana" w:cs="Arial" w:hAnsi="Verdana"/>
          <w:b/>
          <w:sz w:val="22"/>
          <w:szCs w:val="22"/>
        </w:rPr>
        <w:t>NEGOCIATION</w:t>
      </w:r>
      <w:r>
        <w:rPr>
          <w:rFonts w:ascii="Verdana" w:cs="Arial" w:hAnsi="Verdana"/>
          <w:b/>
          <w:sz w:val="22"/>
          <w:szCs w:val="22"/>
        </w:rPr>
        <w:t>S</w:t>
      </w:r>
      <w:r w:rsidRPr="00366D5D">
        <w:rPr>
          <w:rFonts w:ascii="Verdana" w:cs="Arial" w:hAnsi="Verdana"/>
          <w:b/>
          <w:sz w:val="22"/>
          <w:szCs w:val="22"/>
        </w:rPr>
        <w:t xml:space="preserve"> ANNUELLE</w:t>
      </w:r>
      <w:r>
        <w:rPr>
          <w:rFonts w:ascii="Verdana" w:cs="Arial" w:hAnsi="Verdana"/>
          <w:b/>
          <w:sz w:val="22"/>
          <w:szCs w:val="22"/>
        </w:rPr>
        <w:t>S</w:t>
      </w:r>
      <w:r w:rsidRPr="00366D5D">
        <w:rPr>
          <w:rFonts w:ascii="Verdana" w:cs="Arial" w:hAnsi="Verdana"/>
          <w:b/>
          <w:sz w:val="22"/>
          <w:szCs w:val="22"/>
        </w:rPr>
        <w:t xml:space="preserve"> OBLIGATOIRE</w:t>
      </w:r>
      <w:r w:rsidR="00924257">
        <w:rPr>
          <w:rFonts w:ascii="Verdana" w:cs="Arial" w:hAnsi="Verdana"/>
          <w:b/>
          <w:sz w:val="22"/>
          <w:szCs w:val="22"/>
        </w:rPr>
        <w:t>S 2017</w:t>
      </w:r>
    </w:p>
    <w:p w:rsidP="008842D7" w:rsidR="00E0762F" w:rsidRDefault="00E0762F" w:rsidRPr="00366D5D">
      <w:pPr>
        <w:jc w:val="both"/>
        <w:rPr>
          <w:rFonts w:ascii="Verdana" w:cs="Arial" w:hAnsi="Verdana"/>
          <w:sz w:val="22"/>
          <w:szCs w:val="22"/>
        </w:rPr>
      </w:pPr>
    </w:p>
    <w:p w:rsidP="008842D7" w:rsidR="008842D7" w:rsidRDefault="008842D7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>Entre :</w:t>
      </w: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La Société </w:t>
      </w:r>
      <w:r>
        <w:rPr>
          <w:rFonts w:ascii="Verdana" w:cs="Arial" w:hAnsi="Verdana"/>
          <w:b/>
          <w:sz w:val="21"/>
          <w:szCs w:val="21"/>
        </w:rPr>
        <w:t>BENOIT SNC</w:t>
      </w:r>
    </w:p>
    <w:p w:rsidP="008842D7" w:rsidR="008842D7" w:rsidRDefault="008842D7" w:rsidRPr="008842D7">
      <w:pPr>
        <w:jc w:val="both"/>
        <w:rPr>
          <w:rFonts w:ascii="Verdana" w:cs="Arial" w:hAnsi="Verdana"/>
          <w:sz w:val="21"/>
          <w:szCs w:val="21"/>
        </w:rPr>
      </w:pPr>
      <w:r w:rsidRPr="008842D7">
        <w:rPr>
          <w:rFonts w:ascii="Verdana" w:cs="Arial" w:hAnsi="Verdana"/>
          <w:sz w:val="21"/>
          <w:szCs w:val="21"/>
        </w:rPr>
        <w:t xml:space="preserve">Dont le siège social est situé à 15 rue du Claret, ZI Montbertrand, 38230 CHARVIEU CHAVAGNEUX, </w:t>
      </w:r>
    </w:p>
    <w:p w:rsidP="008842D7" w:rsidR="008842D7" w:rsidRDefault="008842D7" w:rsidRPr="008842D7">
      <w:pPr>
        <w:jc w:val="both"/>
        <w:rPr>
          <w:rFonts w:ascii="Verdana" w:cs="Arial" w:hAnsi="Verdana"/>
          <w:sz w:val="21"/>
          <w:szCs w:val="21"/>
        </w:rPr>
      </w:pPr>
      <w:r w:rsidRPr="008842D7">
        <w:rPr>
          <w:rFonts w:ascii="Verdana" w:cs="Arial" w:hAnsi="Verdana"/>
          <w:sz w:val="21"/>
          <w:szCs w:val="21"/>
        </w:rPr>
        <w:t>Représentée par, agissant en qualité Directeur Général et dûment habilité aux fins des présentes,</w:t>
      </w: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>
      <w:pPr>
        <w:ind w:left="705"/>
        <w:jc w:val="right"/>
        <w:outlineLvl w:val="0"/>
        <w:rPr>
          <w:rFonts w:ascii="Verdana" w:cs="Arial" w:hAnsi="Verdana"/>
          <w:b/>
          <w:sz w:val="21"/>
          <w:szCs w:val="21"/>
          <w:u w:val="single"/>
        </w:rPr>
      </w:pPr>
      <w:r w:rsidRPr="00706E49">
        <w:rPr>
          <w:rFonts w:ascii="Verdana" w:cs="Arial" w:hAnsi="Verdana"/>
          <w:b/>
          <w:sz w:val="21"/>
          <w:szCs w:val="21"/>
          <w:u w:val="single"/>
        </w:rPr>
        <w:t>D’une part,</w:t>
      </w:r>
    </w:p>
    <w:p w:rsidP="008842D7" w:rsidR="008842D7" w:rsidRDefault="008842D7">
      <w:pPr>
        <w:outlineLvl w:val="0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Et : </w:t>
      </w:r>
    </w:p>
    <w:p w:rsidP="008842D7" w:rsidR="008842D7" w:rsidRDefault="008842D7" w:rsidRPr="00706E49">
      <w:pPr>
        <w:outlineLvl w:val="0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numPr>
          <w:ilvl w:val="0"/>
          <w:numId w:val="3"/>
        </w:numPr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 </w:t>
      </w:r>
      <w:r>
        <w:rPr>
          <w:rFonts w:ascii="Verdana" w:cs="Arial" w:hAnsi="Verdana"/>
          <w:b/>
          <w:sz w:val="21"/>
          <w:szCs w:val="21"/>
        </w:rPr>
        <w:t>L’Organisation syndicale CFDT</w:t>
      </w:r>
      <w:r w:rsidRPr="00706E49">
        <w:rPr>
          <w:rFonts w:ascii="Verdana" w:cs="Arial" w:hAnsi="Verdana"/>
          <w:sz w:val="21"/>
          <w:szCs w:val="21"/>
        </w:rPr>
        <w:t xml:space="preserve">, représentée </w:t>
      </w:r>
      <w:r>
        <w:rPr>
          <w:rFonts w:ascii="Verdana" w:cs="Arial" w:hAnsi="Verdana"/>
          <w:sz w:val="21"/>
          <w:szCs w:val="21"/>
        </w:rPr>
        <w:t>par</w:t>
      </w:r>
      <w:r w:rsidRPr="00706E49">
        <w:rPr>
          <w:rFonts w:ascii="Verdana" w:cs="Arial" w:hAnsi="Verdana"/>
          <w:sz w:val="21"/>
          <w:szCs w:val="21"/>
        </w:rPr>
        <w:t>, en sa qualité de Délégué Syndical,</w:t>
      </w:r>
    </w:p>
    <w:p w:rsidP="008842D7" w:rsidR="008842D7" w:rsidRDefault="008842D7" w:rsidRPr="00706E49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numPr>
          <w:ilvl w:val="0"/>
          <w:numId w:val="3"/>
        </w:numPr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b/>
          <w:sz w:val="21"/>
          <w:szCs w:val="21"/>
        </w:rPr>
        <w:t>L’Organisation syndicale CGT</w:t>
      </w:r>
      <w:r w:rsidRPr="00706E49">
        <w:rPr>
          <w:rFonts w:ascii="Verdana" w:cs="Arial" w:hAnsi="Verdana"/>
          <w:sz w:val="21"/>
          <w:szCs w:val="21"/>
        </w:rPr>
        <w:t>, représentée par, en sa qualité de Délégué Syndical,</w:t>
      </w:r>
    </w:p>
    <w:p w:rsidP="008842D7" w:rsidR="008842D7" w:rsidRDefault="008842D7" w:rsidRPr="00706E49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ind w:left="705"/>
        <w:jc w:val="right"/>
        <w:outlineLvl w:val="0"/>
        <w:rPr>
          <w:rFonts w:ascii="Verdana" w:cs="Arial" w:hAnsi="Verdana"/>
          <w:b/>
          <w:sz w:val="21"/>
          <w:szCs w:val="21"/>
          <w:u w:val="single"/>
        </w:rPr>
      </w:pPr>
      <w:r w:rsidRPr="00706E49">
        <w:rPr>
          <w:rFonts w:ascii="Verdana" w:cs="Arial" w:hAnsi="Verdana"/>
          <w:b/>
          <w:sz w:val="21"/>
          <w:szCs w:val="21"/>
          <w:u w:val="single"/>
        </w:rPr>
        <w:t>D’autre part,</w:t>
      </w:r>
    </w:p>
    <w:p w:rsidP="008842D7" w:rsidR="008842D7" w:rsidRDefault="008842D7">
      <w:pPr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b/>
          <w:sz w:val="21"/>
          <w:szCs w:val="21"/>
          <w:u w:val="single"/>
        </w:rPr>
      </w:pPr>
      <w:r w:rsidRPr="00706E49">
        <w:rPr>
          <w:rFonts w:ascii="Verdana" w:cs="Arial" w:hAnsi="Verdana"/>
          <w:b/>
          <w:sz w:val="21"/>
          <w:szCs w:val="21"/>
          <w:u w:val="single"/>
        </w:rPr>
        <w:t>Préambule</w:t>
      </w:r>
      <w:r w:rsidRPr="00706E49">
        <w:rPr>
          <w:rFonts w:ascii="Verdana" w:cs="Arial" w:hAnsi="Verdana"/>
          <w:b/>
          <w:sz w:val="21"/>
          <w:szCs w:val="21"/>
        </w:rPr>
        <w:t> :</w:t>
      </w: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Conformément aux dispositions des articles </w:t>
      </w:r>
      <w:r w:rsidRPr="00706E49">
        <w:rPr>
          <w:rFonts w:ascii="Verdana" w:cs="Arial" w:hAnsi="Verdana"/>
          <w:color w:val="000000"/>
          <w:sz w:val="21"/>
          <w:szCs w:val="21"/>
        </w:rPr>
        <w:t xml:space="preserve">L. 2242-1 </w:t>
      </w:r>
      <w:r w:rsidRPr="00706E49">
        <w:rPr>
          <w:rFonts w:ascii="Verdana" w:cs="Arial" w:hAnsi="Verdana"/>
          <w:sz w:val="21"/>
          <w:szCs w:val="21"/>
        </w:rPr>
        <w:t xml:space="preserve">et suivants du Code du Travail, une négociation s’est engagée le </w:t>
      </w:r>
      <w:r w:rsidR="00B0277A">
        <w:rPr>
          <w:rFonts w:ascii="Verdana" w:cs="Arial" w:hAnsi="Verdana"/>
          <w:sz w:val="21"/>
          <w:szCs w:val="21"/>
        </w:rPr>
        <w:t>28 septembre 2017</w:t>
      </w:r>
      <w:r w:rsidRPr="00706E49">
        <w:rPr>
          <w:rFonts w:ascii="Verdana" w:cs="Arial" w:hAnsi="Verdana"/>
          <w:sz w:val="21"/>
          <w:szCs w:val="21"/>
        </w:rPr>
        <w:t xml:space="preserve"> au titre de la Négociation Annuelle Obligatoire</w:t>
      </w:r>
      <w:r w:rsidR="00B0277A">
        <w:rPr>
          <w:rFonts w:ascii="Verdana" w:cs="Arial" w:hAnsi="Verdana"/>
          <w:sz w:val="21"/>
          <w:szCs w:val="21"/>
        </w:rPr>
        <w:t xml:space="preserve"> 2017</w:t>
      </w:r>
      <w:r>
        <w:rPr>
          <w:rFonts w:ascii="Verdana" w:cs="Arial" w:hAnsi="Verdana"/>
          <w:sz w:val="21"/>
          <w:szCs w:val="21"/>
        </w:rPr>
        <w:t xml:space="preserve"> </w:t>
      </w:r>
      <w:r w:rsidRPr="00706E49">
        <w:rPr>
          <w:rFonts w:ascii="Verdana" w:cs="Arial" w:hAnsi="Verdana"/>
          <w:sz w:val="21"/>
          <w:szCs w:val="21"/>
        </w:rPr>
        <w:t>entre la Direction et les organisations syndicales représentatives dans l’entreprise.</w:t>
      </w: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>Les négociati</w:t>
      </w:r>
      <w:r>
        <w:rPr>
          <w:rFonts w:ascii="Verdana" w:cs="Arial" w:hAnsi="Verdana"/>
          <w:sz w:val="21"/>
          <w:szCs w:val="21"/>
        </w:rPr>
        <w:t xml:space="preserve">ons se sont déroulées lors des </w:t>
      </w:r>
      <w:r w:rsidR="00CF3C98">
        <w:rPr>
          <w:rFonts w:ascii="Verdana" w:cs="Arial" w:hAnsi="Verdana"/>
          <w:sz w:val="21"/>
          <w:szCs w:val="21"/>
        </w:rPr>
        <w:t>3</w:t>
      </w:r>
      <w:r w:rsidRPr="00706E49">
        <w:rPr>
          <w:rFonts w:ascii="Verdana" w:cs="Arial" w:hAnsi="Verdana"/>
          <w:sz w:val="21"/>
          <w:szCs w:val="21"/>
        </w:rPr>
        <w:t xml:space="preserve"> réunions suivantes : </w:t>
      </w:r>
    </w:p>
    <w:p w:rsidP="008842D7" w:rsidR="00127F83" w:rsidRDefault="00127F83" w:rsidRPr="00706E49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7E6ECD">
      <w:pPr>
        <w:numPr>
          <w:ilvl w:val="1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28 septembre 2017</w:t>
      </w:r>
    </w:p>
    <w:p w:rsidP="008842D7" w:rsidR="008842D7" w:rsidRDefault="007E6ECD">
      <w:pPr>
        <w:numPr>
          <w:ilvl w:val="1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05 octobre 2017</w:t>
      </w:r>
    </w:p>
    <w:p w:rsidP="008842D7" w:rsidR="008842D7" w:rsidRDefault="007E6ECD">
      <w:pPr>
        <w:numPr>
          <w:ilvl w:val="1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10 octobre 2017</w:t>
      </w:r>
    </w:p>
    <w:p w:rsidP="008842D7" w:rsidR="008842D7" w:rsidRDefault="008842D7">
      <w:pPr>
        <w:jc w:val="both"/>
        <w:rPr>
          <w:rFonts w:ascii="Verdana" w:cs="Arial" w:hAnsi="Verdana"/>
          <w:sz w:val="21"/>
          <w:szCs w:val="21"/>
        </w:rPr>
      </w:pP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Ces négociations se sont déroulées en présence de :</w:t>
      </w:r>
    </w:p>
    <w:p w:rsidP="008842D7" w:rsidR="007576F8" w:rsidRDefault="007576F8" w:rsidRPr="007576F8">
      <w:pPr>
        <w:jc w:val="both"/>
        <w:rPr>
          <w:rFonts w:ascii="Verdana" w:cs="Arial" w:hAnsi="Verdana"/>
          <w:sz w:val="21"/>
          <w:szCs w:val="21"/>
          <w:u w:val="single"/>
        </w:rPr>
      </w:pPr>
      <w:r w:rsidRPr="007576F8">
        <w:rPr>
          <w:rFonts w:ascii="Verdana" w:cs="Arial" w:hAnsi="Verdana"/>
          <w:sz w:val="21"/>
          <w:szCs w:val="21"/>
          <w:u w:val="single"/>
        </w:rPr>
        <w:t>Pour les organisations syndicales</w:t>
      </w:r>
    </w:p>
    <w:p w:rsidP="008842D7" w:rsidR="0029212B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CFDT : </w:t>
      </w: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CGT : </w:t>
      </w: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</w:p>
    <w:p w:rsidP="008842D7" w:rsidR="007576F8" w:rsidRDefault="007576F8" w:rsidRPr="007576F8">
      <w:pPr>
        <w:jc w:val="both"/>
        <w:rPr>
          <w:rFonts w:ascii="Verdana" w:cs="Arial" w:hAnsi="Verdana"/>
          <w:sz w:val="21"/>
          <w:szCs w:val="21"/>
          <w:u w:val="single"/>
        </w:rPr>
      </w:pPr>
      <w:r w:rsidRPr="007576F8">
        <w:rPr>
          <w:rFonts w:ascii="Verdana" w:cs="Arial" w:hAnsi="Verdana"/>
          <w:sz w:val="21"/>
          <w:szCs w:val="21"/>
          <w:u w:val="single"/>
        </w:rPr>
        <w:t>Pour la direction :</w:t>
      </w: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Les négociations portent sur la population employé</w:t>
      </w:r>
      <w:r w:rsidR="00DE6E2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>, ouvrier</w:t>
      </w:r>
      <w:r w:rsidR="00DE6E2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 xml:space="preserve"> et agent</w:t>
      </w:r>
      <w:r w:rsidR="00DE6E2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 xml:space="preserve"> de maîtrise.</w:t>
      </w: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Conformément aux dispositions légales, les négociations entre les parties ont notamment porté sur les thématiques suivantes : </w:t>
      </w:r>
    </w:p>
    <w:p w:rsidP="007E6ECD" w:rsidR="007E6ECD" w:rsidRDefault="007E6ECD" w:rsidRPr="007E6ECD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7E6ECD">
        <w:rPr>
          <w:rFonts w:ascii="Verdana" w:cs="Arial" w:hAnsi="Verdana"/>
          <w:sz w:val="22"/>
          <w:szCs w:val="22"/>
        </w:rPr>
        <w:t>Les salaires effectifs et la suppression des éventuels écarts de rémunérations entre hommes et les femmes</w:t>
      </w:r>
      <w:r>
        <w:rPr>
          <w:rFonts w:ascii="Verdana" w:cs="Arial" w:hAnsi="Verdana"/>
          <w:sz w:val="22"/>
          <w:szCs w:val="22"/>
        </w:rPr>
        <w:t> ;</w:t>
      </w:r>
    </w:p>
    <w:p w:rsidP="007E6ECD" w:rsidR="007E6ECD" w:rsidRDefault="007E6ECD" w:rsidRPr="006E3A23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t>La durée du travail ;</w:t>
      </w:r>
    </w:p>
    <w:p w:rsidP="007E6ECD" w:rsidR="007E6ECD" w:rsidRDefault="007E6ECD" w:rsidRPr="006E3A23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t>L’égalité professionnelle entre les femmes et les hommes dans l’entreprise ;</w:t>
      </w:r>
    </w:p>
    <w:p w:rsidP="007E6ECD" w:rsidR="007E6ECD" w:rsidRDefault="007E6ECD" w:rsidRPr="006E3A23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t>L’évolution de l’emploi dans l’entreprise ;</w:t>
      </w:r>
    </w:p>
    <w:p w:rsidP="007E6ECD" w:rsidR="007E6ECD" w:rsidRDefault="007E6ECD" w:rsidRPr="006E3A23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t>L’insertion professionnelle et le maintien dans l’emploi des travailleurs handicapés ;</w:t>
      </w:r>
    </w:p>
    <w:p w:rsidP="007E6ECD" w:rsidR="007E6ECD" w:rsidRDefault="007E6ECD" w:rsidRPr="006E3A23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lastRenderedPageBreak/>
        <w:t>La prévoyance maladie ;</w:t>
      </w:r>
    </w:p>
    <w:p w:rsidP="007E6ECD" w:rsidR="007E6ECD" w:rsidRDefault="007E6ECD">
      <w:pPr>
        <w:pStyle w:val="Paragraphedeliste"/>
        <w:numPr>
          <w:ilvl w:val="0"/>
          <w:numId w:val="4"/>
        </w:numPr>
        <w:jc w:val="both"/>
        <w:rPr>
          <w:rFonts w:ascii="Verdana" w:cs="Arial" w:hAnsi="Verdana"/>
          <w:sz w:val="22"/>
          <w:szCs w:val="22"/>
        </w:rPr>
      </w:pPr>
      <w:r w:rsidRPr="006E3A23">
        <w:rPr>
          <w:rFonts w:ascii="Verdana" w:cs="Arial" w:hAnsi="Verdana"/>
          <w:sz w:val="22"/>
          <w:szCs w:val="22"/>
        </w:rPr>
        <w:t>L’épargne salariale.</w:t>
      </w:r>
    </w:p>
    <w:p w:rsidP="008842D7" w:rsidR="00127F83" w:rsidRDefault="00127F83" w:rsidRPr="00706E49">
      <w:pPr>
        <w:ind w:left="708"/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Les parties ont abouti à la conclusion du présent accord. </w:t>
      </w:r>
    </w:p>
    <w:p w:rsidP="008842D7" w:rsidR="00720883" w:rsidRDefault="00720883">
      <w:pPr>
        <w:jc w:val="both"/>
        <w:rPr>
          <w:rFonts w:ascii="Verdana" w:cs="Arial" w:hAnsi="Verdana"/>
          <w:sz w:val="21"/>
          <w:szCs w:val="21"/>
        </w:rPr>
      </w:pPr>
    </w:p>
    <w:p w:rsidP="008842D7" w:rsidR="00BF117D" w:rsidRDefault="00BF117D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BF117D" w:rsidRPr="00706E49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b/>
          <w:sz w:val="21"/>
          <w:szCs w:val="21"/>
          <w:u w:val="single"/>
        </w:rPr>
        <w:t>Ar</w:t>
      </w:r>
      <w:r w:rsidR="008842D7" w:rsidRPr="00706E49">
        <w:rPr>
          <w:rFonts w:ascii="Verdana" w:cs="Arial" w:hAnsi="Verdana"/>
          <w:b/>
          <w:sz w:val="21"/>
          <w:szCs w:val="21"/>
          <w:u w:val="single"/>
        </w:rPr>
        <w:t xml:space="preserve">ticle 1 – Salaires </w:t>
      </w:r>
    </w:p>
    <w:p w:rsidP="008842D7" w:rsidR="006A63C5" w:rsidRDefault="006A63C5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471BD2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>Les parties conviennent de l’évolution des salaires selon le calendrier suivant :</w:t>
      </w:r>
      <w:r w:rsidR="003B7D13">
        <w:rPr>
          <w:rFonts w:ascii="Verdana" w:cs="Arial" w:hAnsi="Verdana"/>
          <w:sz w:val="21"/>
          <w:szCs w:val="21"/>
        </w:rPr>
        <w:t xml:space="preserve"> + </w:t>
      </w:r>
      <w:r w:rsidR="00E823FD">
        <w:rPr>
          <w:rFonts w:ascii="Verdana" w:cs="Arial" w:hAnsi="Verdana"/>
          <w:sz w:val="21"/>
          <w:szCs w:val="21"/>
        </w:rPr>
        <w:t>1</w:t>
      </w:r>
      <w:r w:rsidR="007E6ECD">
        <w:rPr>
          <w:rFonts w:ascii="Verdana" w:cs="Arial" w:hAnsi="Verdana"/>
          <w:sz w:val="21"/>
          <w:szCs w:val="21"/>
        </w:rPr>
        <w:t>,6</w:t>
      </w:r>
      <w:r w:rsidRPr="00706E49">
        <w:rPr>
          <w:rFonts w:ascii="Verdana" w:cs="Arial" w:hAnsi="Verdana"/>
          <w:sz w:val="21"/>
          <w:szCs w:val="21"/>
        </w:rPr>
        <w:t xml:space="preserve">% </w:t>
      </w:r>
      <w:r>
        <w:rPr>
          <w:rFonts w:ascii="Verdana" w:cs="Arial" w:hAnsi="Verdana"/>
          <w:sz w:val="21"/>
          <w:szCs w:val="21"/>
        </w:rPr>
        <w:t>des taux horaires de base, avec effet rétroactif au 1</w:t>
      </w:r>
      <w:r w:rsidRPr="00706E49">
        <w:rPr>
          <w:rFonts w:ascii="Verdana" w:cs="Arial" w:hAnsi="Verdana"/>
          <w:sz w:val="21"/>
          <w:szCs w:val="21"/>
          <w:vertAlign w:val="superscript"/>
        </w:rPr>
        <w:t>er</w:t>
      </w:r>
      <w:r w:rsidR="00A34B6A">
        <w:rPr>
          <w:rFonts w:ascii="Verdana" w:cs="Arial" w:hAnsi="Verdana"/>
          <w:sz w:val="21"/>
          <w:szCs w:val="21"/>
        </w:rPr>
        <w:t xml:space="preserve"> </w:t>
      </w:r>
      <w:r w:rsidR="007E6ECD">
        <w:rPr>
          <w:rFonts w:ascii="Verdana" w:cs="Arial" w:hAnsi="Verdana"/>
          <w:sz w:val="21"/>
          <w:szCs w:val="21"/>
        </w:rPr>
        <w:t>juillet 2017</w:t>
      </w:r>
      <w:r>
        <w:rPr>
          <w:rFonts w:ascii="Verdana" w:cs="Arial" w:hAnsi="Verdana"/>
          <w:sz w:val="21"/>
          <w:szCs w:val="21"/>
        </w:rPr>
        <w:t>.</w:t>
      </w:r>
    </w:p>
    <w:p w:rsidP="006F65F4" w:rsidR="00A34B6A" w:rsidRDefault="00A34B6A">
      <w:pPr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224B61" w:rsidR="00F92658" w:rsidRDefault="00F92658" w:rsidRPr="00B84E2E">
      <w:pPr>
        <w:jc w:val="both"/>
        <w:outlineLvl w:val="0"/>
        <w:rPr>
          <w:rFonts w:ascii="Verdana" w:cs="Arial" w:hAnsi="Verdana"/>
          <w:sz w:val="21"/>
          <w:szCs w:val="21"/>
        </w:rPr>
      </w:pPr>
      <w:r w:rsidRPr="00B84E2E">
        <w:rPr>
          <w:rFonts w:ascii="Verdana" w:cs="Arial" w:hAnsi="Verdana"/>
          <w:b/>
          <w:sz w:val="21"/>
          <w:szCs w:val="21"/>
          <w:u w:val="single"/>
        </w:rPr>
        <w:t xml:space="preserve">Article </w:t>
      </w:r>
      <w:r w:rsidR="00D06ECF">
        <w:rPr>
          <w:rFonts w:ascii="Verdana" w:cs="Arial" w:hAnsi="Verdana"/>
          <w:b/>
          <w:sz w:val="21"/>
          <w:szCs w:val="21"/>
          <w:u w:val="single"/>
        </w:rPr>
        <w:t>2</w:t>
      </w:r>
      <w:r>
        <w:rPr>
          <w:rFonts w:ascii="Verdana" w:cs="Arial" w:hAnsi="Verdana"/>
          <w:b/>
          <w:sz w:val="21"/>
          <w:szCs w:val="21"/>
          <w:u w:val="single"/>
        </w:rPr>
        <w:t xml:space="preserve"> –</w:t>
      </w:r>
      <w:r w:rsidR="007E6ECD">
        <w:rPr>
          <w:rFonts w:ascii="Verdana" w:cs="Arial" w:hAnsi="Verdana"/>
          <w:b/>
          <w:sz w:val="21"/>
          <w:szCs w:val="21"/>
          <w:u w:val="single"/>
        </w:rPr>
        <w:t xml:space="preserve"> taux horaire minimum pour le poste « coordinateur »</w:t>
      </w:r>
    </w:p>
    <w:p w:rsidP="006A63C5" w:rsidR="009C085D" w:rsidRDefault="009C085D">
      <w:pPr>
        <w:jc w:val="both"/>
        <w:rPr>
          <w:rFonts w:ascii="Verdana" w:cs="Arial" w:hAnsi="Verdana"/>
          <w:sz w:val="21"/>
          <w:szCs w:val="21"/>
        </w:rPr>
      </w:pPr>
    </w:p>
    <w:p w:rsidP="006A63C5" w:rsidR="007E6ECD" w:rsidRDefault="007E6ECD" w:rsidRPr="006A63C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 taux horaire</w:t>
      </w:r>
      <w:r w:rsidR="00D06ECF">
        <w:rPr>
          <w:rFonts w:ascii="Verdana" w:cs="Arial" w:hAnsi="Verdana"/>
          <w:sz w:val="21"/>
          <w:szCs w:val="21"/>
        </w:rPr>
        <w:t xml:space="preserve"> </w:t>
      </w:r>
      <w:r w:rsidR="009C085D">
        <w:rPr>
          <w:rFonts w:ascii="Verdana" w:cs="Arial" w:hAnsi="Verdana"/>
          <w:sz w:val="21"/>
          <w:szCs w:val="21"/>
        </w:rPr>
        <w:t xml:space="preserve">minimum </w:t>
      </w:r>
      <w:r w:rsidR="00D06ECF">
        <w:rPr>
          <w:rFonts w:ascii="Verdana" w:cs="Arial" w:hAnsi="Verdana"/>
          <w:sz w:val="21"/>
          <w:szCs w:val="21"/>
        </w:rPr>
        <w:t>(salaire de base)</w:t>
      </w:r>
      <w:r w:rsidR="009C085D">
        <w:rPr>
          <w:rFonts w:ascii="Verdana" w:cs="Arial" w:hAnsi="Verdana"/>
          <w:sz w:val="21"/>
          <w:szCs w:val="21"/>
        </w:rPr>
        <w:t xml:space="preserve"> du poste de « coordinateur »</w:t>
      </w:r>
      <w:r w:rsidR="009C085D" w:rsidRPr="009C085D">
        <w:rPr>
          <w:rFonts w:ascii="Verdana" w:cs="Arial" w:hAnsi="Verdana"/>
          <w:sz w:val="21"/>
          <w:szCs w:val="21"/>
        </w:rPr>
        <w:t xml:space="preserve"> </w:t>
      </w:r>
      <w:r w:rsidR="009C085D">
        <w:rPr>
          <w:rFonts w:ascii="Verdana" w:cs="Arial" w:hAnsi="Verdana"/>
          <w:sz w:val="21"/>
          <w:szCs w:val="21"/>
        </w:rPr>
        <w:t xml:space="preserve">dédié à l’organisation IWS </w:t>
      </w:r>
      <w:r>
        <w:rPr>
          <w:rFonts w:ascii="Verdana" w:cs="Arial" w:hAnsi="Verdana"/>
          <w:sz w:val="21"/>
          <w:szCs w:val="21"/>
        </w:rPr>
        <w:t>sera de 12.08 €</w:t>
      </w:r>
      <w:r w:rsidR="00D06ECF">
        <w:rPr>
          <w:rFonts w:ascii="Verdana" w:cs="Arial" w:hAnsi="Verdana"/>
          <w:sz w:val="21"/>
          <w:szCs w:val="21"/>
        </w:rPr>
        <w:t xml:space="preserve"> brut</w:t>
      </w:r>
      <w:r>
        <w:rPr>
          <w:rFonts w:ascii="Verdana" w:cs="Arial" w:hAnsi="Verdana"/>
          <w:sz w:val="21"/>
          <w:szCs w:val="21"/>
        </w:rPr>
        <w:t>.</w:t>
      </w:r>
    </w:p>
    <w:p w:rsidP="008842D7" w:rsidR="00855FAA" w:rsidRDefault="00855FAA">
      <w:pPr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8842D7" w:rsidRDefault="00D06ECF" w:rsidRPr="00B84E2E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b/>
          <w:sz w:val="21"/>
          <w:szCs w:val="21"/>
          <w:u w:val="single"/>
        </w:rPr>
        <w:t>Article 3</w:t>
      </w:r>
      <w:r w:rsidR="008842D7" w:rsidRPr="00B84E2E">
        <w:rPr>
          <w:rFonts w:ascii="Verdana" w:cs="Arial" w:hAnsi="Verdana"/>
          <w:b/>
          <w:sz w:val="21"/>
          <w:szCs w:val="21"/>
          <w:u w:val="single"/>
        </w:rPr>
        <w:t xml:space="preserve"> – Prime</w:t>
      </w:r>
      <w:r w:rsidR="00946F3B">
        <w:rPr>
          <w:rFonts w:ascii="Verdana" w:cs="Arial" w:hAnsi="Verdana"/>
          <w:b/>
          <w:sz w:val="21"/>
          <w:szCs w:val="21"/>
          <w:u w:val="single"/>
        </w:rPr>
        <w:t>s</w:t>
      </w:r>
      <w:r w:rsidR="00A34B6A">
        <w:rPr>
          <w:rFonts w:ascii="Verdana" w:cs="Arial" w:hAnsi="Verdana"/>
          <w:b/>
          <w:sz w:val="21"/>
          <w:szCs w:val="21"/>
          <w:u w:val="single"/>
        </w:rPr>
        <w:t xml:space="preserve"> et autres accessoires</w:t>
      </w:r>
    </w:p>
    <w:p w:rsidP="008842D7" w:rsidR="00BF117D" w:rsidRDefault="00BF117D">
      <w:pPr>
        <w:ind w:left="705"/>
        <w:jc w:val="both"/>
        <w:rPr>
          <w:rFonts w:ascii="Verdana" w:cs="Arial" w:hAnsi="Verdana"/>
          <w:sz w:val="21"/>
          <w:szCs w:val="21"/>
        </w:rPr>
      </w:pPr>
    </w:p>
    <w:p w:rsidP="00245C3D" w:rsidR="008842D7" w:rsidRDefault="00D06ECF">
      <w:pPr>
        <w:ind w:firstLine="708"/>
        <w:jc w:val="both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>3</w:t>
      </w:r>
      <w:r w:rsidR="00946F3B">
        <w:rPr>
          <w:rFonts w:ascii="Verdana" w:cs="Arial" w:hAnsi="Verdana"/>
          <w:b/>
          <w:sz w:val="21"/>
          <w:szCs w:val="21"/>
          <w:u w:val="single"/>
        </w:rPr>
        <w:t xml:space="preserve">.1 : </w:t>
      </w:r>
      <w:r>
        <w:rPr>
          <w:rFonts w:ascii="Verdana" w:cs="Arial" w:hAnsi="Verdana"/>
          <w:b/>
          <w:sz w:val="21"/>
          <w:szCs w:val="21"/>
          <w:u w:val="single"/>
        </w:rPr>
        <w:t>prime vacances</w:t>
      </w:r>
      <w:r w:rsidR="00A6008A">
        <w:rPr>
          <w:rFonts w:ascii="Verdana" w:cs="Arial" w:hAnsi="Verdana"/>
          <w:b/>
          <w:sz w:val="21"/>
          <w:szCs w:val="21"/>
          <w:u w:val="single"/>
        </w:rPr>
        <w:t xml:space="preserve"> </w:t>
      </w:r>
    </w:p>
    <w:p w:rsidP="008842D7" w:rsidR="00245C3D" w:rsidRDefault="00245C3D">
      <w:pPr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D06ECF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Au 1</w:t>
      </w:r>
      <w:r w:rsidRPr="007576F8">
        <w:rPr>
          <w:rFonts w:ascii="Verdana" w:cs="Arial" w:hAnsi="Verdana"/>
          <w:sz w:val="21"/>
          <w:szCs w:val="21"/>
          <w:vertAlign w:val="superscript"/>
        </w:rPr>
        <w:t>er</w:t>
      </w:r>
      <w:r>
        <w:rPr>
          <w:rFonts w:ascii="Verdana" w:cs="Arial" w:hAnsi="Verdana"/>
          <w:sz w:val="21"/>
          <w:szCs w:val="21"/>
        </w:rPr>
        <w:t xml:space="preserve"> juin 2018</w:t>
      </w:r>
      <w:r w:rsidR="00DE6E2A">
        <w:rPr>
          <w:rFonts w:ascii="Verdana" w:cs="Arial" w:hAnsi="Verdana"/>
          <w:sz w:val="21"/>
          <w:szCs w:val="21"/>
        </w:rPr>
        <w:t>,</w:t>
      </w:r>
      <w:r>
        <w:rPr>
          <w:rFonts w:ascii="Verdana" w:cs="Arial" w:hAnsi="Verdana"/>
          <w:sz w:val="21"/>
          <w:szCs w:val="21"/>
        </w:rPr>
        <w:t xml:space="preserve"> </w:t>
      </w:r>
      <w:r w:rsidR="00D06ECF">
        <w:rPr>
          <w:rFonts w:ascii="Verdana" w:cs="Arial" w:hAnsi="Verdana"/>
          <w:sz w:val="21"/>
          <w:szCs w:val="21"/>
        </w:rPr>
        <w:t>les catégories employé</w:t>
      </w:r>
      <w:r w:rsidR="00DE6E2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>, ouvrier</w:t>
      </w:r>
      <w:r w:rsidR="00DE6E2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 xml:space="preserve"> et agent</w:t>
      </w:r>
      <w:r w:rsidR="00DE6E2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 xml:space="preserve"> de maitrise se verront attribuer une prime vacances de 350.00 € brut</w:t>
      </w:r>
      <w:r>
        <w:rPr>
          <w:rFonts w:ascii="Verdana" w:cs="Arial" w:hAnsi="Verdana"/>
          <w:sz w:val="21"/>
          <w:szCs w:val="21"/>
        </w:rPr>
        <w:t xml:space="preserve"> sous conditions</w:t>
      </w:r>
      <w:r w:rsidR="00D06ECF">
        <w:rPr>
          <w:rFonts w:ascii="Verdana" w:cs="Arial" w:hAnsi="Verdana"/>
          <w:sz w:val="21"/>
          <w:szCs w:val="21"/>
        </w:rPr>
        <w:t>.</w:t>
      </w:r>
    </w:p>
    <w:p w:rsidP="008842D7" w:rsidR="007576F8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La prime sera attribuée aux salariés concernés ayant au moins 1 an d’ancienneté.</w:t>
      </w:r>
    </w:p>
    <w:p w:rsidP="008842D7" w:rsidR="00B0277A" w:rsidRDefault="007576F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Elle sera calculé</w:t>
      </w:r>
      <w:r w:rsidR="00B0277A">
        <w:rPr>
          <w:rFonts w:ascii="Verdana" w:cs="Arial" w:hAnsi="Verdana"/>
          <w:sz w:val="21"/>
          <w:szCs w:val="21"/>
        </w:rPr>
        <w:t>e</w:t>
      </w:r>
      <w:r>
        <w:rPr>
          <w:rFonts w:ascii="Verdana" w:cs="Arial" w:hAnsi="Verdana"/>
          <w:sz w:val="21"/>
          <w:szCs w:val="21"/>
        </w:rPr>
        <w:t xml:space="preserve"> au prorata du temps de présence</w:t>
      </w:r>
      <w:r w:rsidR="00B0277A">
        <w:rPr>
          <w:rFonts w:ascii="Verdana" w:cs="Arial" w:hAnsi="Verdana"/>
          <w:sz w:val="21"/>
          <w:szCs w:val="21"/>
        </w:rPr>
        <w:t xml:space="preserve"> sur la période de référence </w:t>
      </w:r>
      <w:r w:rsidR="00DE6E2A">
        <w:rPr>
          <w:rFonts w:ascii="Verdana" w:cs="Arial" w:hAnsi="Verdana"/>
          <w:sz w:val="21"/>
          <w:szCs w:val="21"/>
        </w:rPr>
        <w:t>qui est</w:t>
      </w:r>
      <w:r w:rsidR="00B0277A">
        <w:rPr>
          <w:rFonts w:ascii="Verdana" w:cs="Arial" w:hAnsi="Verdana"/>
          <w:sz w:val="21"/>
          <w:szCs w:val="21"/>
        </w:rPr>
        <w:t xml:space="preserve"> du 1</w:t>
      </w:r>
      <w:r w:rsidR="00B0277A" w:rsidRPr="00B0277A">
        <w:rPr>
          <w:rFonts w:ascii="Verdana" w:cs="Arial" w:hAnsi="Verdana"/>
          <w:sz w:val="21"/>
          <w:szCs w:val="21"/>
          <w:vertAlign w:val="superscript"/>
        </w:rPr>
        <w:t>er</w:t>
      </w:r>
      <w:r w:rsidR="00B0277A">
        <w:rPr>
          <w:rFonts w:ascii="Verdana" w:cs="Arial" w:hAnsi="Verdana"/>
          <w:sz w:val="21"/>
          <w:szCs w:val="21"/>
        </w:rPr>
        <w:t xml:space="preserve"> juillet de l’</w:t>
      </w:r>
      <w:r w:rsidR="00DE6E2A">
        <w:rPr>
          <w:rFonts w:ascii="Verdana" w:cs="Arial" w:hAnsi="Verdana"/>
          <w:sz w:val="21"/>
          <w:szCs w:val="21"/>
        </w:rPr>
        <w:t xml:space="preserve">année précédente au 30 juin de l’année de </w:t>
      </w:r>
      <w:r w:rsidR="00B0277A">
        <w:rPr>
          <w:rFonts w:ascii="Verdana" w:cs="Arial" w:hAnsi="Verdana"/>
          <w:sz w:val="21"/>
          <w:szCs w:val="21"/>
        </w:rPr>
        <w:t xml:space="preserve">versement. </w:t>
      </w:r>
    </w:p>
    <w:p w:rsidP="008842D7" w:rsidR="005238E6" w:rsidRDefault="00D06ECF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Cette prime sera versée en une fois </w:t>
      </w:r>
      <w:r w:rsidR="007576F8">
        <w:rPr>
          <w:rFonts w:ascii="Verdana" w:cs="Arial" w:hAnsi="Verdana"/>
          <w:sz w:val="21"/>
          <w:szCs w:val="21"/>
        </w:rPr>
        <w:t>sur le bulletin de paie du mois d</w:t>
      </w:r>
      <w:r>
        <w:rPr>
          <w:rFonts w:ascii="Verdana" w:cs="Arial" w:hAnsi="Verdana"/>
          <w:sz w:val="21"/>
          <w:szCs w:val="21"/>
        </w:rPr>
        <w:t xml:space="preserve">e juin 2018. </w:t>
      </w:r>
    </w:p>
    <w:p w:rsidP="008842D7" w:rsidR="00A6008A" w:rsidRDefault="00A6008A">
      <w:pPr>
        <w:jc w:val="both"/>
        <w:rPr>
          <w:rFonts w:ascii="Verdana" w:cs="Arial" w:hAnsi="Verdana"/>
          <w:sz w:val="21"/>
          <w:szCs w:val="21"/>
        </w:rPr>
      </w:pPr>
    </w:p>
    <w:p w:rsidP="008842D7" w:rsidR="00D06ECF" w:rsidRDefault="00B0277A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En compensation de la période du 1</w:t>
      </w:r>
      <w:r w:rsidRPr="00B0277A">
        <w:rPr>
          <w:rFonts w:ascii="Verdana" w:cs="Arial" w:hAnsi="Verdana"/>
          <w:sz w:val="21"/>
          <w:szCs w:val="21"/>
          <w:vertAlign w:val="superscript"/>
        </w:rPr>
        <w:t>er</w:t>
      </w:r>
      <w:r>
        <w:rPr>
          <w:rFonts w:ascii="Verdana" w:cs="Arial" w:hAnsi="Verdana"/>
          <w:sz w:val="21"/>
          <w:szCs w:val="21"/>
        </w:rPr>
        <w:t xml:space="preserve"> janvier 2017 au 30 juin 2017, n’étant pas prise en compte dans cette mesure, une prime unique exceptionnelle de </w:t>
      </w:r>
      <w:r w:rsidR="00D06ECF">
        <w:rPr>
          <w:rFonts w:ascii="Verdana" w:cs="Arial" w:hAnsi="Verdana"/>
          <w:sz w:val="21"/>
          <w:szCs w:val="21"/>
        </w:rPr>
        <w:t>150.00 € brut sera versée pour l’année 2017 en octobre 2017</w:t>
      </w:r>
      <w:r w:rsidR="00A6008A">
        <w:rPr>
          <w:rFonts w:ascii="Verdana" w:cs="Arial" w:hAnsi="Verdana"/>
          <w:sz w:val="21"/>
          <w:szCs w:val="21"/>
        </w:rPr>
        <w:t xml:space="preserve"> pour tous les salariés employés, ouvriers et agents de maitrise qui auront plus d’un an d’ancienneté au 1</w:t>
      </w:r>
      <w:r w:rsidR="00A6008A" w:rsidRPr="00A6008A">
        <w:rPr>
          <w:rFonts w:ascii="Verdana" w:cs="Arial" w:hAnsi="Verdana"/>
          <w:sz w:val="21"/>
          <w:szCs w:val="21"/>
          <w:vertAlign w:val="superscript"/>
        </w:rPr>
        <w:t>er</w:t>
      </w:r>
      <w:r w:rsidR="00A6008A">
        <w:rPr>
          <w:rFonts w:ascii="Verdana" w:cs="Arial" w:hAnsi="Verdana"/>
          <w:sz w:val="21"/>
          <w:szCs w:val="21"/>
        </w:rPr>
        <w:t xml:space="preserve"> octobre 2017</w:t>
      </w:r>
      <w:r w:rsidR="00D06ECF">
        <w:rPr>
          <w:rFonts w:ascii="Verdana" w:cs="Arial" w:hAnsi="Verdana"/>
          <w:sz w:val="21"/>
          <w:szCs w:val="21"/>
        </w:rPr>
        <w:t>.</w:t>
      </w:r>
    </w:p>
    <w:p w:rsidP="008842D7" w:rsidR="00D06ECF" w:rsidRDefault="00D06ECF">
      <w:pPr>
        <w:jc w:val="both"/>
        <w:rPr>
          <w:rFonts w:ascii="Verdana" w:cs="Arial" w:hAnsi="Verdana"/>
          <w:sz w:val="21"/>
          <w:szCs w:val="21"/>
        </w:rPr>
      </w:pPr>
    </w:p>
    <w:p w:rsidP="00615836" w:rsidR="008842D7" w:rsidRDefault="00D06ECF">
      <w:pPr>
        <w:ind w:left="708"/>
        <w:jc w:val="both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>3</w:t>
      </w:r>
      <w:r w:rsidR="00A34B6A">
        <w:rPr>
          <w:rFonts w:ascii="Verdana" w:cs="Arial" w:hAnsi="Verdana"/>
          <w:b/>
          <w:sz w:val="21"/>
          <w:szCs w:val="21"/>
          <w:u w:val="single"/>
        </w:rPr>
        <w:t xml:space="preserve">.2 : </w:t>
      </w:r>
      <w:r>
        <w:rPr>
          <w:rFonts w:ascii="Verdana" w:cs="Arial" w:hAnsi="Verdana"/>
          <w:b/>
          <w:sz w:val="21"/>
          <w:szCs w:val="21"/>
          <w:u w:val="single"/>
        </w:rPr>
        <w:t>prime de progrès</w:t>
      </w:r>
    </w:p>
    <w:p w:rsidP="008842D7" w:rsidR="00245C3D" w:rsidRDefault="00245C3D">
      <w:pPr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B75352" w:rsidRDefault="00B75352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 compter du 1er janvier</w:t>
      </w:r>
      <w:r w:rsidR="00D06ECF">
        <w:rPr>
          <w:rFonts w:ascii="Verdana" w:cs="Arial" w:hAnsi="Verdana"/>
          <w:sz w:val="21"/>
          <w:szCs w:val="21"/>
        </w:rPr>
        <w:t xml:space="preserve"> 2018</w:t>
      </w:r>
      <w:r w:rsidR="00A34B6A">
        <w:rPr>
          <w:rFonts w:ascii="Verdana" w:cs="Arial" w:hAnsi="Verdana"/>
          <w:sz w:val="21"/>
          <w:szCs w:val="21"/>
        </w:rPr>
        <w:t xml:space="preserve">, </w:t>
      </w:r>
      <w:r>
        <w:rPr>
          <w:rFonts w:ascii="Verdana" w:cs="Arial" w:hAnsi="Verdana"/>
          <w:sz w:val="21"/>
          <w:szCs w:val="21"/>
        </w:rPr>
        <w:t xml:space="preserve">une prime de progrès </w:t>
      </w:r>
      <w:r w:rsidR="00B0277A">
        <w:rPr>
          <w:rFonts w:ascii="Verdana" w:cs="Arial" w:hAnsi="Verdana"/>
          <w:sz w:val="21"/>
          <w:szCs w:val="21"/>
        </w:rPr>
        <w:t xml:space="preserve">trimestrielle </w:t>
      </w:r>
      <w:r>
        <w:rPr>
          <w:rFonts w:ascii="Verdana" w:cs="Arial" w:hAnsi="Verdana"/>
          <w:sz w:val="21"/>
          <w:szCs w:val="21"/>
        </w:rPr>
        <w:t xml:space="preserve">est mise en place pour </w:t>
      </w:r>
      <w:r w:rsidR="00A34B6A">
        <w:rPr>
          <w:rFonts w:ascii="Verdana" w:cs="Arial" w:hAnsi="Verdana"/>
          <w:sz w:val="21"/>
          <w:szCs w:val="21"/>
        </w:rPr>
        <w:t>les salariés</w:t>
      </w:r>
      <w:r w:rsidR="00E0762F">
        <w:rPr>
          <w:rFonts w:ascii="Verdana" w:cs="Arial" w:hAnsi="Verdana"/>
          <w:sz w:val="21"/>
          <w:szCs w:val="21"/>
        </w:rPr>
        <w:t xml:space="preserve"> </w:t>
      </w:r>
      <w:r w:rsidR="00D06ECF">
        <w:rPr>
          <w:rFonts w:ascii="Verdana" w:cs="Arial" w:hAnsi="Verdana"/>
          <w:sz w:val="21"/>
          <w:szCs w:val="21"/>
        </w:rPr>
        <w:t>des catégories employé</w:t>
      </w:r>
      <w:r w:rsidR="00B0277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>, ouvrier</w:t>
      </w:r>
      <w:r w:rsidR="00B0277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 xml:space="preserve"> et agent</w:t>
      </w:r>
      <w:r w:rsidR="00B0277A">
        <w:rPr>
          <w:rFonts w:ascii="Verdana" w:cs="Arial" w:hAnsi="Verdana"/>
          <w:sz w:val="21"/>
          <w:szCs w:val="21"/>
        </w:rPr>
        <w:t>s</w:t>
      </w:r>
      <w:r w:rsidR="00D06ECF">
        <w:rPr>
          <w:rFonts w:ascii="Verdana" w:cs="Arial" w:hAnsi="Verdana"/>
          <w:sz w:val="21"/>
          <w:szCs w:val="21"/>
        </w:rPr>
        <w:t xml:space="preserve"> de maîtrise</w:t>
      </w:r>
      <w:r>
        <w:rPr>
          <w:rFonts w:ascii="Verdana" w:cs="Arial" w:hAnsi="Verdana"/>
          <w:sz w:val="21"/>
          <w:szCs w:val="21"/>
        </w:rPr>
        <w:t>.</w:t>
      </w:r>
    </w:p>
    <w:p w:rsidP="008842D7" w:rsidR="00B75352" w:rsidRDefault="00B75352">
      <w:pPr>
        <w:jc w:val="both"/>
        <w:rPr>
          <w:rFonts w:ascii="Verdana" w:cs="Arial" w:hAnsi="Verdana"/>
          <w:sz w:val="21"/>
          <w:szCs w:val="21"/>
        </w:rPr>
      </w:pPr>
    </w:p>
    <w:p w:rsidP="008842D7" w:rsidR="00B75352" w:rsidRDefault="00B75352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Cette prime de progrès sera attribuée en fonction d’atteinte d’objectif</w:t>
      </w:r>
      <w:r w:rsidR="00B0277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 xml:space="preserve"> sur les critères suivants :</w:t>
      </w:r>
    </w:p>
    <w:p w:rsidP="00B75352" w:rsidR="00B75352" w:rsidRDefault="00B75352">
      <w:pPr>
        <w:pStyle w:val="Paragraphedeliste"/>
        <w:numPr>
          <w:ilvl w:val="0"/>
          <w:numId w:val="5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Sécurité</w:t>
      </w:r>
    </w:p>
    <w:p w:rsidP="00B75352" w:rsidR="00B75352" w:rsidRDefault="00B75352">
      <w:pPr>
        <w:pStyle w:val="Paragraphedeliste"/>
        <w:numPr>
          <w:ilvl w:val="0"/>
          <w:numId w:val="5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Qualité </w:t>
      </w:r>
    </w:p>
    <w:p w:rsidP="00B75352" w:rsidR="00B75352" w:rsidRDefault="00B75352">
      <w:pPr>
        <w:pStyle w:val="Paragraphedeliste"/>
        <w:numPr>
          <w:ilvl w:val="0"/>
          <w:numId w:val="5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Hygiène</w:t>
      </w:r>
    </w:p>
    <w:p w:rsidP="00B75352" w:rsidR="00B75352" w:rsidRDefault="00B75352">
      <w:pPr>
        <w:pStyle w:val="Paragraphedeliste"/>
        <w:numPr>
          <w:ilvl w:val="0"/>
          <w:numId w:val="5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Performance </w:t>
      </w:r>
      <w:r w:rsidR="00B0277A">
        <w:rPr>
          <w:rFonts w:ascii="Verdana" w:cs="Arial" w:hAnsi="Verdana"/>
          <w:sz w:val="21"/>
          <w:szCs w:val="21"/>
        </w:rPr>
        <w:t xml:space="preserve">globale </w:t>
      </w:r>
      <w:r>
        <w:rPr>
          <w:rFonts w:ascii="Verdana" w:cs="Arial" w:hAnsi="Verdana"/>
          <w:sz w:val="21"/>
          <w:szCs w:val="21"/>
        </w:rPr>
        <w:t>usine</w:t>
      </w:r>
    </w:p>
    <w:p w:rsidP="005F2648" w:rsidR="005F2648" w:rsidRDefault="005F2648">
      <w:pPr>
        <w:jc w:val="both"/>
        <w:rPr>
          <w:rFonts w:ascii="Verdana" w:cs="Arial" w:hAnsi="Verdana"/>
          <w:sz w:val="21"/>
          <w:szCs w:val="21"/>
        </w:rPr>
      </w:pPr>
    </w:p>
    <w:p w:rsidP="005F2648" w:rsidR="005F2648" w:rsidRDefault="00B0277A" w:rsidRPr="005F264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Les </w:t>
      </w:r>
      <w:r w:rsidR="005F2648">
        <w:rPr>
          <w:rFonts w:ascii="Verdana" w:cs="Arial" w:hAnsi="Verdana"/>
          <w:sz w:val="21"/>
          <w:szCs w:val="21"/>
        </w:rPr>
        <w:t>objectif</w:t>
      </w:r>
      <w:r>
        <w:rPr>
          <w:rFonts w:ascii="Verdana" w:cs="Arial" w:hAnsi="Verdana"/>
          <w:sz w:val="21"/>
          <w:szCs w:val="21"/>
        </w:rPr>
        <w:t>s seront</w:t>
      </w:r>
      <w:r w:rsidR="005F2648">
        <w:rPr>
          <w:rFonts w:ascii="Verdana" w:cs="Arial" w:hAnsi="Verdana"/>
          <w:sz w:val="21"/>
          <w:szCs w:val="21"/>
        </w:rPr>
        <w:t xml:space="preserve"> déterminé</w:t>
      </w:r>
      <w:r w:rsidR="00C50D0A">
        <w:rPr>
          <w:rFonts w:ascii="Verdana" w:cs="Arial" w:hAnsi="Verdana"/>
          <w:sz w:val="21"/>
          <w:szCs w:val="21"/>
        </w:rPr>
        <w:t>s</w:t>
      </w:r>
      <w:r w:rsidR="005F2648">
        <w:rPr>
          <w:rFonts w:ascii="Verdana" w:cs="Arial" w:hAnsi="Verdana"/>
          <w:sz w:val="21"/>
          <w:szCs w:val="21"/>
        </w:rPr>
        <w:t xml:space="preserve"> unilatéralement par la direction</w:t>
      </w:r>
      <w:r w:rsidR="00C50D0A">
        <w:rPr>
          <w:rFonts w:ascii="Verdana" w:cs="Arial" w:hAnsi="Verdana"/>
          <w:sz w:val="21"/>
          <w:szCs w:val="21"/>
        </w:rPr>
        <w:t xml:space="preserve"> et présentés</w:t>
      </w:r>
      <w:r>
        <w:rPr>
          <w:rFonts w:ascii="Verdana" w:cs="Arial" w:hAnsi="Verdana"/>
          <w:sz w:val="21"/>
          <w:szCs w:val="21"/>
        </w:rPr>
        <w:t xml:space="preserve"> aux organisations syndicales et au CE avant la mise en place</w:t>
      </w:r>
      <w:r w:rsidR="00C50D0A">
        <w:rPr>
          <w:rFonts w:ascii="Verdana" w:cs="Arial" w:hAnsi="Verdana"/>
          <w:sz w:val="21"/>
          <w:szCs w:val="21"/>
        </w:rPr>
        <w:t>.</w:t>
      </w:r>
    </w:p>
    <w:p w:rsidP="00B75352" w:rsidR="00B75352" w:rsidRDefault="00B75352">
      <w:pPr>
        <w:jc w:val="both"/>
        <w:rPr>
          <w:rFonts w:ascii="Verdana" w:cs="Arial" w:hAnsi="Verdana"/>
          <w:sz w:val="21"/>
          <w:szCs w:val="21"/>
        </w:rPr>
      </w:pPr>
    </w:p>
    <w:p w:rsidR="00B0277A" w:rsidRDefault="00B0277A">
      <w:pPr>
        <w:spacing w:after="160" w:line="259" w:lineRule="auto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br w:type="page"/>
      </w:r>
    </w:p>
    <w:p w:rsidP="00B75352" w:rsidR="00B75352" w:rsidRDefault="00B75352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lastRenderedPageBreak/>
        <w:t>Chacun des critères aura un seuil déclencheur et un seuil bonus.</w:t>
      </w:r>
      <w:r w:rsidR="005F2648">
        <w:rPr>
          <w:rFonts w:ascii="Verdana" w:cs="Arial" w:hAnsi="Verdana"/>
          <w:sz w:val="21"/>
          <w:szCs w:val="21"/>
        </w:rPr>
        <w:t xml:space="preserve"> </w:t>
      </w:r>
    </w:p>
    <w:p w:rsidP="00B75352" w:rsidR="00B75352" w:rsidRDefault="00B75352">
      <w:pPr>
        <w:jc w:val="both"/>
        <w:rPr>
          <w:rFonts w:ascii="Verdana" w:cs="Arial" w:hAnsi="Verdana"/>
          <w:sz w:val="21"/>
          <w:szCs w:val="21"/>
        </w:rPr>
      </w:pPr>
    </w:p>
    <w:tbl>
      <w:tblPr>
        <w:tblStyle w:val="Grilledutableau"/>
        <w:tblW w:type="auto" w:w="0"/>
        <w:tblLook w:firstColumn="1" w:firstRow="1" w:lastColumn="0" w:lastRow="0" w:noHBand="0" w:noVBand="1" w:val="04A0"/>
      </w:tblPr>
      <w:tblGrid>
        <w:gridCol w:w="2265"/>
        <w:gridCol w:w="2265"/>
        <w:gridCol w:w="2411"/>
        <w:gridCol w:w="2121"/>
      </w:tblGrid>
      <w:tr w:rsidR="00FB0AB6" w:rsidTr="004C6601">
        <w:tc>
          <w:tcPr>
            <w:tcW w:type="dxa" w:w="9062"/>
            <w:gridSpan w:val="4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PRIME PROGRES</w:t>
            </w:r>
          </w:p>
        </w:tc>
      </w:tr>
      <w:tr w:rsidR="00FB0AB6" w:rsidTr="00FB0AB6">
        <w:tc>
          <w:tcPr>
            <w:tcW w:type="dxa" w:w="2265"/>
          </w:tcPr>
          <w:p w:rsidP="00B75352" w:rsidR="00FB0AB6" w:rsidRDefault="00FB0AB6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Objectif</w:t>
            </w:r>
          </w:p>
        </w:tc>
        <w:tc>
          <w:tcPr>
            <w:tcW w:type="dxa" w:w="2265"/>
          </w:tcPr>
          <w:p w:rsidP="00B75352" w:rsidR="00FB0AB6" w:rsidRDefault="00FB0AB6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&lt; au seuil déclencheur</w:t>
            </w:r>
          </w:p>
        </w:tc>
        <w:tc>
          <w:tcPr>
            <w:tcW w:type="dxa" w:w="2411"/>
          </w:tcPr>
          <w:p w:rsidP="00B75352" w:rsidR="00FB0AB6" w:rsidRDefault="00FB0AB6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&gt;= au seuil déclencheur</w:t>
            </w:r>
          </w:p>
        </w:tc>
        <w:tc>
          <w:tcPr>
            <w:tcW w:type="dxa" w:w="2121"/>
          </w:tcPr>
          <w:p w:rsidP="00B75352" w:rsidR="00FB0AB6" w:rsidRDefault="00FB0AB6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&gt;= au seuil bonus</w:t>
            </w:r>
          </w:p>
        </w:tc>
      </w:tr>
      <w:tr w:rsidR="00FB0AB6" w:rsidTr="00FB0AB6">
        <w:tc>
          <w:tcPr>
            <w:tcW w:type="dxa" w:w="2265"/>
          </w:tcPr>
          <w:p w:rsidP="00B75352" w:rsidR="00FB0AB6" w:rsidRDefault="00FB0AB6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SECURITE</w:t>
            </w:r>
          </w:p>
        </w:tc>
        <w:tc>
          <w:tcPr>
            <w:tcW w:type="dxa" w:w="2265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FB0AB6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3</w:t>
            </w:r>
            <w:r w:rsidR="00FB0AB6"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40 €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FB0AB6" w:rsidTr="00FB0AB6">
        <w:tc>
          <w:tcPr>
            <w:tcW w:type="dxa" w:w="2265"/>
          </w:tcPr>
          <w:p w:rsidP="00B75352" w:rsidR="00FB0AB6" w:rsidRDefault="00FB0AB6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QUALITE</w:t>
            </w:r>
          </w:p>
        </w:tc>
        <w:tc>
          <w:tcPr>
            <w:tcW w:type="dxa" w:w="2265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FB0AB6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10</w:t>
            </w:r>
            <w:r w:rsidR="00FB0AB6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FB0AB6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15</w:t>
            </w:r>
            <w:r w:rsidR="00FB0AB6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FB0AB6" w:rsidTr="00FB0AB6">
        <w:tc>
          <w:tcPr>
            <w:tcW w:type="dxa" w:w="2265"/>
          </w:tcPr>
          <w:p w:rsidP="00B75352" w:rsidR="00FB0AB6" w:rsidRDefault="00FB0AB6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HYGIENE</w:t>
            </w:r>
          </w:p>
        </w:tc>
        <w:tc>
          <w:tcPr>
            <w:tcW w:type="dxa" w:w="2265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FB0AB6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10</w:t>
            </w:r>
            <w:r w:rsidR="00FB0AB6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FB0AB6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15</w:t>
            </w:r>
            <w:r w:rsidR="00FB0AB6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FB0AB6" w:rsidTr="00FB0AB6">
        <w:tc>
          <w:tcPr>
            <w:tcW w:type="dxa" w:w="2265"/>
          </w:tcPr>
          <w:p w:rsidP="00B75352" w:rsidR="00FB0AB6" w:rsidRDefault="00AD345A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PROGRES</w:t>
            </w:r>
          </w:p>
        </w:tc>
        <w:tc>
          <w:tcPr>
            <w:tcW w:type="dxa" w:w="2265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</w:p>
        </w:tc>
        <w:tc>
          <w:tcPr>
            <w:tcW w:type="dxa" w:w="2411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</w:p>
        </w:tc>
        <w:tc>
          <w:tcPr>
            <w:tcW w:type="dxa" w:w="2121"/>
          </w:tcPr>
          <w:p w:rsidP="00FB0AB6" w:rsidR="00FB0AB6" w:rsidRDefault="00FB0AB6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</w:p>
        </w:tc>
      </w:tr>
      <w:tr w:rsidR="00AD345A" w:rsidTr="00FB0AB6">
        <w:tc>
          <w:tcPr>
            <w:tcW w:type="dxa" w:w="2265"/>
          </w:tcPr>
          <w:p w:rsidP="00AD345A" w:rsidR="00AD345A" w:rsidRDefault="00AD345A" w:rsidRPr="00AD345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Critère 1</w:t>
            </w:r>
          </w:p>
        </w:tc>
        <w:tc>
          <w:tcPr>
            <w:tcW w:type="dxa" w:w="2265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15 €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AD345A" w:rsidTr="00FB0AB6">
        <w:tc>
          <w:tcPr>
            <w:tcW w:type="dxa" w:w="2265"/>
          </w:tcPr>
          <w:p w:rsidP="00AD345A" w:rsidR="00AD345A" w:rsidRDefault="00AD345A" w:rsidRPr="00AD345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Critère 2</w:t>
            </w:r>
          </w:p>
        </w:tc>
        <w:tc>
          <w:tcPr>
            <w:tcW w:type="dxa" w:w="2265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15 €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AD345A" w:rsidTr="00FB0AB6">
        <w:tc>
          <w:tcPr>
            <w:tcW w:type="dxa" w:w="2265"/>
          </w:tcPr>
          <w:p w:rsidP="00AD345A" w:rsidR="00AD345A" w:rsidRDefault="00AD345A" w:rsidRPr="00AD345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Critère 3</w:t>
            </w:r>
          </w:p>
        </w:tc>
        <w:tc>
          <w:tcPr>
            <w:tcW w:type="dxa" w:w="2265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FB0AB6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20 €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  <w:tr w:rsidR="00DE3255" w:rsidTr="00FB0AB6">
        <w:tc>
          <w:tcPr>
            <w:tcW w:type="dxa" w:w="2265"/>
          </w:tcPr>
          <w:p w:rsidP="00DE3255" w:rsidR="00DE3255" w:rsidRDefault="00DE3255" w:rsidRPr="00C50D0A">
            <w:pPr>
              <w:jc w:val="center"/>
              <w:rPr>
                <w:rFonts w:ascii="Verdana" w:cs="Arial" w:hAnsi="Verdana"/>
                <w:b/>
                <w:sz w:val="21"/>
                <w:szCs w:val="21"/>
              </w:rPr>
            </w:pPr>
            <w:r w:rsidRPr="00C50D0A">
              <w:rPr>
                <w:rFonts w:ascii="Verdana" w:cs="Arial" w:hAnsi="Verdana"/>
                <w:b/>
                <w:sz w:val="21"/>
                <w:szCs w:val="21"/>
              </w:rPr>
              <w:t>TOTAL</w:t>
            </w:r>
          </w:p>
        </w:tc>
        <w:tc>
          <w:tcPr>
            <w:tcW w:type="dxa" w:w="2265"/>
          </w:tcPr>
          <w:p w:rsidP="00FB0AB6" w:rsidR="00DE3255" w:rsidRDefault="00DE3255" w:rsidRPr="00C50D0A">
            <w:pPr>
              <w:jc w:val="center"/>
              <w:rPr>
                <w:rFonts w:ascii="Verdana" w:cs="Arial" w:hAnsi="Verdana"/>
                <w:b/>
                <w:sz w:val="21"/>
                <w:szCs w:val="21"/>
              </w:rPr>
            </w:pPr>
            <w:r w:rsidRPr="00C50D0A">
              <w:rPr>
                <w:rFonts w:ascii="Verdana" w:cs="Arial" w:hAnsi="Verdana"/>
                <w:b/>
                <w:sz w:val="21"/>
                <w:szCs w:val="21"/>
              </w:rPr>
              <w:t>0 € Brut</w:t>
            </w:r>
          </w:p>
        </w:tc>
        <w:tc>
          <w:tcPr>
            <w:tcW w:type="dxa" w:w="2411"/>
          </w:tcPr>
          <w:p w:rsidP="00FB0AB6" w:rsidR="00DE3255" w:rsidRDefault="00DE3255" w:rsidRPr="00C50D0A">
            <w:pPr>
              <w:jc w:val="center"/>
              <w:rPr>
                <w:rFonts w:ascii="Verdana" w:cs="Arial" w:hAnsi="Verdana"/>
                <w:b/>
                <w:sz w:val="21"/>
                <w:szCs w:val="21"/>
              </w:rPr>
            </w:pPr>
            <w:r w:rsidRPr="00C50D0A">
              <w:rPr>
                <w:rFonts w:ascii="Verdana" w:cs="Arial" w:hAnsi="Verdana"/>
                <w:b/>
                <w:sz w:val="21"/>
                <w:szCs w:val="21"/>
              </w:rPr>
              <w:t>80 € Brut</w:t>
            </w:r>
          </w:p>
        </w:tc>
        <w:tc>
          <w:tcPr>
            <w:tcW w:type="dxa" w:w="2121"/>
          </w:tcPr>
          <w:p w:rsidP="00FB0AB6" w:rsidR="00DE3255" w:rsidRDefault="00DE3255" w:rsidRPr="00C50D0A">
            <w:pPr>
              <w:jc w:val="center"/>
              <w:rPr>
                <w:rFonts w:ascii="Verdana" w:cs="Arial" w:hAnsi="Verdana"/>
                <w:b/>
                <w:sz w:val="21"/>
                <w:szCs w:val="21"/>
              </w:rPr>
            </w:pPr>
            <w:r w:rsidRPr="00C50D0A">
              <w:rPr>
                <w:rFonts w:ascii="Verdana" w:cs="Arial" w:hAnsi="Verdana"/>
                <w:b/>
                <w:sz w:val="21"/>
                <w:szCs w:val="21"/>
              </w:rPr>
              <w:t>120 € Brut</w:t>
            </w:r>
          </w:p>
        </w:tc>
      </w:tr>
    </w:tbl>
    <w:p w:rsidP="00B75352" w:rsidR="00B75352" w:rsidRDefault="00B75352" w:rsidRPr="00B75352">
      <w:pPr>
        <w:jc w:val="both"/>
        <w:rPr>
          <w:rFonts w:ascii="Verdana" w:cs="Arial" w:hAnsi="Verdana"/>
          <w:sz w:val="21"/>
          <w:szCs w:val="21"/>
        </w:rPr>
      </w:pPr>
    </w:p>
    <w:p w:rsidP="008842D7" w:rsidR="00D054E7" w:rsidRDefault="00FB0AB6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Cette prim</w:t>
      </w:r>
      <w:r w:rsidR="00C66C4B">
        <w:rPr>
          <w:rFonts w:ascii="Verdana" w:cs="Arial" w:hAnsi="Verdana"/>
          <w:sz w:val="21"/>
          <w:szCs w:val="21"/>
        </w:rPr>
        <w:t>e de progrès est trimestrielle et sera versé</w:t>
      </w:r>
      <w:r w:rsidR="00C50D0A">
        <w:rPr>
          <w:rFonts w:ascii="Verdana" w:cs="Arial" w:hAnsi="Verdana"/>
          <w:sz w:val="21"/>
          <w:szCs w:val="21"/>
        </w:rPr>
        <w:t>e</w:t>
      </w:r>
      <w:r w:rsidR="00C66C4B">
        <w:rPr>
          <w:rFonts w:ascii="Verdana" w:cs="Arial" w:hAnsi="Verdana"/>
          <w:sz w:val="21"/>
          <w:szCs w:val="21"/>
        </w:rPr>
        <w:t xml:space="preserve"> sur le mois de paie suivant le trimestre concerné :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Prime trimestre 1 versée sur la paie d’avril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Prime trimestre 2 versée sur la paie de juillet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Prime trimestre 3 versée sur la paie </w:t>
      </w:r>
      <w:r w:rsidR="00C50D0A">
        <w:rPr>
          <w:rFonts w:ascii="Verdana" w:cs="Arial" w:hAnsi="Verdana"/>
          <w:sz w:val="21"/>
          <w:szCs w:val="21"/>
        </w:rPr>
        <w:t>d’</w:t>
      </w:r>
      <w:r>
        <w:rPr>
          <w:rFonts w:ascii="Verdana" w:cs="Arial" w:hAnsi="Verdana"/>
          <w:sz w:val="21"/>
          <w:szCs w:val="21"/>
        </w:rPr>
        <w:t>octobre</w:t>
      </w:r>
    </w:p>
    <w:p w:rsidP="00C66C4B" w:rsidR="00C66C4B" w:rsidRDefault="00C66C4B" w:rsidRPr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Prime trimestre </w:t>
      </w:r>
      <w:r w:rsidR="00C50D0A">
        <w:rPr>
          <w:rFonts w:ascii="Verdana" w:cs="Arial" w:hAnsi="Verdana"/>
          <w:sz w:val="21"/>
          <w:szCs w:val="21"/>
        </w:rPr>
        <w:t xml:space="preserve">4 </w:t>
      </w:r>
      <w:r>
        <w:rPr>
          <w:rFonts w:ascii="Verdana" w:cs="Arial" w:hAnsi="Verdana"/>
          <w:sz w:val="21"/>
          <w:szCs w:val="21"/>
        </w:rPr>
        <w:t xml:space="preserve">versée sur la paie de janvier </w:t>
      </w:r>
    </w:p>
    <w:p w:rsidP="008842D7" w:rsidR="00D054E7" w:rsidRDefault="00D054E7">
      <w:pPr>
        <w:jc w:val="both"/>
        <w:rPr>
          <w:rFonts w:ascii="Verdana" w:cs="Arial" w:hAnsi="Verdana"/>
          <w:sz w:val="21"/>
          <w:szCs w:val="21"/>
        </w:rPr>
      </w:pPr>
    </w:p>
    <w:p w:rsidP="008842D7" w:rsidR="00DE3255" w:rsidRDefault="002D3CDD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Cette prime </w:t>
      </w:r>
      <w:r w:rsidR="00DE3255">
        <w:rPr>
          <w:rFonts w:ascii="Verdana" w:cs="Arial" w:hAnsi="Verdana"/>
          <w:sz w:val="21"/>
          <w:szCs w:val="21"/>
        </w:rPr>
        <w:t xml:space="preserve">sera calculée au prorata du temps de présence effective sur le </w:t>
      </w:r>
      <w:r>
        <w:rPr>
          <w:rFonts w:ascii="Verdana" w:cs="Arial" w:hAnsi="Verdana"/>
          <w:sz w:val="21"/>
          <w:szCs w:val="21"/>
        </w:rPr>
        <w:t xml:space="preserve">trimestre de référence. </w:t>
      </w:r>
    </w:p>
    <w:p w:rsidP="008842D7" w:rsidR="00D054E7" w:rsidRDefault="00DE325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Sera pris en compte comme temps de présence</w:t>
      </w:r>
      <w:r w:rsidR="00F32391">
        <w:rPr>
          <w:rFonts w:ascii="Verdana" w:cs="Arial" w:hAnsi="Verdana"/>
          <w:sz w:val="21"/>
          <w:szCs w:val="21"/>
        </w:rPr>
        <w:t> :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Arrêt </w:t>
      </w:r>
      <w:r w:rsidR="00F32391">
        <w:rPr>
          <w:rFonts w:ascii="Verdana" w:cs="Arial" w:hAnsi="Verdana"/>
          <w:sz w:val="21"/>
          <w:szCs w:val="21"/>
        </w:rPr>
        <w:t>pour maladie, accident de travail,</w:t>
      </w:r>
      <w:r>
        <w:rPr>
          <w:rFonts w:ascii="Verdana" w:cs="Arial" w:hAnsi="Verdana"/>
          <w:sz w:val="21"/>
          <w:szCs w:val="21"/>
        </w:rPr>
        <w:t xml:space="preserve"> maladie professionnelle</w:t>
      </w:r>
      <w:r w:rsidR="00F32391">
        <w:rPr>
          <w:rFonts w:ascii="Verdana" w:cs="Arial" w:hAnsi="Verdana"/>
          <w:sz w:val="21"/>
          <w:szCs w:val="21"/>
        </w:rPr>
        <w:t xml:space="preserve"> ou</w:t>
      </w:r>
      <w:r>
        <w:rPr>
          <w:rFonts w:ascii="Verdana" w:cs="Arial" w:hAnsi="Verdana"/>
          <w:sz w:val="21"/>
          <w:szCs w:val="21"/>
        </w:rPr>
        <w:t xml:space="preserve"> maternité </w:t>
      </w:r>
      <w:r w:rsidR="00F32391">
        <w:rPr>
          <w:rFonts w:ascii="Verdana" w:cs="Arial" w:hAnsi="Verdana"/>
          <w:sz w:val="21"/>
          <w:szCs w:val="21"/>
        </w:rPr>
        <w:t>&lt;</w:t>
      </w:r>
      <w:r>
        <w:rPr>
          <w:rFonts w:ascii="Verdana" w:cs="Arial" w:hAnsi="Verdana"/>
          <w:sz w:val="21"/>
          <w:szCs w:val="21"/>
        </w:rPr>
        <w:t xml:space="preserve"> à 4 semaines sur le trimestre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Les suspensions de contrat (congés sabbatique, congé parental, CIF,…</w:t>
      </w:r>
      <w:r w:rsidR="00F32391">
        <w:rPr>
          <w:rFonts w:ascii="Verdana" w:cs="Arial" w:hAnsi="Verdana"/>
          <w:sz w:val="21"/>
          <w:szCs w:val="21"/>
        </w:rPr>
        <w:t>) &lt;</w:t>
      </w:r>
      <w:r>
        <w:rPr>
          <w:rFonts w:ascii="Verdana" w:cs="Arial" w:hAnsi="Verdana"/>
          <w:sz w:val="21"/>
          <w:szCs w:val="21"/>
        </w:rPr>
        <w:t xml:space="preserve"> à 4 semaines</w:t>
      </w:r>
      <w:r w:rsidR="00A6008A" w:rsidRPr="00D054E7">
        <w:rPr>
          <w:rFonts w:ascii="Verdana" w:cs="Arial" w:hAnsi="Verdana"/>
          <w:sz w:val="21"/>
          <w:szCs w:val="21"/>
        </w:rPr>
        <w:t xml:space="preserve"> </w:t>
      </w:r>
      <w:r>
        <w:rPr>
          <w:rFonts w:ascii="Verdana" w:cs="Arial" w:hAnsi="Verdana"/>
          <w:sz w:val="21"/>
          <w:szCs w:val="21"/>
        </w:rPr>
        <w:t>sur le trimestre</w:t>
      </w:r>
    </w:p>
    <w:p w:rsidP="00D054E7" w:rsidR="00D054E7" w:rsidRDefault="00A6008A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 w:rsidRPr="00D054E7">
        <w:rPr>
          <w:rFonts w:ascii="Verdana" w:cs="Arial" w:hAnsi="Verdana"/>
          <w:sz w:val="21"/>
          <w:szCs w:val="21"/>
        </w:rPr>
        <w:t xml:space="preserve">congés payés, </w:t>
      </w:r>
    </w:p>
    <w:p w:rsidP="00D054E7" w:rsidR="004E2C1A" w:rsidRDefault="00A6008A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 w:rsidRPr="00D054E7">
        <w:rPr>
          <w:rFonts w:ascii="Verdana" w:cs="Arial" w:hAnsi="Verdana"/>
          <w:sz w:val="21"/>
          <w:szCs w:val="21"/>
        </w:rPr>
        <w:t xml:space="preserve">événement familial 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absence autorisée non payée ou payée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H-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RTT</w:t>
      </w:r>
    </w:p>
    <w:p w:rsidP="00D054E7" w:rsidR="00D054E7" w:rsidRDefault="00D054E7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Déménagement</w:t>
      </w:r>
    </w:p>
    <w:p w:rsidP="00D054E7" w:rsidR="00D054E7" w:rsidRDefault="00D054E7" w:rsidRPr="00D054E7">
      <w:pPr>
        <w:jc w:val="both"/>
        <w:rPr>
          <w:rFonts w:ascii="Verdana" w:cs="Arial" w:hAnsi="Verdana"/>
          <w:sz w:val="21"/>
          <w:szCs w:val="21"/>
        </w:rPr>
      </w:pPr>
    </w:p>
    <w:p w:rsidP="008842D7" w:rsidR="00FB0AB6" w:rsidRDefault="00FB0AB6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Les audits qualité et hygiène seront réalisés </w:t>
      </w:r>
      <w:r w:rsidR="00DE3255">
        <w:rPr>
          <w:rFonts w:ascii="Verdana" w:cs="Arial" w:hAnsi="Verdana"/>
          <w:sz w:val="21"/>
          <w:szCs w:val="21"/>
        </w:rPr>
        <w:t>par</w:t>
      </w:r>
      <w:r>
        <w:rPr>
          <w:rFonts w:ascii="Verdana" w:cs="Arial" w:hAnsi="Verdana"/>
          <w:sz w:val="21"/>
          <w:szCs w:val="21"/>
        </w:rPr>
        <w:t xml:space="preserve"> un membre de l’</w:t>
      </w:r>
      <w:r w:rsidR="00DE3255">
        <w:rPr>
          <w:rFonts w:ascii="Verdana" w:cs="Arial" w:hAnsi="Verdana"/>
          <w:sz w:val="21"/>
          <w:szCs w:val="21"/>
        </w:rPr>
        <w:t>encadrement en présence d’</w:t>
      </w:r>
      <w:r>
        <w:rPr>
          <w:rFonts w:ascii="Verdana" w:cs="Arial" w:hAnsi="Verdana"/>
          <w:sz w:val="21"/>
          <w:szCs w:val="21"/>
        </w:rPr>
        <w:t>un membre représentant du personnel.</w:t>
      </w:r>
    </w:p>
    <w:p w:rsidP="008842D7" w:rsidR="00AD345A" w:rsidRDefault="00AD345A">
      <w:pPr>
        <w:jc w:val="both"/>
        <w:rPr>
          <w:rFonts w:ascii="Verdana" w:cs="Arial" w:hAnsi="Verdana"/>
          <w:sz w:val="21"/>
          <w:szCs w:val="21"/>
        </w:rPr>
      </w:pPr>
    </w:p>
    <w:p w:rsidP="008842D7" w:rsidR="005F2648" w:rsidRDefault="00AD345A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Cette prime </w:t>
      </w:r>
      <w:r w:rsidR="00F32391">
        <w:rPr>
          <w:rFonts w:ascii="Verdana" w:cs="Arial" w:hAnsi="Verdana"/>
          <w:sz w:val="21"/>
          <w:szCs w:val="21"/>
        </w:rPr>
        <w:t xml:space="preserve">se substitue </w:t>
      </w:r>
      <w:r w:rsidR="005F2648">
        <w:rPr>
          <w:rFonts w:ascii="Verdana" w:cs="Arial" w:hAnsi="Verdana"/>
          <w:sz w:val="21"/>
          <w:szCs w:val="21"/>
        </w:rPr>
        <w:t>à</w:t>
      </w:r>
      <w:r>
        <w:rPr>
          <w:rFonts w:ascii="Verdana" w:cs="Arial" w:hAnsi="Verdana"/>
          <w:sz w:val="21"/>
          <w:szCs w:val="21"/>
        </w:rPr>
        <w:t xml:space="preserve"> la prime Hygiène et </w:t>
      </w:r>
      <w:r w:rsidR="005F2648">
        <w:rPr>
          <w:rFonts w:ascii="Verdana" w:cs="Arial" w:hAnsi="Verdana"/>
          <w:sz w:val="21"/>
          <w:szCs w:val="21"/>
        </w:rPr>
        <w:t>la prime Hygiène exceptionnelle à compter du 01 janvier 2018.</w:t>
      </w:r>
    </w:p>
    <w:p w:rsidP="008842D7" w:rsidR="00FB0AB6" w:rsidRDefault="00FB0AB6">
      <w:pPr>
        <w:jc w:val="both"/>
        <w:rPr>
          <w:rFonts w:ascii="Verdana" w:cs="Arial" w:hAnsi="Verdana"/>
          <w:sz w:val="21"/>
          <w:szCs w:val="21"/>
        </w:rPr>
      </w:pPr>
    </w:p>
    <w:p w:rsidP="0064557D" w:rsidR="0064557D" w:rsidRDefault="0064557D">
      <w:pPr>
        <w:ind w:firstLine="708"/>
        <w:jc w:val="both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 xml:space="preserve">4.3 : </w:t>
      </w:r>
      <w:r w:rsidR="009A4FEE">
        <w:rPr>
          <w:rFonts w:ascii="Verdana" w:cs="Arial" w:hAnsi="Verdana"/>
          <w:b/>
          <w:sz w:val="21"/>
          <w:szCs w:val="21"/>
          <w:u w:val="single"/>
        </w:rPr>
        <w:t xml:space="preserve">prime </w:t>
      </w:r>
      <w:r w:rsidR="00D054E7">
        <w:rPr>
          <w:rFonts w:ascii="Verdana" w:cs="Arial" w:hAnsi="Verdana"/>
          <w:b/>
          <w:sz w:val="21"/>
          <w:szCs w:val="21"/>
          <w:u w:val="single"/>
        </w:rPr>
        <w:t>d’ilot</w:t>
      </w:r>
    </w:p>
    <w:p w:rsidP="0064557D" w:rsidR="0064557D" w:rsidRDefault="0064557D">
      <w:pPr>
        <w:ind w:firstLine="708"/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D054E7" w:rsidR="0064557D" w:rsidRDefault="0064557D">
      <w:pPr>
        <w:jc w:val="both"/>
        <w:rPr>
          <w:rFonts w:ascii="Verdana" w:cs="Arial" w:hAnsi="Verdana"/>
          <w:sz w:val="21"/>
          <w:szCs w:val="21"/>
        </w:rPr>
      </w:pPr>
      <w:r w:rsidRPr="006A63C5">
        <w:rPr>
          <w:rFonts w:ascii="Verdana" w:cs="Arial" w:hAnsi="Verdana"/>
          <w:sz w:val="21"/>
          <w:szCs w:val="21"/>
        </w:rPr>
        <w:t xml:space="preserve">A compter du 1er </w:t>
      </w:r>
      <w:r w:rsidR="00D054E7">
        <w:rPr>
          <w:rFonts w:ascii="Verdana" w:cs="Arial" w:hAnsi="Verdana"/>
          <w:sz w:val="21"/>
          <w:szCs w:val="21"/>
        </w:rPr>
        <w:t>janvier 2018</w:t>
      </w:r>
      <w:r>
        <w:rPr>
          <w:rFonts w:ascii="Verdana" w:cs="Arial" w:hAnsi="Verdana"/>
          <w:sz w:val="21"/>
          <w:szCs w:val="21"/>
        </w:rPr>
        <w:t xml:space="preserve">, </w:t>
      </w:r>
      <w:r w:rsidR="00D054E7">
        <w:rPr>
          <w:rFonts w:ascii="Verdana" w:cs="Arial" w:hAnsi="Verdana"/>
          <w:sz w:val="21"/>
          <w:szCs w:val="21"/>
        </w:rPr>
        <w:t xml:space="preserve">une prime d’ilot est mise en place pour tous les salariés affectés à un ilot </w:t>
      </w:r>
      <w:r w:rsidR="00AD345A">
        <w:rPr>
          <w:rFonts w:ascii="Verdana" w:cs="Arial" w:hAnsi="Verdana"/>
          <w:sz w:val="21"/>
          <w:szCs w:val="21"/>
        </w:rPr>
        <w:t xml:space="preserve">sur la base du programme IWS </w:t>
      </w:r>
      <w:r w:rsidR="00D054E7">
        <w:rPr>
          <w:rFonts w:ascii="Verdana" w:cs="Arial" w:hAnsi="Verdana"/>
          <w:sz w:val="21"/>
          <w:szCs w:val="21"/>
        </w:rPr>
        <w:t>(hors cadre).</w:t>
      </w:r>
    </w:p>
    <w:p w:rsidP="00D054E7" w:rsidR="00AD345A" w:rsidRDefault="00AD345A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Cette prime d’ilot portera sur la performance de l’ilot. C</w:t>
      </w:r>
      <w:r w:rsidR="00C50D0A">
        <w:rPr>
          <w:rFonts w:ascii="Verdana" w:cs="Arial" w:hAnsi="Verdana"/>
          <w:sz w:val="21"/>
          <w:szCs w:val="21"/>
        </w:rPr>
        <w:t>haque i</w:t>
      </w:r>
      <w:r>
        <w:rPr>
          <w:rFonts w:ascii="Verdana" w:cs="Arial" w:hAnsi="Verdana"/>
          <w:sz w:val="21"/>
          <w:szCs w:val="21"/>
        </w:rPr>
        <w:t>lot aura son propre objectif à atteindre.</w:t>
      </w:r>
    </w:p>
    <w:p w:rsidP="00C50D0A" w:rsidR="00C50D0A" w:rsidRDefault="00C50D0A">
      <w:pPr>
        <w:jc w:val="both"/>
        <w:rPr>
          <w:rFonts w:ascii="Verdana" w:cs="Arial" w:hAnsi="Verdana"/>
          <w:sz w:val="21"/>
          <w:szCs w:val="21"/>
        </w:rPr>
      </w:pPr>
    </w:p>
    <w:p w:rsidP="00C50D0A" w:rsidR="00C50D0A" w:rsidRDefault="00C50D0A" w:rsidRPr="005F2648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Les objectifs seront déterminés unilatéralement par la direction et présentés aux organisations syndicales et au CE avant la mise en place</w:t>
      </w:r>
    </w:p>
    <w:p w:rsidP="00D054E7" w:rsidR="00AD345A" w:rsidRDefault="00AD345A">
      <w:pPr>
        <w:jc w:val="both"/>
        <w:rPr>
          <w:rFonts w:ascii="Verdana" w:cs="Arial" w:hAnsi="Verdana"/>
          <w:sz w:val="21"/>
          <w:szCs w:val="21"/>
        </w:rPr>
      </w:pPr>
    </w:p>
    <w:p w:rsidP="00AD345A" w:rsidR="00AD345A" w:rsidRDefault="00AD345A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Chaque critère aura un seuil déclencheur et un seuil bonus.</w:t>
      </w:r>
    </w:p>
    <w:p w:rsidP="00D054E7" w:rsidR="00AD345A" w:rsidRDefault="00AD345A">
      <w:pPr>
        <w:jc w:val="both"/>
        <w:rPr>
          <w:rFonts w:ascii="Verdana" w:cs="Arial" w:hAnsi="Verdana"/>
          <w:sz w:val="21"/>
          <w:szCs w:val="21"/>
        </w:rPr>
      </w:pPr>
    </w:p>
    <w:tbl>
      <w:tblPr>
        <w:tblStyle w:val="Grilledutableau"/>
        <w:tblW w:type="auto" w:w="0"/>
        <w:tblLook w:firstColumn="1" w:firstRow="1" w:lastColumn="0" w:lastRow="0" w:noHBand="0" w:noVBand="1" w:val="04A0"/>
      </w:tblPr>
      <w:tblGrid>
        <w:gridCol w:w="2265"/>
        <w:gridCol w:w="2265"/>
        <w:gridCol w:w="2411"/>
        <w:gridCol w:w="2121"/>
      </w:tblGrid>
      <w:tr w:rsidR="00AD345A" w:rsidTr="00843385">
        <w:tc>
          <w:tcPr>
            <w:tcW w:type="dxa" w:w="9062"/>
            <w:gridSpan w:val="4"/>
          </w:tcPr>
          <w:p w:rsidP="00AD345A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PRIME ILOT</w:t>
            </w:r>
          </w:p>
        </w:tc>
      </w:tr>
      <w:tr w:rsidR="00AD345A" w:rsidTr="00843385">
        <w:tc>
          <w:tcPr>
            <w:tcW w:type="dxa" w:w="2265"/>
          </w:tcPr>
          <w:p w:rsidP="00843385" w:rsidR="00AD345A" w:rsidRDefault="00AD345A">
            <w:pPr>
              <w:jc w:val="both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Objectif</w:t>
            </w:r>
          </w:p>
        </w:tc>
        <w:tc>
          <w:tcPr>
            <w:tcW w:type="dxa" w:w="2265"/>
          </w:tcPr>
          <w:p w:rsidP="00843385" w:rsidR="00AD345A" w:rsidRDefault="00AD345A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&lt; au seuil déclencheur</w:t>
            </w:r>
          </w:p>
        </w:tc>
        <w:tc>
          <w:tcPr>
            <w:tcW w:type="dxa" w:w="2411"/>
          </w:tcPr>
          <w:p w:rsidP="00843385" w:rsidR="00AD345A" w:rsidRDefault="00AD345A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&gt;= au seuil déclencheur</w:t>
            </w:r>
          </w:p>
        </w:tc>
        <w:tc>
          <w:tcPr>
            <w:tcW w:type="dxa" w:w="2121"/>
          </w:tcPr>
          <w:p w:rsidP="00843385" w:rsidR="00AD345A" w:rsidRDefault="00AD345A" w:rsidRPr="00FB0AB6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FB0AB6">
              <w:rPr>
                <w:rFonts w:ascii="Verdana" w:cs="Arial" w:hAnsi="Verdana"/>
                <w:sz w:val="18"/>
                <w:szCs w:val="18"/>
              </w:rPr>
              <w:t>&gt;= au seuil bonus</w:t>
            </w:r>
          </w:p>
        </w:tc>
      </w:tr>
      <w:tr w:rsidR="00AD345A" w:rsidTr="00843385">
        <w:tc>
          <w:tcPr>
            <w:tcW w:type="dxa" w:w="2265"/>
          </w:tcPr>
          <w:p w:rsidP="00AD345A" w:rsidR="00AD345A" w:rsidRDefault="00AD345A" w:rsidRPr="00AD345A">
            <w:pPr>
              <w:jc w:val="both"/>
              <w:rPr>
                <w:rFonts w:ascii="Verdana" w:cs="Arial" w:hAnsi="Verdana"/>
                <w:sz w:val="18"/>
                <w:szCs w:val="18"/>
              </w:rPr>
            </w:pPr>
            <w:r w:rsidRPr="00AD345A">
              <w:rPr>
                <w:rFonts w:ascii="Verdana" w:cs="Arial" w:hAnsi="Verdana"/>
                <w:sz w:val="18"/>
                <w:szCs w:val="18"/>
              </w:rPr>
              <w:lastRenderedPageBreak/>
              <w:t>Performance de l’ilot</w:t>
            </w:r>
          </w:p>
        </w:tc>
        <w:tc>
          <w:tcPr>
            <w:tcW w:type="dxa" w:w="2265"/>
          </w:tcPr>
          <w:p w:rsidP="00843385" w:rsidR="00AD345A" w:rsidRDefault="00AD345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0 €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411"/>
          </w:tcPr>
          <w:p w:rsidP="00843385" w:rsidR="00AD345A" w:rsidRDefault="00FD48AB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15</w:t>
            </w:r>
            <w:r w:rsidR="00AD345A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  <w:tc>
          <w:tcPr>
            <w:tcW w:type="dxa" w:w="2121"/>
          </w:tcPr>
          <w:p w:rsidP="00843385" w:rsidR="00AD345A" w:rsidRDefault="00C50D0A">
            <w:pPr>
              <w:jc w:val="center"/>
              <w:rPr>
                <w:rFonts w:ascii="Verdana" w:cs="Arial" w:hAnsi="Verdana"/>
                <w:sz w:val="21"/>
                <w:szCs w:val="21"/>
              </w:rPr>
            </w:pPr>
            <w:r>
              <w:rPr>
                <w:rFonts w:ascii="Verdana" w:cs="Arial" w:hAnsi="Verdana"/>
                <w:sz w:val="21"/>
                <w:szCs w:val="21"/>
              </w:rPr>
              <w:t>40</w:t>
            </w:r>
            <w:r w:rsidR="00AD345A">
              <w:rPr>
                <w:rFonts w:ascii="Verdana" w:cs="Arial" w:hAnsi="Verdana"/>
                <w:sz w:val="21"/>
                <w:szCs w:val="21"/>
              </w:rPr>
              <w:t xml:space="preserve"> €</w:t>
            </w:r>
            <w:r w:rsidR="005F2648">
              <w:rPr>
                <w:rFonts w:ascii="Verdana" w:cs="Arial" w:hAnsi="Verdana"/>
                <w:sz w:val="21"/>
                <w:szCs w:val="21"/>
              </w:rPr>
              <w:t xml:space="preserve"> Brut</w:t>
            </w:r>
          </w:p>
        </w:tc>
      </w:tr>
    </w:tbl>
    <w:p w:rsidP="00D054E7" w:rsidR="00AD345A" w:rsidRDefault="00AD345A" w:rsidRPr="006A63C5">
      <w:pPr>
        <w:jc w:val="both"/>
        <w:rPr>
          <w:rFonts w:ascii="Verdana" w:cs="Arial" w:hAnsi="Verdana"/>
          <w:sz w:val="21"/>
          <w:szCs w:val="21"/>
        </w:rPr>
      </w:pPr>
    </w:p>
    <w:p w:rsidP="00C66C4B" w:rsidR="00C66C4B" w:rsidRDefault="00C66C4B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Cette prim</w:t>
      </w:r>
      <w:r w:rsidR="00DE3255">
        <w:rPr>
          <w:rFonts w:ascii="Verdana" w:cs="Arial" w:hAnsi="Verdana"/>
          <w:sz w:val="21"/>
          <w:szCs w:val="21"/>
        </w:rPr>
        <w:t>e d’ilot</w:t>
      </w:r>
      <w:r>
        <w:rPr>
          <w:rFonts w:ascii="Verdana" w:cs="Arial" w:hAnsi="Verdana"/>
          <w:sz w:val="21"/>
          <w:szCs w:val="21"/>
        </w:rPr>
        <w:t xml:space="preserve"> est mensuelle et sera versé</w:t>
      </w:r>
      <w:r w:rsidR="00DE3255">
        <w:rPr>
          <w:rFonts w:ascii="Verdana" w:cs="Arial" w:hAnsi="Verdana"/>
          <w:sz w:val="21"/>
          <w:szCs w:val="21"/>
        </w:rPr>
        <w:t>e</w:t>
      </w:r>
      <w:r>
        <w:rPr>
          <w:rFonts w:ascii="Verdana" w:cs="Arial" w:hAnsi="Verdana"/>
          <w:sz w:val="21"/>
          <w:szCs w:val="21"/>
        </w:rPr>
        <w:t xml:space="preserve"> sur le mois de paie suivant le mois concerné :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Prime ilot du mois de janvier versée sur la paie de février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Prime ilot du mois de février versée sur la paie de mars</w:t>
      </w:r>
    </w:p>
    <w:p w:rsidP="00C66C4B" w:rsidR="00C66C4B" w:rsidRDefault="00C66C4B">
      <w:pPr>
        <w:pStyle w:val="Paragraphedeliste"/>
        <w:numPr>
          <w:ilvl w:val="0"/>
          <w:numId w:val="6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…</w:t>
      </w:r>
    </w:p>
    <w:p w:rsidP="00C66C4B" w:rsidR="00C66C4B" w:rsidRDefault="00C66C4B">
      <w:pPr>
        <w:jc w:val="both"/>
        <w:rPr>
          <w:rFonts w:ascii="Verdana" w:cs="Arial" w:hAnsi="Verdana"/>
          <w:sz w:val="21"/>
          <w:szCs w:val="21"/>
        </w:rPr>
      </w:pPr>
    </w:p>
    <w:p w:rsidP="00DE3255" w:rsidR="00DE3255" w:rsidRDefault="00DE3255" w:rsidRPr="00DE3255">
      <w:pPr>
        <w:jc w:val="both"/>
        <w:rPr>
          <w:rFonts w:ascii="Verdana" w:cs="Arial" w:hAnsi="Verdana"/>
          <w:sz w:val="21"/>
          <w:szCs w:val="21"/>
        </w:rPr>
      </w:pPr>
      <w:r w:rsidRPr="00DE3255">
        <w:rPr>
          <w:rFonts w:ascii="Verdana" w:cs="Arial" w:hAnsi="Verdana"/>
          <w:sz w:val="21"/>
          <w:szCs w:val="21"/>
        </w:rPr>
        <w:t xml:space="preserve">Cette prime sera calculée au prorata du temps de présence effective sur le </w:t>
      </w:r>
      <w:r w:rsidR="00C50D0A">
        <w:rPr>
          <w:rFonts w:ascii="Verdana" w:cs="Arial" w:hAnsi="Verdana"/>
          <w:sz w:val="21"/>
          <w:szCs w:val="21"/>
        </w:rPr>
        <w:t>mois</w:t>
      </w:r>
      <w:r w:rsidRPr="00DE3255">
        <w:rPr>
          <w:rFonts w:ascii="Verdana" w:cs="Arial" w:hAnsi="Verdana"/>
          <w:sz w:val="21"/>
          <w:szCs w:val="21"/>
        </w:rPr>
        <w:t xml:space="preserve"> de référence. </w:t>
      </w:r>
    </w:p>
    <w:p w:rsidP="00DE3255" w:rsidR="00DE3255" w:rsidRDefault="00DE3255" w:rsidRPr="00DE3255">
      <w:pPr>
        <w:jc w:val="both"/>
        <w:rPr>
          <w:rFonts w:ascii="Verdana" w:cs="Arial" w:hAnsi="Verdana"/>
          <w:sz w:val="21"/>
          <w:szCs w:val="21"/>
        </w:rPr>
      </w:pPr>
      <w:r w:rsidRPr="00DE3255">
        <w:rPr>
          <w:rFonts w:ascii="Verdana" w:cs="Arial" w:hAnsi="Verdana"/>
          <w:sz w:val="21"/>
          <w:szCs w:val="21"/>
        </w:rPr>
        <w:t>Sera pris en compte comme temps de présence :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Arrêt pour maladie, accident de travail, maladie professionnelle ou maternité &lt;</w:t>
      </w:r>
      <w:r w:rsidR="00DE3255">
        <w:rPr>
          <w:rFonts w:ascii="Verdana" w:cs="Arial" w:hAnsi="Verdana"/>
          <w:sz w:val="21"/>
          <w:szCs w:val="21"/>
        </w:rPr>
        <w:t xml:space="preserve"> à 1 semaine</w:t>
      </w:r>
      <w:r>
        <w:rPr>
          <w:rFonts w:ascii="Verdana" w:cs="Arial" w:hAnsi="Verdana"/>
          <w:sz w:val="21"/>
          <w:szCs w:val="21"/>
        </w:rPr>
        <w:t xml:space="preserve"> sur le </w:t>
      </w:r>
      <w:r w:rsidR="00DE3255">
        <w:rPr>
          <w:rFonts w:ascii="Verdana" w:cs="Arial" w:hAnsi="Verdana"/>
          <w:sz w:val="21"/>
          <w:szCs w:val="21"/>
        </w:rPr>
        <w:t>mois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Les suspensions de contrat (congés sabbatique, congé parental, CIF,…) &lt;</w:t>
      </w:r>
      <w:r w:rsidR="00DE3255">
        <w:rPr>
          <w:rFonts w:ascii="Verdana" w:cs="Arial" w:hAnsi="Verdana"/>
          <w:sz w:val="21"/>
          <w:szCs w:val="21"/>
        </w:rPr>
        <w:t xml:space="preserve"> à 1 semaine</w:t>
      </w:r>
      <w:r w:rsidRPr="00D054E7">
        <w:rPr>
          <w:rFonts w:ascii="Verdana" w:cs="Arial" w:hAnsi="Verdana"/>
          <w:sz w:val="21"/>
          <w:szCs w:val="21"/>
        </w:rPr>
        <w:t xml:space="preserve"> </w:t>
      </w:r>
      <w:r w:rsidR="00DE3255">
        <w:rPr>
          <w:rFonts w:ascii="Verdana" w:cs="Arial" w:hAnsi="Verdana"/>
          <w:sz w:val="21"/>
          <w:szCs w:val="21"/>
        </w:rPr>
        <w:t>sur le mois</w:t>
      </w:r>
    </w:p>
    <w:p w:rsidP="009F6EFF" w:rsidR="009F6EFF" w:rsidRDefault="00DE3255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congés payés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 w:rsidRPr="00D054E7">
        <w:rPr>
          <w:rFonts w:ascii="Verdana" w:cs="Arial" w:hAnsi="Verdana"/>
          <w:sz w:val="21"/>
          <w:szCs w:val="21"/>
        </w:rPr>
        <w:t xml:space="preserve">événement familial 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absence autorisée non payée ou payée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H-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RTT</w:t>
      </w:r>
    </w:p>
    <w:p w:rsidP="009F6EFF" w:rsidR="009F6EFF" w:rsidRDefault="009F6EFF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Déménagement</w:t>
      </w:r>
    </w:p>
    <w:p w:rsidP="00C66C4B" w:rsidR="00C66C4B" w:rsidRDefault="00C66C4B" w:rsidRPr="00D054E7">
      <w:pPr>
        <w:jc w:val="both"/>
        <w:rPr>
          <w:rFonts w:ascii="Verdana" w:cs="Arial" w:hAnsi="Verdana"/>
          <w:sz w:val="21"/>
          <w:szCs w:val="21"/>
        </w:rPr>
      </w:pPr>
    </w:p>
    <w:p w:rsidP="009F6EFF" w:rsidR="009F6EFF" w:rsidRDefault="009F6EFF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Cette prime se substitue à la prime </w:t>
      </w:r>
      <w:r w:rsidR="00DE3255">
        <w:rPr>
          <w:rFonts w:ascii="Verdana" w:cs="Arial" w:hAnsi="Verdana"/>
          <w:sz w:val="21"/>
          <w:szCs w:val="21"/>
        </w:rPr>
        <w:t xml:space="preserve">exceptionnelle </w:t>
      </w:r>
      <w:r>
        <w:rPr>
          <w:rFonts w:ascii="Verdana" w:cs="Arial" w:hAnsi="Verdana"/>
          <w:sz w:val="21"/>
          <w:szCs w:val="21"/>
        </w:rPr>
        <w:t xml:space="preserve">gain de </w:t>
      </w:r>
      <w:r w:rsidR="00DE3255">
        <w:rPr>
          <w:rFonts w:ascii="Verdana" w:cs="Arial" w:hAnsi="Verdana"/>
          <w:sz w:val="21"/>
          <w:szCs w:val="21"/>
        </w:rPr>
        <w:t>production</w:t>
      </w:r>
      <w:r>
        <w:rPr>
          <w:rFonts w:ascii="Verdana" w:cs="Arial" w:hAnsi="Verdana"/>
          <w:sz w:val="21"/>
          <w:szCs w:val="21"/>
        </w:rPr>
        <w:t xml:space="preserve"> (prime jetons) à compter du 01 janvier 2018.</w:t>
      </w:r>
    </w:p>
    <w:p w:rsidP="00C66C4B" w:rsidR="00C66C4B" w:rsidRDefault="00C66C4B">
      <w:pPr>
        <w:jc w:val="both"/>
        <w:rPr>
          <w:rFonts w:ascii="Verdana" w:cs="Arial" w:hAnsi="Verdana"/>
          <w:sz w:val="21"/>
          <w:szCs w:val="21"/>
        </w:rPr>
      </w:pPr>
    </w:p>
    <w:p w:rsidP="00C66C4B" w:rsidR="00C66C4B" w:rsidRDefault="00C66C4B">
      <w:pPr>
        <w:ind w:firstLine="708"/>
        <w:jc w:val="both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>4.4 : 13</w:t>
      </w:r>
      <w:r w:rsidRPr="00C66C4B">
        <w:rPr>
          <w:rFonts w:ascii="Verdana" w:cs="Arial" w:hAnsi="Verdana"/>
          <w:b/>
          <w:sz w:val="21"/>
          <w:szCs w:val="21"/>
          <w:u w:val="single"/>
          <w:vertAlign w:val="superscript"/>
        </w:rPr>
        <w:t>ème</w:t>
      </w:r>
      <w:r>
        <w:rPr>
          <w:rFonts w:ascii="Verdana" w:cs="Arial" w:hAnsi="Verdana"/>
          <w:b/>
          <w:sz w:val="21"/>
          <w:szCs w:val="21"/>
          <w:u w:val="single"/>
        </w:rPr>
        <w:t xml:space="preserve"> mois</w:t>
      </w:r>
    </w:p>
    <w:p w:rsidP="00C66C4B" w:rsidR="00C66C4B" w:rsidRDefault="00C66C4B">
      <w:pPr>
        <w:ind w:firstLine="708"/>
        <w:jc w:val="both"/>
        <w:rPr>
          <w:rFonts w:ascii="Verdana" w:cs="Arial" w:hAnsi="Verdana"/>
          <w:b/>
          <w:sz w:val="21"/>
          <w:szCs w:val="21"/>
          <w:u w:val="single"/>
        </w:rPr>
      </w:pPr>
    </w:p>
    <w:p w:rsidP="00C66C4B" w:rsidR="00C66C4B" w:rsidRDefault="00C66C4B">
      <w:pPr>
        <w:jc w:val="both"/>
        <w:rPr>
          <w:rFonts w:ascii="Verdana" w:cs="Arial" w:hAnsi="Verdana"/>
          <w:sz w:val="21"/>
          <w:szCs w:val="21"/>
        </w:rPr>
      </w:pPr>
      <w:r w:rsidRPr="006A63C5">
        <w:rPr>
          <w:rFonts w:ascii="Verdana" w:cs="Arial" w:hAnsi="Verdana"/>
          <w:sz w:val="21"/>
          <w:szCs w:val="21"/>
        </w:rPr>
        <w:t xml:space="preserve">A compter du 1er </w:t>
      </w:r>
      <w:r>
        <w:rPr>
          <w:rFonts w:ascii="Verdana" w:cs="Arial" w:hAnsi="Verdana"/>
          <w:sz w:val="21"/>
          <w:szCs w:val="21"/>
        </w:rPr>
        <w:t>octobre 2017, le 13</w:t>
      </w:r>
      <w:r w:rsidRPr="00C66C4B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</w:t>
      </w:r>
      <w:r w:rsidR="002D3CDD">
        <w:rPr>
          <w:rFonts w:ascii="Verdana" w:cs="Arial" w:hAnsi="Verdana"/>
          <w:sz w:val="21"/>
          <w:szCs w:val="21"/>
        </w:rPr>
        <w:t>,</w:t>
      </w:r>
      <w:r>
        <w:rPr>
          <w:rFonts w:ascii="Verdana" w:cs="Arial" w:hAnsi="Verdana"/>
          <w:sz w:val="21"/>
          <w:szCs w:val="21"/>
        </w:rPr>
        <w:t xml:space="preserve"> pour la population employé</w:t>
      </w:r>
      <w:r w:rsidR="00C50D0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>, ouvrier</w:t>
      </w:r>
      <w:r w:rsidR="00C50D0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 xml:space="preserve"> et agent</w:t>
      </w:r>
      <w:r w:rsidR="00C50D0A">
        <w:rPr>
          <w:rFonts w:ascii="Verdana" w:cs="Arial" w:hAnsi="Verdana"/>
          <w:sz w:val="21"/>
          <w:szCs w:val="21"/>
        </w:rPr>
        <w:t>s</w:t>
      </w:r>
      <w:r>
        <w:rPr>
          <w:rFonts w:ascii="Verdana" w:cs="Arial" w:hAnsi="Verdana"/>
          <w:sz w:val="21"/>
          <w:szCs w:val="21"/>
        </w:rPr>
        <w:t xml:space="preserve"> de maitrise sera soumis aux conditions suivantes :</w:t>
      </w:r>
    </w:p>
    <w:p w:rsidP="00EB70F5" w:rsidR="00EB70F5" w:rsidRDefault="00EB70F5">
      <w:pPr>
        <w:jc w:val="both"/>
        <w:rPr>
          <w:rFonts w:ascii="Verdana" w:cs="Arial" w:hAnsi="Verdana"/>
          <w:sz w:val="21"/>
          <w:szCs w:val="21"/>
        </w:rPr>
      </w:pPr>
    </w:p>
    <w:p w:rsidP="00EB70F5" w:rsidR="00EB70F5" w:rsidRDefault="00DE325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C</w:t>
      </w:r>
      <w:r w:rsidR="007F303B" w:rsidRPr="00EB70F5">
        <w:rPr>
          <w:rFonts w:ascii="Verdana" w:cs="Arial" w:hAnsi="Verdana"/>
          <w:sz w:val="21"/>
          <w:szCs w:val="21"/>
        </w:rPr>
        <w:t>ondition d’ouverture du droit au 13</w:t>
      </w:r>
      <w:r w:rsidR="007F303B" w:rsidRPr="00EB70F5">
        <w:rPr>
          <w:rFonts w:ascii="Verdana" w:cs="Arial" w:hAnsi="Verdana"/>
          <w:sz w:val="21"/>
          <w:szCs w:val="21"/>
          <w:vertAlign w:val="superscript"/>
        </w:rPr>
        <w:t>ème</w:t>
      </w:r>
      <w:r w:rsidR="007F303B" w:rsidRPr="00EB70F5">
        <w:rPr>
          <w:rFonts w:ascii="Verdana" w:cs="Arial" w:hAnsi="Verdana"/>
          <w:sz w:val="21"/>
          <w:szCs w:val="21"/>
        </w:rPr>
        <w:t xml:space="preserve"> mois : </w:t>
      </w:r>
    </w:p>
    <w:p w:rsidP="00EB70F5" w:rsidR="00C66C4B" w:rsidRDefault="00DE3255" w:rsidRPr="00EB70F5">
      <w:pPr>
        <w:pStyle w:val="Paragraphedeliste"/>
        <w:numPr>
          <w:ilvl w:val="0"/>
          <w:numId w:val="9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A partir de </w:t>
      </w:r>
      <w:r w:rsidR="00C66C4B" w:rsidRPr="00EB70F5">
        <w:rPr>
          <w:rFonts w:ascii="Verdana" w:cs="Arial" w:hAnsi="Verdana"/>
          <w:sz w:val="21"/>
          <w:szCs w:val="21"/>
        </w:rPr>
        <w:t>1 an d’ancienneté</w:t>
      </w:r>
      <w:r w:rsidR="007D55E9" w:rsidRPr="00EB70F5">
        <w:rPr>
          <w:rFonts w:ascii="Verdana" w:cs="Arial" w:hAnsi="Verdana"/>
          <w:sz w:val="21"/>
          <w:szCs w:val="21"/>
        </w:rPr>
        <w:t xml:space="preserve"> dans l’</w:t>
      </w:r>
      <w:r w:rsidR="007F303B" w:rsidRPr="00EB70F5">
        <w:rPr>
          <w:rFonts w:ascii="Verdana" w:cs="Arial" w:hAnsi="Verdana"/>
          <w:sz w:val="21"/>
          <w:szCs w:val="21"/>
        </w:rPr>
        <w:t>entreprise</w:t>
      </w:r>
    </w:p>
    <w:p w:rsidP="00C66C4B" w:rsidR="00C66C4B" w:rsidRDefault="007D55E9">
      <w:pPr>
        <w:pStyle w:val="Paragraphedeliste"/>
        <w:numPr>
          <w:ilvl w:val="0"/>
          <w:numId w:val="1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Proratisation en cas de suspension de contrat et</w:t>
      </w:r>
      <w:r w:rsidR="002D3CDD">
        <w:rPr>
          <w:rFonts w:ascii="Verdana" w:cs="Arial" w:hAnsi="Verdana"/>
          <w:sz w:val="21"/>
          <w:szCs w:val="21"/>
        </w:rPr>
        <w:t>/ou</w:t>
      </w:r>
      <w:r>
        <w:rPr>
          <w:rFonts w:ascii="Verdana" w:cs="Arial" w:hAnsi="Verdana"/>
          <w:sz w:val="21"/>
          <w:szCs w:val="21"/>
        </w:rPr>
        <w:t xml:space="preserve"> d</w:t>
      </w:r>
      <w:r w:rsidR="002D3CDD">
        <w:rPr>
          <w:rFonts w:ascii="Verdana" w:cs="Arial" w:hAnsi="Verdana"/>
          <w:sz w:val="21"/>
          <w:szCs w:val="21"/>
        </w:rPr>
        <w:t>e fin de contrat</w:t>
      </w:r>
    </w:p>
    <w:p w:rsidP="00EB70F5" w:rsidR="00EB70F5" w:rsidRDefault="00EB70F5">
      <w:pPr>
        <w:jc w:val="both"/>
        <w:rPr>
          <w:rFonts w:ascii="Verdana" w:cs="Arial" w:hAnsi="Verdana"/>
          <w:sz w:val="21"/>
          <w:szCs w:val="21"/>
        </w:rPr>
      </w:pPr>
    </w:p>
    <w:p w:rsidP="00EB70F5" w:rsidR="00EB70F5" w:rsidRDefault="00EB70F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Assiette de calcul du 13</w:t>
      </w:r>
      <w:r w:rsidRPr="00EB70F5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 :</w:t>
      </w:r>
    </w:p>
    <w:p w:rsidP="00EB70F5" w:rsidR="00EB70F5" w:rsidRDefault="00EB70F5" w:rsidRPr="00EB70F5">
      <w:pPr>
        <w:pStyle w:val="Paragraphedeliste"/>
        <w:numPr>
          <w:ilvl w:val="0"/>
          <w:numId w:val="8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Un mois de salaire de base brut applicable au jour du versement</w:t>
      </w:r>
    </w:p>
    <w:p w:rsidP="007F303B" w:rsidR="007F303B" w:rsidRDefault="007F303B">
      <w:pPr>
        <w:jc w:val="both"/>
        <w:rPr>
          <w:rFonts w:ascii="Verdana" w:cs="Arial" w:hAnsi="Verdana"/>
          <w:sz w:val="21"/>
          <w:szCs w:val="21"/>
        </w:rPr>
      </w:pPr>
    </w:p>
    <w:p w:rsidP="007F303B" w:rsidR="007F303B" w:rsidRDefault="00DE325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M</w:t>
      </w:r>
      <w:r w:rsidR="007F303B">
        <w:rPr>
          <w:rFonts w:ascii="Verdana" w:cs="Arial" w:hAnsi="Verdana"/>
          <w:sz w:val="21"/>
          <w:szCs w:val="21"/>
        </w:rPr>
        <w:t>odalité du versement du 13</w:t>
      </w:r>
      <w:r w:rsidR="007F303B" w:rsidRPr="007F303B">
        <w:rPr>
          <w:rFonts w:ascii="Verdana" w:cs="Arial" w:hAnsi="Verdana"/>
          <w:sz w:val="21"/>
          <w:szCs w:val="21"/>
          <w:vertAlign w:val="superscript"/>
        </w:rPr>
        <w:t>ème</w:t>
      </w:r>
      <w:r w:rsidR="007F303B">
        <w:rPr>
          <w:rFonts w:ascii="Verdana" w:cs="Arial" w:hAnsi="Verdana"/>
          <w:sz w:val="21"/>
          <w:szCs w:val="21"/>
        </w:rPr>
        <w:t xml:space="preserve"> mois :</w:t>
      </w:r>
    </w:p>
    <w:p w:rsidP="00DE3255" w:rsidR="00DE3255" w:rsidRDefault="00DE3255">
      <w:pPr>
        <w:pStyle w:val="Paragraphedeliste"/>
        <w:numPr>
          <w:ilvl w:val="0"/>
          <w:numId w:val="7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 xml:space="preserve">Sur la première année de présence </w:t>
      </w:r>
    </w:p>
    <w:p w:rsidP="00DE3255" w:rsidR="00DE3255" w:rsidRDefault="00DE3255">
      <w:pPr>
        <w:pStyle w:val="Paragraphedeliste"/>
        <w:numPr>
          <w:ilvl w:val="1"/>
          <w:numId w:val="7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versement du 13</w:t>
      </w:r>
      <w:r w:rsidRPr="007F303B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 à la date anniversaire de 1 an de présence. Exemple : date d’entrée dans l’entreprise le 1</w:t>
      </w:r>
      <w:r w:rsidRPr="007F303B">
        <w:rPr>
          <w:rFonts w:ascii="Verdana" w:cs="Arial" w:hAnsi="Verdana"/>
          <w:sz w:val="21"/>
          <w:szCs w:val="21"/>
          <w:vertAlign w:val="superscript"/>
        </w:rPr>
        <w:t>er</w:t>
      </w:r>
      <w:r>
        <w:rPr>
          <w:rFonts w:ascii="Verdana" w:cs="Arial" w:hAnsi="Verdana"/>
          <w:sz w:val="21"/>
          <w:szCs w:val="21"/>
        </w:rPr>
        <w:t xml:space="preserve"> août. Versement du 13</w:t>
      </w:r>
      <w:r w:rsidRPr="007F303B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 sur la paie de septembre n+1.</w:t>
      </w:r>
    </w:p>
    <w:p w:rsidP="00DE3255" w:rsidR="00DE3255" w:rsidRDefault="00DE3255">
      <w:pPr>
        <w:pStyle w:val="Paragraphedeliste"/>
        <w:numPr>
          <w:ilvl w:val="1"/>
          <w:numId w:val="7"/>
        </w:num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Puis versement sur la paie de novembre du prorata correspondant à la fin de l’année (de septembre à décembre)</w:t>
      </w:r>
    </w:p>
    <w:p w:rsidP="00DE3255" w:rsidR="007F303B" w:rsidRDefault="007F303B" w:rsidRPr="00DE3255">
      <w:pPr>
        <w:pStyle w:val="Paragraphedeliste"/>
        <w:numPr>
          <w:ilvl w:val="0"/>
          <w:numId w:val="7"/>
        </w:numPr>
        <w:jc w:val="both"/>
        <w:rPr>
          <w:rFonts w:ascii="Verdana" w:cs="Arial" w:hAnsi="Verdana"/>
          <w:sz w:val="21"/>
          <w:szCs w:val="21"/>
        </w:rPr>
      </w:pPr>
      <w:r w:rsidRPr="00DE3255">
        <w:rPr>
          <w:rFonts w:ascii="Verdana" w:cs="Arial" w:hAnsi="Verdana"/>
          <w:sz w:val="21"/>
          <w:szCs w:val="21"/>
        </w:rPr>
        <w:t>Le versement du 13</w:t>
      </w:r>
      <w:r w:rsidRPr="00DE3255">
        <w:rPr>
          <w:rFonts w:ascii="Verdana" w:cs="Arial" w:hAnsi="Verdana"/>
          <w:sz w:val="21"/>
          <w:szCs w:val="21"/>
          <w:vertAlign w:val="superscript"/>
        </w:rPr>
        <w:t>ème</w:t>
      </w:r>
      <w:r w:rsidRPr="00DE3255">
        <w:rPr>
          <w:rFonts w:ascii="Verdana" w:cs="Arial" w:hAnsi="Verdana"/>
          <w:sz w:val="21"/>
          <w:szCs w:val="21"/>
        </w:rPr>
        <w:t xml:space="preserve"> mois sera effectif en totalité sur le bulletin de salaire du mois de novembre. </w:t>
      </w:r>
    </w:p>
    <w:p w:rsidP="007F303B" w:rsidR="007F303B" w:rsidRDefault="007F303B">
      <w:pPr>
        <w:jc w:val="both"/>
        <w:rPr>
          <w:rFonts w:ascii="Verdana" w:cs="Arial" w:hAnsi="Verdana"/>
          <w:sz w:val="21"/>
          <w:szCs w:val="21"/>
        </w:rPr>
      </w:pPr>
    </w:p>
    <w:p w:rsidP="007F303B" w:rsidR="007F303B" w:rsidRDefault="00EB70F5" w:rsidRPr="007F303B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L’ensemble de ces disposition</w:t>
      </w:r>
      <w:r w:rsidR="00DE6E2A">
        <w:rPr>
          <w:rFonts w:ascii="Verdana" w:cs="Arial" w:hAnsi="Verdana"/>
          <w:sz w:val="21"/>
          <w:szCs w:val="21"/>
        </w:rPr>
        <w:t>s</w:t>
      </w:r>
      <w:r w:rsidR="007F303B">
        <w:rPr>
          <w:rFonts w:ascii="Verdana" w:cs="Arial" w:hAnsi="Verdana"/>
          <w:sz w:val="21"/>
          <w:szCs w:val="21"/>
        </w:rPr>
        <w:t xml:space="preserve"> se substitue</w:t>
      </w:r>
      <w:r w:rsidR="00DE6E2A">
        <w:rPr>
          <w:rFonts w:ascii="Verdana" w:cs="Arial" w:hAnsi="Verdana"/>
          <w:sz w:val="21"/>
          <w:szCs w:val="21"/>
        </w:rPr>
        <w:t>nt</w:t>
      </w:r>
      <w:r w:rsidR="007F303B">
        <w:rPr>
          <w:rFonts w:ascii="Verdana" w:cs="Arial" w:hAnsi="Verdana"/>
          <w:sz w:val="21"/>
          <w:szCs w:val="21"/>
        </w:rPr>
        <w:t xml:space="preserve"> </w:t>
      </w:r>
      <w:r w:rsidR="00DE6E2A">
        <w:rPr>
          <w:rFonts w:ascii="Verdana" w:cs="Arial" w:hAnsi="Verdana"/>
          <w:sz w:val="21"/>
          <w:szCs w:val="21"/>
        </w:rPr>
        <w:t>automatiquement</w:t>
      </w:r>
      <w:r>
        <w:rPr>
          <w:rFonts w:ascii="Verdana" w:cs="Arial" w:hAnsi="Verdana"/>
          <w:sz w:val="21"/>
          <w:szCs w:val="21"/>
        </w:rPr>
        <w:t xml:space="preserve"> aux conditions de v</w:t>
      </w:r>
      <w:r w:rsidR="00DE6E2A">
        <w:rPr>
          <w:rFonts w:ascii="Verdana" w:cs="Arial" w:hAnsi="Verdana"/>
          <w:sz w:val="21"/>
          <w:szCs w:val="21"/>
        </w:rPr>
        <w:t>ersement,</w:t>
      </w:r>
      <w:r>
        <w:rPr>
          <w:rFonts w:ascii="Verdana" w:cs="Arial" w:hAnsi="Verdana"/>
          <w:sz w:val="21"/>
          <w:szCs w:val="21"/>
        </w:rPr>
        <w:t xml:space="preserve"> d’</w:t>
      </w:r>
      <w:r w:rsidR="00DE6E2A">
        <w:rPr>
          <w:rFonts w:ascii="Verdana" w:cs="Arial" w:hAnsi="Verdana"/>
          <w:sz w:val="21"/>
          <w:szCs w:val="21"/>
        </w:rPr>
        <w:t>ouverture des droits et d’assiette de calcul en vigueur.</w:t>
      </w:r>
    </w:p>
    <w:p w:rsidP="00C66C4B" w:rsidR="00C66C4B" w:rsidRDefault="00EB70F5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Au titre de l’exercice 2017, sera déduit du montant du 13</w:t>
      </w:r>
      <w:r w:rsidRPr="00EB70F5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 versé en novembre 2017 l’ensemble des acomptes du 13</w:t>
      </w:r>
      <w:r w:rsidRPr="00EB70F5">
        <w:rPr>
          <w:rFonts w:ascii="Verdana" w:cs="Arial" w:hAnsi="Verdana"/>
          <w:sz w:val="21"/>
          <w:szCs w:val="21"/>
          <w:vertAlign w:val="superscript"/>
        </w:rPr>
        <w:t>ème</w:t>
      </w:r>
      <w:r>
        <w:rPr>
          <w:rFonts w:ascii="Verdana" w:cs="Arial" w:hAnsi="Verdana"/>
          <w:sz w:val="21"/>
          <w:szCs w:val="21"/>
        </w:rPr>
        <w:t xml:space="preserve"> mois d’</w:t>
      </w:r>
      <w:r w:rsidR="00DE6E2A">
        <w:rPr>
          <w:rFonts w:ascii="Verdana" w:cs="Arial" w:hAnsi="Verdana"/>
          <w:sz w:val="21"/>
          <w:szCs w:val="21"/>
        </w:rPr>
        <w:t>ores et déjà versé sur l’année 2017.</w:t>
      </w:r>
    </w:p>
    <w:p w:rsidP="008842D7" w:rsidR="004E2C1A" w:rsidRDefault="004E2C1A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 xml:space="preserve">Article </w:t>
      </w:r>
      <w:r w:rsidR="00E0762F">
        <w:rPr>
          <w:rFonts w:ascii="Verdana" w:cs="Arial" w:hAnsi="Verdana"/>
          <w:b/>
          <w:sz w:val="21"/>
          <w:szCs w:val="21"/>
          <w:u w:val="single"/>
        </w:rPr>
        <w:t>5</w:t>
      </w:r>
      <w:r w:rsidRPr="00706E49">
        <w:rPr>
          <w:rFonts w:ascii="Verdana" w:cs="Arial" w:hAnsi="Verdana"/>
          <w:b/>
          <w:sz w:val="21"/>
          <w:szCs w:val="21"/>
          <w:u w:val="single"/>
        </w:rPr>
        <w:t xml:space="preserve"> – Durée de l’accord</w:t>
      </w:r>
    </w:p>
    <w:p w:rsidP="008842D7" w:rsidR="008842D7" w:rsidRDefault="008842D7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jc w:val="both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lastRenderedPageBreak/>
        <w:t xml:space="preserve">Le présent accord est conclu pour une durée </w:t>
      </w:r>
      <w:r>
        <w:rPr>
          <w:rFonts w:ascii="Verdana" w:cs="Arial" w:hAnsi="Verdana"/>
          <w:sz w:val="21"/>
          <w:szCs w:val="21"/>
        </w:rPr>
        <w:t>indéterminée et s’appliquera à compter de sa conclusion.</w:t>
      </w:r>
    </w:p>
    <w:p w:rsidP="008842D7" w:rsidR="008842D7" w:rsidRDefault="008842D7">
      <w:pPr>
        <w:outlineLvl w:val="0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8842D7" w:rsidRDefault="008842D7" w:rsidRPr="00706E49">
      <w:pPr>
        <w:outlineLvl w:val="0"/>
        <w:rPr>
          <w:rFonts w:ascii="Verdana" w:cs="Arial" w:hAnsi="Verdana"/>
          <w:b/>
          <w:sz w:val="21"/>
          <w:szCs w:val="21"/>
          <w:u w:val="single"/>
        </w:rPr>
      </w:pPr>
      <w:r>
        <w:rPr>
          <w:rFonts w:ascii="Verdana" w:cs="Arial" w:hAnsi="Verdana"/>
          <w:b/>
          <w:sz w:val="21"/>
          <w:szCs w:val="21"/>
          <w:u w:val="single"/>
        </w:rPr>
        <w:t xml:space="preserve">Article </w:t>
      </w:r>
      <w:r w:rsidR="00E0762F">
        <w:rPr>
          <w:rFonts w:ascii="Verdana" w:cs="Arial" w:hAnsi="Verdana"/>
          <w:b/>
          <w:sz w:val="21"/>
          <w:szCs w:val="21"/>
          <w:u w:val="single"/>
        </w:rPr>
        <w:t>6</w:t>
      </w:r>
      <w:r w:rsidRPr="00706E49">
        <w:rPr>
          <w:rFonts w:ascii="Verdana" w:cs="Arial" w:hAnsi="Verdana"/>
          <w:b/>
          <w:sz w:val="21"/>
          <w:szCs w:val="21"/>
          <w:u w:val="single"/>
        </w:rPr>
        <w:t xml:space="preserve"> – </w:t>
      </w:r>
      <w:r>
        <w:rPr>
          <w:rFonts w:ascii="Verdana" w:cs="Arial" w:hAnsi="Verdana"/>
          <w:b/>
          <w:sz w:val="21"/>
          <w:szCs w:val="21"/>
          <w:u w:val="single"/>
        </w:rPr>
        <w:t>Révision, Dénonciation</w:t>
      </w:r>
    </w:p>
    <w:p w:rsidP="008842D7" w:rsidR="006A63C5" w:rsidRDefault="006A63C5">
      <w:pPr>
        <w:jc w:val="both"/>
        <w:rPr>
          <w:rFonts w:ascii="Verdana" w:cs="Arial" w:hAnsi="Verdana"/>
          <w:sz w:val="21"/>
          <w:szCs w:val="21"/>
        </w:rPr>
      </w:pPr>
    </w:p>
    <w:p w:rsidP="008842D7" w:rsidR="008842D7" w:rsidRDefault="008842D7" w:rsidRPr="005662E3">
      <w:pPr>
        <w:jc w:val="both"/>
        <w:rPr>
          <w:rFonts w:ascii="Verdana" w:cs="Arial" w:hAnsi="Verdana"/>
          <w:sz w:val="21"/>
          <w:szCs w:val="21"/>
        </w:rPr>
      </w:pPr>
      <w:r w:rsidRPr="005662E3">
        <w:rPr>
          <w:rFonts w:ascii="Verdana" w:cs="Arial" w:hAnsi="Verdana"/>
          <w:sz w:val="21"/>
          <w:szCs w:val="21"/>
        </w:rPr>
        <w:t>Chaque p</w:t>
      </w:r>
      <w:r>
        <w:rPr>
          <w:rFonts w:ascii="Verdana" w:cs="Arial" w:hAnsi="Verdana"/>
          <w:sz w:val="21"/>
          <w:szCs w:val="21"/>
        </w:rPr>
        <w:t>artie signataire ou a</w:t>
      </w:r>
      <w:r w:rsidRPr="005662E3">
        <w:rPr>
          <w:rFonts w:ascii="Verdana" w:cs="Arial" w:hAnsi="Verdana"/>
          <w:sz w:val="21"/>
          <w:szCs w:val="21"/>
        </w:rPr>
        <w:t xml:space="preserve">dhérente peut demander la révision de </w:t>
      </w:r>
      <w:r w:rsidR="006A63C5">
        <w:rPr>
          <w:rFonts w:ascii="Verdana" w:cs="Arial" w:hAnsi="Verdana"/>
          <w:sz w:val="21"/>
          <w:szCs w:val="21"/>
        </w:rPr>
        <w:t>t</w:t>
      </w:r>
      <w:r w:rsidRPr="005662E3">
        <w:rPr>
          <w:rFonts w:ascii="Verdana" w:cs="Arial" w:hAnsi="Verdana"/>
          <w:sz w:val="21"/>
          <w:szCs w:val="21"/>
        </w:rPr>
        <w:t>out ou partie du présent accord.</w:t>
      </w:r>
    </w:p>
    <w:p w:rsidP="008842D7" w:rsidR="008842D7" w:rsidRDefault="008842D7">
      <w:pPr>
        <w:jc w:val="both"/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Le présent accord pourra être dénoncé par l’une ou l’autre des parties signataires ou adhérentes, après un préavis de trois mois.</w:t>
      </w:r>
    </w:p>
    <w:p w:rsidP="008842D7" w:rsidR="008842D7" w:rsidRDefault="008842D7">
      <w:pPr>
        <w:outlineLvl w:val="0"/>
        <w:rPr>
          <w:rFonts w:ascii="Verdana" w:cs="Arial" w:hAnsi="Verdana"/>
          <w:b/>
          <w:sz w:val="21"/>
          <w:szCs w:val="21"/>
          <w:u w:val="single"/>
        </w:rPr>
      </w:pPr>
    </w:p>
    <w:p w:rsidP="008842D7" w:rsidR="008842D7" w:rsidRDefault="008842D7" w:rsidRPr="00706E49">
      <w:pPr>
        <w:outlineLvl w:val="0"/>
        <w:rPr>
          <w:rFonts w:ascii="Verdana" w:cs="Arial" w:hAnsi="Verdana"/>
          <w:b/>
          <w:sz w:val="21"/>
          <w:szCs w:val="21"/>
          <w:u w:val="single"/>
        </w:rPr>
      </w:pPr>
      <w:r w:rsidRPr="00706E49">
        <w:rPr>
          <w:rFonts w:ascii="Verdana" w:cs="Arial" w:hAnsi="Verdana"/>
          <w:b/>
          <w:sz w:val="21"/>
          <w:szCs w:val="21"/>
          <w:u w:val="single"/>
        </w:rPr>
        <w:t>Articl</w:t>
      </w:r>
      <w:r>
        <w:rPr>
          <w:rFonts w:ascii="Verdana" w:cs="Arial" w:hAnsi="Verdana"/>
          <w:b/>
          <w:sz w:val="21"/>
          <w:szCs w:val="21"/>
          <w:u w:val="single"/>
        </w:rPr>
        <w:t xml:space="preserve">e </w:t>
      </w:r>
      <w:r w:rsidR="00E0762F">
        <w:rPr>
          <w:rFonts w:ascii="Verdana" w:cs="Arial" w:hAnsi="Verdana"/>
          <w:b/>
          <w:sz w:val="21"/>
          <w:szCs w:val="21"/>
          <w:u w:val="single"/>
        </w:rPr>
        <w:t>7</w:t>
      </w:r>
      <w:r w:rsidRPr="00706E49">
        <w:rPr>
          <w:rFonts w:ascii="Verdana" w:cs="Arial" w:hAnsi="Verdana"/>
          <w:b/>
          <w:sz w:val="21"/>
          <w:szCs w:val="21"/>
          <w:u w:val="single"/>
        </w:rPr>
        <w:t xml:space="preserve"> – Formalités de dépôt</w:t>
      </w:r>
    </w:p>
    <w:p w:rsidP="008842D7" w:rsidR="008842D7" w:rsidRDefault="008842D7" w:rsidRPr="00706E49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Le présent accord sera diffusé dans la Société et porté à la connaissance de tout le personnel par voie d’affichage, conformément aux dispositions du Code du Travail. </w:t>
      </w:r>
    </w:p>
    <w:p w:rsidP="008842D7" w:rsidR="008842D7" w:rsidRDefault="008842D7" w:rsidRPr="00706E49">
      <w:pPr>
        <w:rPr>
          <w:rFonts w:ascii="Verdana" w:cs="Arial" w:hAnsi="Verdana"/>
          <w:sz w:val="21"/>
          <w:szCs w:val="21"/>
        </w:rPr>
      </w:pPr>
    </w:p>
    <w:p w:rsidP="008842D7" w:rsidR="004E2C1A" w:rsidRDefault="008842D7">
      <w:pPr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Il sera déposé en un exemplaire sur support papier et un exemplaire sur support électronique à la DIRECCTE </w:t>
      </w:r>
      <w:r>
        <w:rPr>
          <w:rFonts w:ascii="Verdana" w:cs="Arial" w:hAnsi="Verdana"/>
          <w:sz w:val="21"/>
          <w:szCs w:val="21"/>
        </w:rPr>
        <w:t>Unité Territoriale de l’</w:t>
      </w:r>
      <w:r w:rsidR="006A63C5">
        <w:rPr>
          <w:rFonts w:ascii="Verdana" w:cs="Arial" w:hAnsi="Verdana"/>
          <w:sz w:val="21"/>
          <w:szCs w:val="21"/>
        </w:rPr>
        <w:t>Isère</w:t>
      </w:r>
      <w:r>
        <w:rPr>
          <w:rFonts w:ascii="Verdana" w:cs="Arial" w:hAnsi="Verdana"/>
          <w:sz w:val="21"/>
          <w:szCs w:val="21"/>
        </w:rPr>
        <w:t xml:space="preserve"> </w:t>
      </w:r>
      <w:r w:rsidRPr="00706E49">
        <w:rPr>
          <w:rFonts w:ascii="Verdana" w:cs="Arial" w:hAnsi="Verdana"/>
          <w:sz w:val="21"/>
          <w:szCs w:val="21"/>
        </w:rPr>
        <w:t xml:space="preserve">ainsi qu’un exemplaire au Secrétariat du Greffe du Conseil de Prud’hommes de </w:t>
      </w:r>
      <w:r w:rsidR="006A63C5">
        <w:rPr>
          <w:rFonts w:ascii="Verdana" w:cs="Arial" w:hAnsi="Verdana"/>
          <w:sz w:val="21"/>
          <w:szCs w:val="21"/>
        </w:rPr>
        <w:t>Vienne</w:t>
      </w:r>
      <w:r w:rsidRPr="00706E49">
        <w:rPr>
          <w:rFonts w:ascii="Verdana" w:cs="Arial" w:hAnsi="Verdana"/>
          <w:sz w:val="21"/>
          <w:szCs w:val="21"/>
        </w:rPr>
        <w:t>.</w:t>
      </w:r>
      <w:r w:rsidR="008D2E7C">
        <w:rPr>
          <w:rFonts w:ascii="Verdana" w:cs="Arial" w:hAnsi="Verdana"/>
          <w:sz w:val="21"/>
          <w:szCs w:val="21"/>
        </w:rPr>
        <w:t xml:space="preserve"> </w:t>
      </w:r>
    </w:p>
    <w:p w:rsidP="008842D7" w:rsidR="008842D7" w:rsidRDefault="008D2E7C">
      <w:pPr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>Accompagné d’un exemplaire du procès-verbal</w:t>
      </w:r>
      <w:r w:rsidR="004E2C1A">
        <w:rPr>
          <w:rFonts w:ascii="Verdana" w:cs="Arial" w:hAnsi="Verdana"/>
          <w:sz w:val="21"/>
          <w:szCs w:val="21"/>
        </w:rPr>
        <w:t xml:space="preserve"> d’ouverture des </w:t>
      </w:r>
      <w:r>
        <w:rPr>
          <w:rFonts w:ascii="Verdana" w:cs="Arial" w:hAnsi="Verdana"/>
          <w:sz w:val="21"/>
          <w:szCs w:val="21"/>
        </w:rPr>
        <w:t>négociation</w:t>
      </w:r>
      <w:r w:rsidR="004E2C1A">
        <w:rPr>
          <w:rFonts w:ascii="Verdana" w:cs="Arial" w:hAnsi="Verdana"/>
          <w:sz w:val="21"/>
          <w:szCs w:val="21"/>
        </w:rPr>
        <w:t>s portant sur les écarts de rémunération entre les hommes et les femmes.</w:t>
      </w:r>
    </w:p>
    <w:p w:rsidP="008842D7" w:rsidR="004E2C1A" w:rsidRDefault="004E2C1A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706E49">
      <w:pPr>
        <w:outlineLvl w:val="0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Fait en </w:t>
      </w:r>
      <w:r w:rsidR="00E0762F">
        <w:rPr>
          <w:rFonts w:ascii="Verdana" w:cs="Arial" w:hAnsi="Verdana"/>
          <w:sz w:val="21"/>
          <w:szCs w:val="21"/>
        </w:rPr>
        <w:t>6</w:t>
      </w:r>
      <w:r w:rsidRPr="00706E49">
        <w:rPr>
          <w:rFonts w:ascii="Verdana" w:cs="Arial" w:hAnsi="Verdana"/>
          <w:sz w:val="21"/>
          <w:szCs w:val="21"/>
        </w:rPr>
        <w:t xml:space="preserve"> exemplaires originaux, à </w:t>
      </w:r>
      <w:r w:rsidR="006A63C5">
        <w:rPr>
          <w:rFonts w:ascii="Verdana" w:cs="Arial" w:hAnsi="Verdana"/>
          <w:sz w:val="21"/>
          <w:szCs w:val="21"/>
        </w:rPr>
        <w:t xml:space="preserve">Charvieu-Chavagneux, le </w:t>
      </w:r>
      <w:r w:rsidR="009C085D">
        <w:rPr>
          <w:rFonts w:ascii="Verdana" w:cs="Arial" w:hAnsi="Verdana"/>
          <w:sz w:val="21"/>
          <w:szCs w:val="21"/>
        </w:rPr>
        <w:t>11 octobre 2017</w:t>
      </w:r>
      <w:r w:rsidR="006A63C5">
        <w:rPr>
          <w:rFonts w:ascii="Verdana" w:cs="Arial" w:hAnsi="Verdana"/>
          <w:sz w:val="21"/>
          <w:szCs w:val="21"/>
        </w:rPr>
        <w:t>,</w:t>
      </w:r>
    </w:p>
    <w:p w:rsidP="008842D7" w:rsidR="006A63C5" w:rsidRDefault="006A63C5">
      <w:pPr>
        <w:rPr>
          <w:rFonts w:ascii="Verdana" w:cs="Arial" w:hAnsi="Verdana"/>
          <w:sz w:val="21"/>
          <w:szCs w:val="21"/>
        </w:rPr>
      </w:pPr>
    </w:p>
    <w:p w:rsidP="006A63C5" w:rsidR="00D13C64" w:rsidRDefault="00D13C64">
      <w:pPr>
        <w:jc w:val="center"/>
        <w:rPr>
          <w:rFonts w:ascii="Verdana" w:cs="Arial" w:hAnsi="Verdana"/>
          <w:sz w:val="21"/>
          <w:szCs w:val="21"/>
        </w:rPr>
      </w:pPr>
    </w:p>
    <w:p w:rsidP="006A63C5" w:rsidR="008842D7" w:rsidRDefault="008842D7" w:rsidRPr="00706E49">
      <w:pPr>
        <w:jc w:val="center"/>
        <w:rPr>
          <w:rFonts w:ascii="Verdana" w:cs="Arial" w:hAnsi="Verdana"/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Pour la Société </w:t>
      </w:r>
      <w:r w:rsidR="006A63C5">
        <w:rPr>
          <w:rFonts w:ascii="Verdana" w:cs="Arial" w:hAnsi="Verdana"/>
          <w:sz w:val="21"/>
          <w:szCs w:val="21"/>
        </w:rPr>
        <w:t>BENOIT SNC</w:t>
      </w:r>
    </w:p>
    <w:p w:rsidP="008842D7" w:rsidR="008842D7" w:rsidRDefault="008842D7">
      <w:pPr>
        <w:rPr>
          <w:rFonts w:ascii="Verdana" w:cs="Arial" w:hAnsi="Verdana"/>
          <w:sz w:val="21"/>
          <w:szCs w:val="21"/>
        </w:rPr>
      </w:pPr>
    </w:p>
    <w:p w:rsidP="008842D7" w:rsidR="00615836" w:rsidRDefault="00615836">
      <w:pPr>
        <w:rPr>
          <w:rFonts w:ascii="Verdana" w:cs="Arial" w:hAnsi="Verdana"/>
          <w:sz w:val="21"/>
          <w:szCs w:val="21"/>
        </w:rPr>
      </w:pPr>
    </w:p>
    <w:p w:rsidP="008842D7" w:rsidR="006A63C5" w:rsidRDefault="006A63C5">
      <w:pPr>
        <w:rPr>
          <w:rFonts w:ascii="Verdana" w:cs="Arial" w:hAnsi="Verdana"/>
          <w:sz w:val="21"/>
          <w:szCs w:val="21"/>
        </w:rPr>
      </w:pPr>
    </w:p>
    <w:p w:rsidP="008842D7" w:rsidR="00D13C64" w:rsidRDefault="00D13C64">
      <w:pPr>
        <w:rPr>
          <w:rFonts w:ascii="Verdana" w:cs="Arial" w:hAnsi="Verdana"/>
          <w:sz w:val="21"/>
          <w:szCs w:val="21"/>
        </w:rPr>
      </w:pPr>
    </w:p>
    <w:p w:rsidP="008842D7" w:rsidR="006A63C5" w:rsidRDefault="006A63C5">
      <w:pPr>
        <w:rPr>
          <w:rFonts w:ascii="Verdana" w:cs="Arial" w:hAnsi="Verdana"/>
          <w:sz w:val="21"/>
          <w:szCs w:val="21"/>
        </w:rPr>
      </w:pPr>
    </w:p>
    <w:p w:rsidP="008842D7" w:rsidR="008842D7" w:rsidRDefault="008842D7">
      <w:pPr>
        <w:rPr>
          <w:rFonts w:ascii="Verdana" w:cs="Arial" w:hAnsi="Verdana"/>
          <w:sz w:val="21"/>
          <w:szCs w:val="21"/>
        </w:rPr>
      </w:pPr>
    </w:p>
    <w:p w:rsidP="008842D7" w:rsidR="008842D7" w:rsidRDefault="008842D7" w:rsidRPr="006A63C5">
      <w:pPr>
        <w:rPr>
          <w:sz w:val="21"/>
          <w:szCs w:val="21"/>
        </w:rPr>
      </w:pPr>
      <w:r w:rsidRPr="00706E49">
        <w:rPr>
          <w:rFonts w:ascii="Verdana" w:cs="Arial" w:hAnsi="Verdana"/>
          <w:sz w:val="21"/>
          <w:szCs w:val="21"/>
        </w:rPr>
        <w:t xml:space="preserve">Pour l’Organisation syndicale </w:t>
      </w:r>
      <w:r w:rsidR="006A63C5" w:rsidRPr="00706E49">
        <w:rPr>
          <w:rFonts w:ascii="Verdana" w:cs="Arial" w:hAnsi="Verdana"/>
          <w:sz w:val="21"/>
          <w:szCs w:val="21"/>
        </w:rPr>
        <w:t>CFDT</w:t>
      </w:r>
      <w:r w:rsidRPr="00706E49">
        <w:rPr>
          <w:rFonts w:ascii="Verdana" w:cs="Arial" w:hAnsi="Verdana"/>
          <w:sz w:val="21"/>
          <w:szCs w:val="21"/>
        </w:rPr>
        <w:tab/>
      </w:r>
      <w:r w:rsidR="006A63C5">
        <w:rPr>
          <w:rFonts w:ascii="Verdana" w:cs="Arial" w:hAnsi="Verdana"/>
          <w:sz w:val="21"/>
          <w:szCs w:val="21"/>
        </w:rPr>
        <w:tab/>
      </w:r>
      <w:r w:rsidR="006A63C5" w:rsidRPr="00706E49">
        <w:rPr>
          <w:rFonts w:ascii="Verdana" w:cs="Arial" w:hAnsi="Verdana"/>
          <w:sz w:val="21"/>
          <w:szCs w:val="21"/>
        </w:rPr>
        <w:t>Pour l’Organisation syndicale C</w:t>
      </w:r>
      <w:r w:rsidR="006A63C5">
        <w:rPr>
          <w:rFonts w:ascii="Verdana" w:cs="Arial" w:hAnsi="Verdana"/>
          <w:sz w:val="21"/>
          <w:szCs w:val="21"/>
        </w:rPr>
        <w:t>GT</w:t>
      </w:r>
    </w:p>
    <w:p w:rsidP="008842D7" w:rsidR="008D2E7C" w:rsidRDefault="008842D7" w:rsidRPr="008D2E7C">
      <w:pPr>
        <w:rPr>
          <w:rFonts w:ascii="Verdana" w:cs="Arial" w:hAnsi="Verdana"/>
          <w:sz w:val="21"/>
          <w:szCs w:val="21"/>
        </w:rPr>
      </w:pPr>
      <w:r>
        <w:rPr>
          <w:rFonts w:ascii="Verdana" w:cs="Arial" w:hAnsi="Verdana"/>
          <w:sz w:val="21"/>
          <w:szCs w:val="21"/>
        </w:rPr>
        <w:tab/>
      </w:r>
      <w:r>
        <w:rPr>
          <w:rFonts w:ascii="Verdana" w:cs="Arial" w:hAnsi="Verdana"/>
          <w:sz w:val="21"/>
          <w:szCs w:val="21"/>
        </w:rPr>
        <w:tab/>
      </w:r>
      <w:r w:rsidR="006A63C5">
        <w:rPr>
          <w:rFonts w:ascii="Verdana" w:cs="Arial" w:hAnsi="Verdana"/>
          <w:sz w:val="21"/>
          <w:szCs w:val="21"/>
        </w:rPr>
        <w:tab/>
      </w:r>
    </w:p>
    <w:sectPr w:rsidR="008D2E7C" w:rsidRPr="008D2E7C" w:rsidSect="00934C68">
      <w:footerReference r:id="rId10" w:type="default"/>
      <w:pgSz w:h="16838" w:w="11906"/>
      <w:pgMar w:bottom="568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A1" w:rsidRDefault="001269A1" w:rsidP="0023506C">
      <w:r>
        <w:separator/>
      </w:r>
    </w:p>
  </w:endnote>
  <w:endnote w:type="continuationSeparator" w:id="0">
    <w:p w:rsidR="001269A1" w:rsidRDefault="001269A1" w:rsidP="0023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A57F59" w:rsidRDefault="00A57F59">
    <w:pPr>
      <w:pStyle w:val="Pieddepage"/>
      <w:jc w:val="center"/>
      <w:rPr>
        <w:caps/>
        <w:color w:themeColor="accent1" w:val="5B9BD5"/>
      </w:rPr>
    </w:pPr>
    <w:r>
      <w:rPr>
        <w:caps/>
        <w:color w:themeColor="accent1" w:val="5B9BD5"/>
      </w:rPr>
      <w:fldChar w:fldCharType="begin"/>
    </w:r>
    <w:r>
      <w:rPr>
        <w:caps/>
        <w:color w:themeColor="accent1" w:val="5B9BD5"/>
      </w:rPr>
      <w:instrText>PAGE   \* MERGEFORMAT</w:instrText>
    </w:r>
    <w:r>
      <w:rPr>
        <w:caps/>
        <w:color w:themeColor="accent1" w:val="5B9BD5"/>
      </w:rPr>
      <w:fldChar w:fldCharType="separate"/>
    </w:r>
    <w:r w:rsidR="00653098" w:rsidRPr="00653098">
      <w:rPr>
        <w:caps/>
        <w:color w:themeColor="accent1" w:val="5B9BD5"/>
        <w:lang w:val="fr-FR"/>
      </w:rPr>
      <w:t>1</w:t>
    </w:r>
    <w:r>
      <w:rPr>
        <w:caps/>
        <w:color w:themeColor="accent1" w:val="5B9BD5"/>
      </w:rPr>
      <w:fldChar w:fldCharType="end"/>
    </w:r>
    <w:r>
      <w:rPr>
        <w:caps/>
        <w:color w:themeColor="accent1" w:val="5B9BD5"/>
      </w:rPr>
      <w:t>/5</w:t>
    </w:r>
  </w:p>
  <w:p w:rsidR="0023506C" w:rsidRDefault="0023506C">
    <w:pPr>
      <w:pStyle w:val="Pieddepage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23506C" w:rsidR="001269A1" w:rsidRDefault="001269A1">
      <w:r>
        <w:separator/>
      </w:r>
    </w:p>
  </w:footnote>
  <w:footnote w:id="0" w:type="continuationSeparator">
    <w:p w:rsidP="0023506C" w:rsidR="001269A1" w:rsidRDefault="001269A1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26C116A"/>
    <w:multiLevelType w:val="hybridMultilevel"/>
    <w:tmpl w:val="C55CE63E"/>
    <w:lvl w:ilvl="0" w:tplc="5F00E2F4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Arial" w:cs="Arial" w:eastAsia="Times New Roman" w:hAnsi="Aria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">
    <w:nsid w:val="0DAB0293"/>
    <w:multiLevelType w:val="hybridMultilevel"/>
    <w:tmpl w:val="095A24CE"/>
    <w:lvl w:ilvl="0" w:tplc="040C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">
    <w:nsid w:val="20B031CD"/>
    <w:multiLevelType w:val="hybridMultilevel"/>
    <w:tmpl w:val="E4C86AD2"/>
    <w:lvl w:ilvl="0" w:tplc="5F00E2F4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Arial" w:cs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 w:tplc="E7568070">
      <w:start w:val="6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Arial" w:eastAsia="Times New Roman" w:hAnsi="Symbol" w:hint="default"/>
        <w:i w:val="0"/>
      </w:rPr>
    </w:lvl>
    <w:lvl w:ilvl="3" w:tentative="1" w:tplc="040C0001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hAnsi="Wingdings" w:hint="default"/>
      </w:rPr>
    </w:lvl>
  </w:abstractNum>
  <w:abstractNum w:abstractNumId="3">
    <w:nsid w:val="31FB1E2F"/>
    <w:multiLevelType w:val="hybridMultilevel"/>
    <w:tmpl w:val="635A0788"/>
    <w:lvl w:ilvl="0" w:tplc="CE6A2DF4">
      <w:numFmt w:val="bullet"/>
      <w:lvlText w:val="-"/>
      <w:lvlJc w:val="left"/>
      <w:pPr>
        <w:tabs>
          <w:tab w:pos="1413" w:val="num"/>
        </w:tabs>
        <w:ind w:hanging="705" w:left="1413"/>
      </w:pPr>
      <w:rPr>
        <w:rFonts w:ascii="Verdana" w:cs="Arial" w:eastAsia="Times New Roman" w:hAnsi="Verdana" w:hint="default"/>
      </w:rPr>
    </w:lvl>
    <w:lvl w:ilvl="1" w:tentative="1" w:tplc="040C0003">
      <w:start w:val="1"/>
      <w:numFmt w:val="bullet"/>
      <w:lvlText w:val="o"/>
      <w:lvlJc w:val="left"/>
      <w:pPr>
        <w:tabs>
          <w:tab w:pos="1788" w:val="num"/>
        </w:tabs>
        <w:ind w:hanging="360" w:left="1788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2508" w:val="num"/>
        </w:tabs>
        <w:ind w:hanging="360" w:left="2508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3228" w:val="num"/>
        </w:tabs>
        <w:ind w:hanging="360" w:left="3228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948" w:val="num"/>
        </w:tabs>
        <w:ind w:hanging="360" w:left="3948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4668" w:val="num"/>
        </w:tabs>
        <w:ind w:hanging="360" w:left="4668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5388" w:val="num"/>
        </w:tabs>
        <w:ind w:hanging="360" w:left="5388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6108" w:val="num"/>
        </w:tabs>
        <w:ind w:hanging="360" w:left="6108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828" w:val="num"/>
        </w:tabs>
        <w:ind w:hanging="360" w:left="6828"/>
      </w:pPr>
      <w:rPr>
        <w:rFonts w:ascii="Wingdings" w:hAnsi="Wingdings" w:hint="default"/>
      </w:rPr>
    </w:lvl>
  </w:abstractNum>
  <w:abstractNum w:abstractNumId="4">
    <w:nsid w:val="3B3B141E"/>
    <w:multiLevelType w:val="hybridMultilevel"/>
    <w:tmpl w:val="DAD0E572"/>
    <w:lvl w:ilvl="0" w:tplc="5F00E2F4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Arial" w:cs="Arial" w:eastAsia="Times New Roman" w:hAnsi="Aria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5">
    <w:nsid w:val="3C7772D2"/>
    <w:multiLevelType w:val="hybridMultilevel"/>
    <w:tmpl w:val="450A2436"/>
    <w:lvl w:ilvl="0" w:tplc="040C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6">
    <w:nsid w:val="423E09F4"/>
    <w:multiLevelType w:val="hybridMultilevel"/>
    <w:tmpl w:val="FD182E0E"/>
    <w:lvl w:ilvl="0" w:tplc="05FE1DD6">
      <w:start w:val="1"/>
      <w:numFmt w:val="bullet"/>
      <w:lvlText w:val=""/>
      <w:lvlJc w:val="left"/>
      <w:pPr>
        <w:tabs>
          <w:tab w:pos="360" w:val="num"/>
        </w:tabs>
        <w:ind w:hanging="360" w:left="360"/>
      </w:pPr>
      <w:rPr>
        <w:rFonts w:ascii="Symbol" w:hAnsi="Symbol" w:hint="default"/>
        <w:color w:val="auto"/>
      </w:rPr>
    </w:lvl>
    <w:lvl w:ilvl="1" w:tentative="1" w:tplc="040C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ascii="Wingdings" w:hAnsi="Wingdings" w:hint="default"/>
      </w:rPr>
    </w:lvl>
  </w:abstractNum>
  <w:abstractNum w:abstractNumId="7">
    <w:nsid w:val="51754568"/>
    <w:multiLevelType w:val="hybridMultilevel"/>
    <w:tmpl w:val="1700CA74"/>
    <w:lvl w:ilvl="0" w:tplc="5F00E2F4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Arial" w:cs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8">
    <w:nsid w:val="603A60F3"/>
    <w:multiLevelType w:val="hybridMultilevel"/>
    <w:tmpl w:val="29F8909C"/>
    <w:lvl w:ilvl="0" w:tplc="5F00E2F4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Arial" w:cs="Arial" w:eastAsia="Times New Roman" w:hAnsi="Arial" w:hint="default"/>
      </w:rPr>
    </w:lvl>
    <w:lvl w:ilvl="1" w:tentative="1" w:tplc="040C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C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C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C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C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C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C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C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7"/>
    <w:rsid w:val="000134EA"/>
    <w:rsid w:val="001269A1"/>
    <w:rsid w:val="00127F83"/>
    <w:rsid w:val="001C483F"/>
    <w:rsid w:val="00224B61"/>
    <w:rsid w:val="0023506C"/>
    <w:rsid w:val="00245C3D"/>
    <w:rsid w:val="00290BC3"/>
    <w:rsid w:val="0029212B"/>
    <w:rsid w:val="002A00FF"/>
    <w:rsid w:val="002D3CDD"/>
    <w:rsid w:val="002E2020"/>
    <w:rsid w:val="003B7D13"/>
    <w:rsid w:val="00417771"/>
    <w:rsid w:val="00466426"/>
    <w:rsid w:val="004E2C1A"/>
    <w:rsid w:val="005238E6"/>
    <w:rsid w:val="00584061"/>
    <w:rsid w:val="005E2F5D"/>
    <w:rsid w:val="005F2648"/>
    <w:rsid w:val="0061377C"/>
    <w:rsid w:val="00615836"/>
    <w:rsid w:val="006334B1"/>
    <w:rsid w:val="0064557D"/>
    <w:rsid w:val="00653098"/>
    <w:rsid w:val="00670D2F"/>
    <w:rsid w:val="00686981"/>
    <w:rsid w:val="006A63C5"/>
    <w:rsid w:val="006F65F4"/>
    <w:rsid w:val="007175B0"/>
    <w:rsid w:val="00720883"/>
    <w:rsid w:val="00730A5C"/>
    <w:rsid w:val="00747E88"/>
    <w:rsid w:val="007576F8"/>
    <w:rsid w:val="007D55E9"/>
    <w:rsid w:val="007E6ECD"/>
    <w:rsid w:val="007F303B"/>
    <w:rsid w:val="007F46C5"/>
    <w:rsid w:val="00846676"/>
    <w:rsid w:val="00855FAA"/>
    <w:rsid w:val="008740F2"/>
    <w:rsid w:val="008842D7"/>
    <w:rsid w:val="008B4477"/>
    <w:rsid w:val="008C6EBA"/>
    <w:rsid w:val="008D2E7C"/>
    <w:rsid w:val="00904A91"/>
    <w:rsid w:val="00924257"/>
    <w:rsid w:val="0094049D"/>
    <w:rsid w:val="00946F3B"/>
    <w:rsid w:val="00982872"/>
    <w:rsid w:val="009A4FEE"/>
    <w:rsid w:val="009C085D"/>
    <w:rsid w:val="009F6EFF"/>
    <w:rsid w:val="009F7389"/>
    <w:rsid w:val="009F7E59"/>
    <w:rsid w:val="00A11E5F"/>
    <w:rsid w:val="00A34B6A"/>
    <w:rsid w:val="00A57F59"/>
    <w:rsid w:val="00A6008A"/>
    <w:rsid w:val="00AD1437"/>
    <w:rsid w:val="00AD345A"/>
    <w:rsid w:val="00B0277A"/>
    <w:rsid w:val="00B2129B"/>
    <w:rsid w:val="00B375D9"/>
    <w:rsid w:val="00B568E6"/>
    <w:rsid w:val="00B75352"/>
    <w:rsid w:val="00BC35EC"/>
    <w:rsid w:val="00BF117D"/>
    <w:rsid w:val="00C03481"/>
    <w:rsid w:val="00C50D0A"/>
    <w:rsid w:val="00C66C4B"/>
    <w:rsid w:val="00C81CE4"/>
    <w:rsid w:val="00CF3C98"/>
    <w:rsid w:val="00D054E7"/>
    <w:rsid w:val="00D06ECF"/>
    <w:rsid w:val="00D13C64"/>
    <w:rsid w:val="00D37A1B"/>
    <w:rsid w:val="00DE3255"/>
    <w:rsid w:val="00DE6E2A"/>
    <w:rsid w:val="00DF74F7"/>
    <w:rsid w:val="00E0762F"/>
    <w:rsid w:val="00E1452B"/>
    <w:rsid w:val="00E453FA"/>
    <w:rsid w:val="00E72696"/>
    <w:rsid w:val="00E81641"/>
    <w:rsid w:val="00E823FD"/>
    <w:rsid w:val="00EA46FC"/>
    <w:rsid w:val="00EB70F5"/>
    <w:rsid w:val="00EE6186"/>
    <w:rsid w:val="00F049F1"/>
    <w:rsid w:val="00F32391"/>
    <w:rsid w:val="00F92658"/>
    <w:rsid w:val="00FB0AB6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fr-FR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8842D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customStyle="1" w:styleId="Car1CarCarCarCarCarCar" w:type="paragraph">
    <w:name w:val="Car1 Car Car Car Car Car Car"/>
    <w:basedOn w:val="Normal"/>
    <w:rsid w:val="008842D7"/>
    <w:rPr>
      <w:rFonts w:ascii="Arial" w:cs="Arial" w:hAnsi="Arial"/>
      <w:bCs/>
      <w:sz w:val="20"/>
      <w:lang w:eastAsia="en-US" w:val="en-US"/>
    </w:rPr>
  </w:style>
  <w:style w:styleId="Pieddepage" w:type="paragraph">
    <w:name w:val="footer"/>
    <w:basedOn w:val="Normal"/>
    <w:link w:val="PieddepageCar"/>
    <w:uiPriority w:val="99"/>
    <w:rsid w:val="00BF117D"/>
    <w:rPr>
      <w:rFonts w:ascii="Arial" w:hAnsi="Arial"/>
      <w:noProof/>
      <w:color w:val="999999"/>
      <w:sz w:val="18"/>
      <w:szCs w:val="20"/>
      <w:lang w:eastAsia="de-CH" w:val="en-GB"/>
    </w:rPr>
  </w:style>
  <w:style w:customStyle="1" w:styleId="PieddepageCar" w:type="character">
    <w:name w:val="Pied de page Car"/>
    <w:basedOn w:val="Policepardfaut"/>
    <w:link w:val="Pieddepage"/>
    <w:uiPriority w:val="99"/>
    <w:rsid w:val="00BF117D"/>
    <w:rPr>
      <w:rFonts w:ascii="Arial" w:cs="Times New Roman" w:eastAsia="Times New Roman" w:hAnsi="Arial"/>
      <w:noProof/>
      <w:color w:val="999999"/>
      <w:sz w:val="18"/>
      <w:szCs w:val="20"/>
      <w:lang w:eastAsia="de-CH" w:val="en-GB"/>
    </w:rPr>
  </w:style>
  <w:style w:styleId="Numrodepage" w:type="character">
    <w:name w:val="page number"/>
    <w:basedOn w:val="Policepardfaut"/>
    <w:rsid w:val="00BF117D"/>
    <w:rPr>
      <w:rFonts w:ascii="Arial" w:hAnsi="Arial"/>
      <w:noProof/>
      <w:color w:val="999999"/>
      <w:sz w:val="22"/>
      <w:lang w:val="en-GB"/>
    </w:rPr>
  </w:style>
  <w:style w:styleId="Textedebulles" w:type="paragraph">
    <w:name w:val="Balloon Text"/>
    <w:basedOn w:val="Normal"/>
    <w:link w:val="TextedebullesCar"/>
    <w:uiPriority w:val="99"/>
    <w:semiHidden/>
    <w:unhideWhenUsed/>
    <w:rsid w:val="00C81CE4"/>
    <w:rPr>
      <w:rFonts w:ascii="Segoe UI" w:cs="Segoe UI" w:hAnsi="Segoe UI"/>
      <w:sz w:val="18"/>
      <w:szCs w:val="18"/>
    </w:rPr>
  </w:style>
  <w:style w:customStyle="1" w:styleId="TextedebullesCar" w:type="character">
    <w:name w:val="Texte de bulles Car"/>
    <w:basedOn w:val="Policepardfaut"/>
    <w:link w:val="Textedebulles"/>
    <w:uiPriority w:val="99"/>
    <w:semiHidden/>
    <w:rsid w:val="00C81CE4"/>
    <w:rPr>
      <w:rFonts w:ascii="Segoe UI" w:cs="Segoe UI" w:eastAsia="Times New Roman" w:hAnsi="Segoe UI"/>
      <w:sz w:val="18"/>
      <w:szCs w:val="18"/>
      <w:lang w:eastAsia="fr-FR"/>
    </w:rPr>
  </w:style>
  <w:style w:styleId="En-tte" w:type="paragraph">
    <w:name w:val="header"/>
    <w:basedOn w:val="Normal"/>
    <w:link w:val="En-tteCar"/>
    <w:uiPriority w:val="99"/>
    <w:unhideWhenUsed/>
    <w:rsid w:val="0023506C"/>
    <w:pPr>
      <w:tabs>
        <w:tab w:pos="4536" w:val="center"/>
        <w:tab w:pos="9072" w:val="right"/>
      </w:tabs>
    </w:pPr>
  </w:style>
  <w:style w:customStyle="1" w:styleId="En-tteCar" w:type="character">
    <w:name w:val="En-tête Car"/>
    <w:basedOn w:val="Policepardfaut"/>
    <w:link w:val="En-tte"/>
    <w:uiPriority w:val="99"/>
    <w:rsid w:val="0023506C"/>
    <w:rPr>
      <w:rFonts w:ascii="Times New Roman" w:cs="Times New Roman" w:eastAsia="Times New Roman" w:hAnsi="Times New Roman"/>
      <w:sz w:val="24"/>
      <w:szCs w:val="24"/>
      <w:lang w:eastAsia="fr-FR"/>
    </w:rPr>
  </w:style>
  <w:style w:styleId="Paragraphedeliste" w:type="paragraph">
    <w:name w:val="List Paragraph"/>
    <w:basedOn w:val="Normal"/>
    <w:uiPriority w:val="34"/>
    <w:qFormat/>
    <w:rsid w:val="007E6ECD"/>
    <w:pPr>
      <w:ind w:left="720"/>
      <w:contextualSpacing/>
    </w:pPr>
  </w:style>
  <w:style w:styleId="Grilledutableau" w:type="table">
    <w:name w:val="Table Grid"/>
    <w:basedOn w:val="TableauNormal"/>
    <w:uiPriority w:val="39"/>
    <w:rsid w:val="00B7535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Rfrenceple" w:type="character">
    <w:name w:val="Subtle Reference"/>
    <w:basedOn w:val="Policepardfaut"/>
    <w:uiPriority w:val="31"/>
    <w:qFormat/>
    <w:rsid w:val="00CF3C98"/>
    <w:rPr>
      <w:smallCaps/>
      <w:color w:themeColor="text1" w:themeTint="A5"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1CarCarCarCarCarCar">
    <w:name w:val="Car1 Car Car Car Car Car Car"/>
    <w:basedOn w:val="Normal"/>
    <w:rsid w:val="008842D7"/>
    <w:rPr>
      <w:rFonts w:ascii="Arial" w:hAnsi="Arial" w:cs="Arial"/>
      <w:bCs/>
      <w:sz w:val="20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F117D"/>
    <w:rPr>
      <w:rFonts w:ascii="Arial" w:hAnsi="Arial"/>
      <w:noProof/>
      <w:color w:val="999999"/>
      <w:sz w:val="18"/>
      <w:szCs w:val="20"/>
      <w:lang w:val="en-GB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BF117D"/>
    <w:rPr>
      <w:rFonts w:ascii="Arial" w:eastAsia="Times New Roman" w:hAnsi="Arial" w:cs="Times New Roman"/>
      <w:noProof/>
      <w:color w:val="999999"/>
      <w:sz w:val="18"/>
      <w:szCs w:val="20"/>
      <w:lang w:val="en-GB" w:eastAsia="de-CH"/>
    </w:rPr>
  </w:style>
  <w:style w:type="character" w:styleId="Numrodepage">
    <w:name w:val="page number"/>
    <w:basedOn w:val="Policepardfaut"/>
    <w:rsid w:val="00BF117D"/>
    <w:rPr>
      <w:rFonts w:ascii="Arial" w:hAnsi="Arial"/>
      <w:noProof/>
      <w:color w:val="999999"/>
      <w:sz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C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CE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50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50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6E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sid w:val="00CF3C9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2017-10-11T11:37:00Z</cp:lastPrinted>
  <dcterms:created xsi:type="dcterms:W3CDTF">2018-02-27T09:47:00Z</dcterms:created>
  <dcterms:modified xsi:type="dcterms:W3CDTF">2018-02-27T09:47:00Z</dcterms:modified>
</cp:coreProperties>
</file>