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firstLine="709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709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709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709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709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PROCES VERBAL RELATIF A LA NEGOCIATION ANNUELLE OBLIGATOIRE 2019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ENTRE :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La société JEAN HENAFF SA, Société Anonyme</w:t>
      </w:r>
      <w:r>
        <w:rPr>
          <w:rFonts w:cs="Arial" w:ascii="Arial" w:hAnsi="Arial"/>
          <w:sz w:val="20"/>
        </w:rPr>
        <w:t xml:space="preserve"> dont le siège est à Ker Hastell POULDREUZIC (29710), inscrite au RCS de QUIMPER sous le numéro 375 580 594,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Représentée par… agissant en qualité de Président du Directoire.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La société JEAN HENAFF SAS, Société par Actions Simplifiée</w:t>
      </w:r>
      <w:r>
        <w:rPr>
          <w:rFonts w:cs="Arial" w:ascii="Arial" w:hAnsi="Arial"/>
          <w:sz w:val="20"/>
        </w:rPr>
        <w:t xml:space="preserve"> dont le siège est à Ker Hastell POULDREUZIC (29710), inscrite au RCS de QUIMPER sous le numéro 402 978 639,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Représentée par… agissant en qualité de Président du Directoire.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>Composant l’Unité Économique et Sociale JEAN HENAFF</w:t>
      </w:r>
    </w:p>
    <w:p>
      <w:pPr>
        <w:pStyle w:val="Normal"/>
        <w:jc w:val="right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jc w:val="right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D’une part</w:t>
      </w:r>
    </w:p>
    <w:p>
      <w:pPr>
        <w:pStyle w:val="Normal"/>
        <w:jc w:val="right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ET :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ab/>
        <w:t>Le représentant de l’organisation syndicale :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Monsieur…, agissant en qualité de Délégué Syndical CFDT.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D’autre part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PREAMBULE :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Les parties ont engagé les négociations annuelles obligatoires au titre de l’année 2019, et à cette fin elles se sont rencontrées à plusieurs reprises lors de différentes réunions de négociation qui se sont tenues les 15 Février, 7 mars, 21 Mars 2019 et 30 Juillet 2019, Madame … représentant la Direction en sa qualité de Directrice des ressources humaines.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 syndicat a disposé des documents nécessaires établis par l’entreprise pour aborder la négociation, et lors de celle-ci l’ensemble des thèmes relatifs à la négociation annuelle obligatoire ont été abordés.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Il a été arrêté et convenu ce qui suit :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I – </w:t>
      </w:r>
      <w:r>
        <w:rPr>
          <w:rFonts w:cs="Arial" w:ascii="Arial" w:hAnsi="Arial"/>
          <w:b/>
          <w:sz w:val="20"/>
          <w:u w:val="single"/>
        </w:rPr>
        <w:t>Rémunérations, temps de travail, répartition de la valeur ajoutée et couverture sociale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Arial" w:ascii="Arial" w:hAnsi="Arial"/>
          <w:b/>
          <w:sz w:val="20"/>
          <w:u w:val="single"/>
        </w:rPr>
        <w:t>Salaires réels</w:t>
      </w:r>
      <w:r>
        <w:rPr>
          <w:rFonts w:cs="Arial" w:ascii="Arial" w:hAnsi="Arial"/>
          <w:sz w:val="20"/>
        </w:rPr>
        <w:t> 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Cf accord des salaires signé le 28 Mars 2019 et accord d’intéressement en date du 27 Juin 2019.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 xml:space="preserve">II – QUALITE DE VIE AU TRAVAIL ET GESTION DES EMPLOIS 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  <w:u w:val="single"/>
        </w:rPr>
        <w:t>Égalité hommes –femmes</w:t>
      </w:r>
      <w:r>
        <w:rPr>
          <w:rFonts w:cs="Arial" w:ascii="Arial" w:hAnsi="Arial"/>
          <w:b/>
          <w:sz w:val="20"/>
        </w:rPr>
        <w:t> 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/>
        <w:rPr>
          <w:rFonts w:ascii="Arial" w:hAnsi="Arial" w:cs="Arial"/>
          <w:iCs/>
          <w:sz w:val="20"/>
        </w:rPr>
      </w:pPr>
      <w:r>
        <w:rPr>
          <w:rFonts w:cs="Arial" w:ascii="Arial" w:hAnsi="Arial"/>
          <w:iCs/>
          <w:sz w:val="20"/>
        </w:rPr>
        <w:t xml:space="preserve">Les processus de recrutement et de détermination des salaires excluent toute discrimination sexuée. </w:t>
      </w:r>
    </w:p>
    <w:p>
      <w:pPr>
        <w:pStyle w:val="Normal"/>
        <w:spacing w:lineRule="auto" w:line="240"/>
        <w:rPr>
          <w:rFonts w:ascii="Arial" w:hAnsi="Arial" w:cs="Arial"/>
          <w:iCs/>
          <w:sz w:val="20"/>
        </w:rPr>
      </w:pPr>
      <w:r>
        <w:rPr>
          <w:rFonts w:cs="Arial" w:ascii="Arial" w:hAnsi="Arial"/>
          <w:iCs/>
          <w:sz w:val="20"/>
        </w:rPr>
      </w:r>
    </w:p>
    <w:p>
      <w:pPr>
        <w:pStyle w:val="Normal"/>
        <w:spacing w:lineRule="auto" w:line="240"/>
        <w:rPr>
          <w:rFonts w:ascii="Arial" w:hAnsi="Arial" w:cs="Arial"/>
          <w:iCs/>
          <w:sz w:val="20"/>
        </w:rPr>
      </w:pPr>
      <w:r>
        <w:rPr>
          <w:rFonts w:cs="Arial" w:ascii="Arial" w:hAnsi="Arial"/>
          <w:iCs/>
          <w:sz w:val="20"/>
        </w:rPr>
      </w:r>
    </w:p>
    <w:p>
      <w:pPr>
        <w:pStyle w:val="Normal"/>
        <w:spacing w:lineRule="auto" w:line="256" w:before="0" w:after="160"/>
        <w:rPr>
          <w:rFonts w:ascii="Calibri" w:hAnsi="Calibri" w:eastAsia="Calibri" w:cs="Calibri"/>
          <w:bCs/>
          <w:szCs w:val="22"/>
          <w:lang w:eastAsia="en-US"/>
        </w:rPr>
      </w:pPr>
      <w:r>
        <w:rPr>
          <w:rFonts w:eastAsia="Calibri" w:cs="Calibri" w:ascii="Calibri" w:hAnsi="Calibri"/>
          <w:bCs/>
          <w:szCs w:val="22"/>
          <w:lang w:eastAsia="en-US"/>
        </w:rPr>
        <w:t>L’évaluation des indicateurs d’écart de rémunération entre les hommes et les femmes pour l’année 2018 donne un résultat de 91 points.</w:t>
      </w:r>
    </w:p>
    <w:p>
      <w:pPr>
        <w:pStyle w:val="Normal"/>
        <w:spacing w:lineRule="auto" w:line="256" w:before="0" w:after="160"/>
        <w:jc w:val="center"/>
        <w:rPr>
          <w:rFonts w:ascii="Calibri" w:hAnsi="Calibri" w:eastAsia="Calibri" w:cs="Calibri"/>
          <w:b/>
          <w:b/>
          <w:bCs/>
          <w:sz w:val="28"/>
          <w:szCs w:val="28"/>
          <w:lang w:eastAsia="en-US"/>
        </w:rPr>
      </w:pPr>
      <w:r>
        <w:rPr>
          <w:rFonts w:eastAsia="Calibri" w:cs="Calibri" w:ascii="Calibri" w:hAnsi="Calibri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56" w:before="0" w:after="160"/>
        <w:jc w:val="center"/>
        <w:rPr>
          <w:rFonts w:ascii="Calibri" w:hAnsi="Calibri" w:eastAsia="Calibri" w:cs="Calibri"/>
          <w:b/>
          <w:b/>
          <w:bCs/>
          <w:szCs w:val="22"/>
          <w:lang w:eastAsia="en-US"/>
        </w:rPr>
      </w:pPr>
      <w:r>
        <w:rPr>
          <w:rFonts w:eastAsia="Calibri" w:cs="Calibri" w:ascii="Calibri" w:hAnsi="Calibri"/>
          <w:b/>
          <w:szCs w:val="22"/>
          <w:lang w:eastAsia="en-US"/>
        </w:rPr>
        <w:t xml:space="preserve">Selon le </w:t>
      </w:r>
      <w:r>
        <w:rPr>
          <w:rFonts w:eastAsia="Calibri" w:cs="Calibri" w:ascii="Calibri" w:hAnsi="Calibri"/>
          <w:b/>
          <w:bCs/>
          <w:szCs w:val="22"/>
          <w:lang w:eastAsia="en-US"/>
        </w:rPr>
        <w:t>Décret n° 2019-15 du 8 janvier 2019 portant application des dispositions visant à supprimer les écarts de rémunération entre les femmes et les hommes dans l'entreprise et relatives à la lutte contre les violences sexuelles et les agissements sexistes au travail</w:t>
      </w:r>
    </w:p>
    <w:p>
      <w:pPr>
        <w:pStyle w:val="Normal"/>
        <w:spacing w:lineRule="auto" w:line="256" w:before="0" w:after="160"/>
        <w:jc w:val="center"/>
        <w:rPr>
          <w:rFonts w:ascii="Calibri" w:hAnsi="Calibri" w:eastAsia="Calibri" w:cs="Calibri"/>
          <w:b/>
          <w:b/>
          <w:bCs/>
          <w:szCs w:val="22"/>
          <w:lang w:eastAsia="en-US"/>
        </w:rPr>
      </w:pPr>
      <w:r>
        <w:rPr>
          <w:rFonts w:eastAsia="Calibri" w:cs="Calibri" w:ascii="Calibri" w:hAnsi="Calibri"/>
          <w:b/>
          <w:bCs/>
          <w:szCs w:val="22"/>
          <w:lang w:eastAsia="en-US"/>
        </w:rPr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10"/>
        <w:gridCol w:w="1542"/>
        <w:gridCol w:w="992"/>
        <w:gridCol w:w="5539"/>
      </w:tblGrid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  <w:t>Indicateur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  <w:t>Résultat obtenu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  <w:t>Nombre de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  <w:t>Commentaires et recommandations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Indicateur relatif à l’écart de rémunération entre les femmes et les hommes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 xml:space="preserve">Par tranches d’âge et par CSP : 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Supérieur à 3% et inférieur ou égal à 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36/40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Au sein de la CSP Ouvrier : l’écart des rémunérations H/F est maîtrisé par l’application des coefficients correspondant à une pesée et à une classification des postes. L’évolution des rémunérations est également suivie par la classification mise en œuvre.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Tranches de « moins de 30 ans » et « de 30 à 39 ans » : l’écart des rémunérations HF est négatif avant application du seuil de pertinence, ce qui correspond à des rémunérations plus importantes pour les femmes que pour les hommes, plus particulièrement sur la CSP TAM.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Tranches de « 40 à 45 ans » et de « 50 ans et plus » : l’écart des rémunérations H/F se creuse un peu plus dans les CSP TAM et Cadre.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Recommandations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Principal axe de réflexion sur les catégories TAM et Cadre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 xml:space="preserve">Réfléchir à des indicateurs comparables pour des postes pouvant être très différents dans le contenu. 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Sur les postes clés  réaliser 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Comparaison des salaires fixés par rapport au marché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Comparaison des salaires en tenant compte de l’ancienneté sur le poste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Analyse des AI pratiquées chaque année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Indicateur relatif à l’écart de taux d’augmentations individuelles entre les femmes et les hommes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Inférieur ou égal à 2 points de % ou à 2 salariés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35/35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szCs w:val="22"/>
                <w:u w:val="single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u w:val="single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Taux d’augmentation en nombre HF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Le taux d’augmentations individuelles HF, comme défini dans le décret d’application, est très proche en termes de nombre d’hommes et de femmes concernés (écart absolu de 1,04%).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Taux d’augmentation avant/après AI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 titre informatif, si on prend en considération les rémunérations avant et après AI, la moyenne de l’augmentation est moins importante pour les femmes que pour les hommes (3,53% contre 3,96%).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 noter, que la plus grande AI concerne un homme suite à une promotion (Ouvrier&gt;Technicien). Sans cette promotion, la moyenne de l’augmentation des rémunérations reste toujours moins importante pour les femmes que pour les hommes (3,53% contre 3,96%).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Recommandations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Etude sur les promotions internes 2016, 2017 et 2018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Indicateur relatif au pourcentage de salariées ayant bénéficié d’une augmentation dans l’année suivant leur retour de congé de maternité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Egal à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15/15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1 seul congé maternité en 2018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AI pendant l’état de grossesse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AI avril 2019, soit dans l’année suivant son congé maternité 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Recommandations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AI après et non avant congé maternité si possible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 formaliser lors de l’entretien de retour de congé maternité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Indicateur relatif au nombre de salariés du sexe sous-représenté parmi les dix salariés ayant perçu les plus hautes rémunérations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3 salariés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5/10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3 femmes sur 10 salariés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Positionnement des femmes : Rangs 3, 6 et 10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  <w:lang w:eastAsia="en-US"/>
              </w:rPr>
              <w:t>Recommandations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 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Analyse des évolutions individuelles des cadres supérieures femmes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  <w:t>TOTAL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b/>
                <w:b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u w:val="single"/>
                <w:lang w:eastAsia="en-US"/>
              </w:rPr>
              <w:t>91 points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Calibri" w:hAnsi="Calibri" w:eastAsia="Calibri" w:cs="Calibri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Calibri" w:ascii="Calibri" w:hAnsi="Calibri"/>
                <w:b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spacing w:lineRule="auto" w:line="256" w:before="0" w:after="160"/>
        <w:jc w:val="left"/>
        <w:rPr>
          <w:rFonts w:ascii="Calibri" w:hAnsi="Calibri" w:eastAsia="Calibri" w:cs="Calibri"/>
          <w:szCs w:val="22"/>
          <w:lang w:eastAsia="en-US"/>
        </w:rPr>
      </w:pPr>
      <w:r>
        <w:rPr>
          <w:rFonts w:eastAsia="Calibri" w:cs="Calibri" w:ascii="Calibri" w:hAnsi="Calibri"/>
          <w:szCs w:val="22"/>
          <w:lang w:eastAsia="en-US"/>
        </w:rPr>
      </w:r>
    </w:p>
    <w:p>
      <w:pPr>
        <w:pStyle w:val="Normal"/>
        <w:spacing w:lineRule="auto" w:line="240"/>
        <w:rPr>
          <w:rFonts w:ascii="Arial" w:hAnsi="Arial" w:eastAsia="Calibri" w:cs="Arial"/>
          <w:iCs/>
          <w:sz w:val="20"/>
          <w:szCs w:val="22"/>
          <w:lang w:eastAsia="en-US"/>
        </w:rPr>
      </w:pPr>
      <w:r>
        <w:rPr>
          <w:rFonts w:eastAsia="Calibri" w:cs="Arial" w:ascii="Arial" w:hAnsi="Arial"/>
          <w:iCs/>
          <w:sz w:val="20"/>
          <w:szCs w:val="22"/>
          <w:lang w:eastAsia="en-US"/>
        </w:rPr>
      </w:r>
    </w:p>
    <w:p>
      <w:pPr>
        <w:pStyle w:val="Normal"/>
        <w:rPr>
          <w:rFonts w:ascii="Arial" w:hAnsi="Arial" w:cs="Arial"/>
          <w:iCs/>
          <w:sz w:val="20"/>
        </w:rPr>
      </w:pPr>
      <w:r>
        <w:rPr>
          <w:rFonts w:cs="Arial" w:ascii="Arial" w:hAnsi="Arial"/>
          <w:iCs/>
          <w:sz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</w:rPr>
        <w:t xml:space="preserve">  </w:t>
      </w:r>
      <w:r>
        <w:rPr>
          <w:rFonts w:cs="Arial" w:ascii="Arial" w:hAnsi="Arial"/>
          <w:b/>
          <w:sz w:val="20"/>
          <w:u w:val="single"/>
        </w:rPr>
        <w:t>Conditions de travail et maintien dans l’emploi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>La Direction se dote de moyens chaque année pour l’amélioration des conditions de travail.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raphedeliste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Ainsi, pour permettre la réduction de la pénibilité physique, elle investit cette année dans la cobotique. </w:t>
      </w:r>
    </w:p>
    <w:p>
      <w:pPr>
        <w:pStyle w:val="Paragraphedeliste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raphedeliste"/>
        <w:ind w:left="0" w:hanging="0"/>
        <w:rPr>
          <w:rFonts w:ascii="Arial" w:hAnsi="Arial" w:eastAsia="Calibri" w:cs="Arial"/>
          <w:sz w:val="20"/>
        </w:rPr>
      </w:pPr>
      <w:r>
        <w:rPr>
          <w:rFonts w:eastAsia="Calibri" w:cs="Arial" w:ascii="Arial" w:hAnsi="Arial"/>
          <w:sz w:val="20"/>
        </w:rPr>
        <w:t>En 2019, le Robot Collaboratif (Cobot) sera mis en place au déballage des verrines dans le but d’aider les opérateurs. A l’avenir, il pourra être utilisé dans les autres ateliers.</w:t>
      </w:r>
    </w:p>
    <w:p>
      <w:pPr>
        <w:pStyle w:val="Normal"/>
        <w:spacing w:lineRule="auto" w:line="254" w:before="0" w:after="160"/>
        <w:contextualSpacing/>
        <w:rPr>
          <w:rFonts w:ascii="Arial" w:hAnsi="Arial" w:eastAsia="Calibri" w:cs="Arial"/>
          <w:sz w:val="20"/>
        </w:rPr>
      </w:pPr>
      <w:r>
        <w:rPr>
          <w:rFonts w:eastAsia="Calibri" w:cs="Arial" w:ascii="Arial" w:hAnsi="Arial"/>
          <w:sz w:val="20"/>
        </w:rPr>
      </w:r>
    </w:p>
    <w:p>
      <w:pPr>
        <w:pStyle w:val="Normal"/>
        <w:spacing w:lineRule="auto" w:line="254" w:before="0" w:after="160"/>
        <w:contextualSpacing/>
        <w:rPr>
          <w:rFonts w:ascii="Arial" w:hAnsi="Arial" w:eastAsia="Calibri" w:cs="Arial"/>
          <w:sz w:val="20"/>
        </w:rPr>
      </w:pPr>
      <w:r>
        <w:rPr>
          <w:rFonts w:eastAsia="Calibri" w:cs="Arial" w:ascii="Arial" w:hAnsi="Arial"/>
          <w:sz w:val="20"/>
        </w:rPr>
        <w:t>En 2020 ou 2021, un système de Cobot mobile pourrait être utilisé pour déplacer les bacs.</w:t>
      </w:r>
    </w:p>
    <w:p>
      <w:pPr>
        <w:pStyle w:val="Normal"/>
        <w:rPr>
          <w:rFonts w:ascii="Arial" w:hAnsi="Arial" w:eastAsia="Calibri" w:cs="Arial"/>
          <w:sz w:val="20"/>
        </w:rPr>
      </w:pPr>
      <w:r>
        <w:rPr>
          <w:rFonts w:eastAsia="Calibri"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Notre coordinateur sécurité environnement accompagné des référents SSCT du CSE recense et traite au fur et à mesure les demandes d’amélioration et les actions de prévention.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Enfin, fin 2019 l’entreprise lance un diagnostic</w:t>
      </w:r>
      <w:r>
        <w:rPr>
          <w:rFonts w:cs="Arial" w:ascii="Arial" w:hAnsi="Arial"/>
          <w:b/>
          <w:bCs/>
          <w:sz w:val="20"/>
        </w:rPr>
        <w:t xml:space="preserve"> (Projet BALENCIO) </w:t>
      </w:r>
      <w:r>
        <w:rPr>
          <w:rFonts w:cs="Arial" w:ascii="Arial" w:hAnsi="Arial"/>
          <w:sz w:val="20"/>
        </w:rPr>
        <w:t>afin de pouvoir identifier et mesurer, au niveau individuel et consolidé, les facteurs qui impactent l’équilibre et l’engagement des salariés et ainsi travailler les causes « racines » de ces déséquilibres</w:t>
      </w:r>
      <w:r>
        <w:rPr>
          <w:rFonts w:cs="Arial" w:ascii="Arial" w:hAnsi="Arial"/>
          <w:b/>
          <w:bCs/>
          <w:sz w:val="20"/>
        </w:rPr>
        <w:t xml:space="preserve">. 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  <w:u w:val="single"/>
        </w:rPr>
        <w:t>Handicap,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  <w:u w:val="single"/>
        </w:rPr>
        <w:t>Gestion des emplois et compétences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En 2019, la Direction a maintenu ses engagements dans le maintien et l’adaptation dans l’emploi de toutes personnes en difficulté.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Ainsi, elle a accompagné chaque salarié en difficulté dans la recherche d’une solution et/ou l’adaptation de son emploi. 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>Les entretiens professionnels continuent d’être réalisés et exploités.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La Direction poursuit la professionnalisation des managers, le développement des parcours professionnels avec une hausse de 34,97 % de personnes formées et du niveau d’investissement (2,55 % de la MS).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 ce qui concerne la conciliation entre vie syndicale et vie professionnelle, il n’y a pas eu de réclamations sur ce sujet.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Droit à la déconnexion</w:t>
      </w:r>
    </w:p>
    <w:p>
      <w:pPr>
        <w:pStyle w:val="Normal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La Direction a mis en place fin 2018 un test de formation d’une ½ journée autour du digital en prenant l’angle de la communication interne et de la gestion des connaissances  email, intranet, sms, téléphone, whatsapp.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Un volet de sensibilisation sur les risques psychosociaux de l’hyperconnexion auprès des participants a été à cette occasion aussi proposé.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Le renfort de l’équipe informatique va pouvoir nous permettre de déployer et accompagner ces formations pour l’ensemble du personnel concerné par l’utilisation de ces outils de communication.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III – </w:t>
      </w:r>
      <w:r>
        <w:rPr>
          <w:rFonts w:cs="Arial" w:ascii="Arial" w:hAnsi="Arial"/>
          <w:b/>
          <w:sz w:val="20"/>
          <w:u w:val="single"/>
        </w:rPr>
        <w:t>Publicité et dépôt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 présent accord sera notifié par l’entreprise par remise en mains propres contre décharge à l’ensemble des organisations syndicales représentatives dans l’entreprise.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>A l’expiration d’un délai de huit jours suivant la dernière notification dans les formes mentionnées ci-dessus, le présent accord, conformément aux dispositions de l’article D.2231-2 du Code du Travail, sera adressé par l’entreprise en version électronique au Directeur Régional des Entreprises, de la Concurrence, de la Consommation du Travail et de l’Emploi, Unité territoriale du Finistère.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Fait à POULDREUZIC</w:t>
      </w:r>
    </w:p>
    <w:p>
      <w:pPr>
        <w:pStyle w:val="Normal"/>
        <w:jc w:val="right"/>
        <w:rPr/>
      </w:pPr>
      <w:r>
        <w:rPr>
          <w:rFonts w:cs="Arial" w:ascii="Arial" w:hAnsi="Arial"/>
          <w:sz w:val="20"/>
        </w:rPr>
        <w:t>Le 30 Juillet 2019</w:t>
      </w:r>
    </w:p>
    <w:p>
      <w:pPr>
        <w:pStyle w:val="Normal"/>
        <w:jc w:val="right"/>
        <w:rPr/>
      </w:pPr>
      <w:r>
        <w:rPr>
          <w:rFonts w:cs="Arial" w:ascii="Arial" w:hAnsi="Arial"/>
          <w:sz w:val="20"/>
        </w:rPr>
        <w:t>En deux exemplaires originaux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Dont un est remis en main propre à chaque délégation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Pour l’UES HENAFF</w:t>
        <w:tab/>
        <w:tab/>
        <w:tab/>
        <w:tab/>
        <w:tab/>
        <w:t>Monsieur… en qualité de</w:t>
      </w:r>
    </w:p>
    <w:p>
      <w:pPr>
        <w:pStyle w:val="Normal"/>
        <w:ind w:left="2836" w:firstLine="709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Président du Directoire</w:t>
      </w:r>
    </w:p>
    <w:p>
      <w:pPr>
        <w:pStyle w:val="Normal"/>
        <w:ind w:left="2836" w:firstLine="709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Pour les organisations syndicales représentatives suivantes :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20" w:top="1418" w:footer="72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Monsieur…,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Délégué Syndical CFDT.</w:t>
      </w:r>
    </w:p>
    <w:p>
      <w:pPr>
        <w:sectPr>
          <w:type w:val="continuous"/>
          <w:pgSz w:w="11906" w:h="16838"/>
          <w:pgMar w:left="1701" w:right="1701" w:header="720" w:top="1418" w:footer="720" w:bottom="1418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sectPr>
          <w:type w:val="continuous"/>
          <w:pgSz w:w="11906" w:h="16838"/>
          <w:pgMar w:left="1701" w:right="1701" w:header="720" w:top="1418" w:footer="720" w:bottom="1418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701" w:right="1701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WP TypographicSymbols">
    <w:altName w:val="Symbol"/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651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3pt;margin-top:0.05pt;mso-position-vertical-relative:text;margin-left:419.6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1211" w:hanging="36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  <w:i w:val="false"/>
        <w:b/>
        <w:w w:val="100"/>
        <w:rFonts w:ascii="Times New Roman" w:hAnsi="Times New Roman" w:cs="Times New Roman"/>
      </w:rPr>
    </w:lvl>
  </w:abstractNum>
  <w:abstractNum w:abstractNumId="4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1069" w:hanging="360"/>
      </w:pPr>
      <w:rPr>
        <w:sz w:val="20"/>
        <w:rFonts w:ascii="Arial" w:hAnsi="Arial" w:cs="Arial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16"/>
        <w:rFonts w:cs="Wingdings"/>
      </w:rPr>
    </w:lvl>
  </w:abstractNum>
  <w:abstractNum w:abstractNumId="7">
    <w:lvl w:ilvl="0">
      <w:start w:val="1"/>
      <w:numFmt w:val="decimal"/>
      <w:lvlText w:val="-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tLeast" w:line="260"/>
      <w:jc w:val="both"/>
    </w:pPr>
    <w:rPr>
      <w:rFonts w:ascii="Times New Roman" w:hAnsi="Times New Roman" w:eastAsia="Times New Roman" w:cs="Times New Roman"/>
      <w:color w:val="auto"/>
      <w:sz w:val="22"/>
      <w:szCs w:val="20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lineRule="atLeast" w:line="260" w:before="240" w:after="60"/>
      <w:outlineLvl w:val="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Rule="atLeast" w:line="260" w:before="240" w:after="60"/>
      <w:outlineLvl w:val="1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Rule="atLeast" w:line="260" w:before="240" w:after="60"/>
      <w:outlineLvl w:val="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Rule="atLeast" w:line="260" w:before="240" w:after="60"/>
      <w:outlineLvl w:val="3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Rule="atLeast" w:line="260" w:before="240" w:after="60"/>
      <w:outlineLvl w:val="4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tLeast" w:line="260" w:before="240" w:after="60"/>
      <w:outlineLvl w:val="5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22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u w:val="non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b/>
      <w:i w:val="false"/>
      <w:w w:val="100"/>
      <w:sz w:val="22"/>
    </w:rPr>
  </w:style>
  <w:style w:type="character" w:styleId="WW8Num10z0">
    <w:name w:val="WW8Num10z0"/>
    <w:qFormat/>
    <w:rPr>
      <w:rFonts w:ascii="Times New Roman" w:hAnsi="Times New Roman" w:cs="Times New Roman"/>
      <w:b/>
      <w:i w:val="false"/>
      <w:sz w:val="22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  <w:b/>
      <w:i w:val="false"/>
      <w:sz w:val="22"/>
    </w:rPr>
  </w:style>
  <w:style w:type="character" w:styleId="WW8Num13z0">
    <w:name w:val="WW8Num13z0"/>
    <w:qFormat/>
    <w:rPr>
      <w:rFonts w:ascii="Wingdings" w:hAnsi="Wingdings" w:cs="Wingdings"/>
      <w:sz w:val="16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WP TypographicSymbols;Symbol" w:hAnsi="WP TypographicSymbols;Symbol" w:cs="Times New Roman"/>
    </w:rPr>
  </w:style>
  <w:style w:type="character" w:styleId="WW8Num16z0">
    <w:name w:val="WW8Num16z0"/>
    <w:qFormat/>
    <w:rPr>
      <w:rFonts w:ascii="WP TypographicSymbols;Symbol" w:hAnsi="WP TypographicSymbols;Symbol" w:cs="Times New Roman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WP TypographicSymbols;Symbol" w:hAnsi="WP TypographicSymbols;Symbol" w:cs="Times New Roman"/>
    </w:rPr>
  </w:style>
  <w:style w:type="character" w:styleId="WW8Num19z0">
    <w:name w:val="WW8Num19z0"/>
    <w:qFormat/>
    <w:rPr>
      <w:rFonts w:ascii="WP TypographicSymbols;Symbol" w:hAnsi="WP TypographicSymbols;Symbol" w:cs="Times New Roman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  <w:sz w:val="16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P TypographicSymbols;Symbol" w:hAnsi="WP TypographicSymbols;Symbol" w:cs="Times New Roman"/>
    </w:rPr>
  </w:style>
  <w:style w:type="character" w:styleId="WW8Num24z0">
    <w:name w:val="WW8Num24z0"/>
    <w:qFormat/>
    <w:rPr>
      <w:rFonts w:ascii="WP TypographicSymbols;Symbol" w:hAnsi="WP TypographicSymbols;Symbol" w:cs="Times New Roman"/>
    </w:rPr>
  </w:style>
  <w:style w:type="character" w:styleId="WW8Num25z0">
    <w:name w:val="WW8Num25z0"/>
    <w:qFormat/>
    <w:rPr>
      <w:rFonts w:ascii="Wingdings" w:hAnsi="Wingdings" w:cs="Wingdings"/>
      <w:sz w:val="16"/>
    </w:rPr>
  </w:style>
  <w:style w:type="character" w:styleId="WW8Num26z0">
    <w:name w:val="WW8Num26z0"/>
    <w:qFormat/>
    <w:rPr>
      <w:rFonts w:ascii="Arial" w:hAnsi="Arial" w:cs="Arial"/>
      <w:sz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  <w:sz w:val="16"/>
    </w:rPr>
  </w:style>
  <w:style w:type="character" w:styleId="WW8Num29z0">
    <w:name w:val="WW8Num29z0"/>
    <w:qFormat/>
    <w:rPr>
      <w:rFonts w:ascii="Times New Roman" w:hAnsi="Times New Roman" w:cs="Times New Roman"/>
      <w:b/>
      <w:i w:val="false"/>
      <w:sz w:val="22"/>
    </w:rPr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>
      <w:rFonts w:ascii="WP TypographicSymbols;Symbol" w:hAnsi="WP TypographicSymbols;Symbol" w:cs="Times New Roman"/>
    </w:rPr>
  </w:style>
  <w:style w:type="character" w:styleId="WW8Num36z0">
    <w:name w:val="WW8Num3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  <w:sz w:val="22"/>
    </w:rPr>
  </w:style>
  <w:style w:type="character" w:styleId="WW8NumSt8z0">
    <w:name w:val="WW8NumSt8z0"/>
    <w:qFormat/>
    <w:rPr>
      <w:rFonts w:ascii="WP TypographicSymbols;Symbol" w:hAnsi="WP TypographicSymbols;Symbol" w:cs="WP TypographicSymbols;Symbol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EndnoteCharacters">
    <w:name w:val="Endnote Characters"/>
    <w:qFormat/>
    <w:rPr>
      <w:vertAlign w:val="superscript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uce">
    <w:name w:val="puce"/>
    <w:qFormat/>
    <w:pPr>
      <w:widowControl/>
      <w:numPr>
        <w:ilvl w:val="0"/>
        <w:numId w:val="6"/>
      </w:numPr>
      <w:tabs>
        <w:tab w:val="left" w:pos="284" w:leader="none"/>
      </w:tabs>
      <w:spacing w:lineRule="atLeast" w:line="260" w:before="120" w:after="0"/>
      <w:jc w:val="both"/>
    </w:pPr>
    <w:rPr>
      <w:rFonts w:ascii="Times New Roman" w:hAnsi="Times New Roman" w:eastAsia="Times New Roman" w:cs="Times New Roman"/>
      <w:color w:val="auto"/>
      <w:sz w:val="22"/>
      <w:szCs w:val="20"/>
      <w:lang w:val="fr-FR" w:bidi="ar-SA" w:eastAsia="zh-CN"/>
    </w:rPr>
  </w:style>
  <w:style w:type="paragraph" w:styleId="Retrait2">
    <w:name w:val="Retrait 2"/>
    <w:basedOn w:val="Normal"/>
    <w:qFormat/>
    <w:pPr>
      <w:numPr>
        <w:ilvl w:val="0"/>
        <w:numId w:val="7"/>
      </w:numPr>
      <w:spacing w:lineRule="atLeast" w:line="260" w:before="120" w:after="0"/>
      <w:ind w:left="568" w:hanging="284"/>
    </w:pPr>
    <w:rPr/>
  </w:style>
  <w:style w:type="paragraph" w:styleId="Retrait3">
    <w:name w:val="Retrait 3"/>
    <w:basedOn w:val="Retrait2"/>
    <w:qFormat/>
    <w:pPr>
      <w:ind w:left="851" w:hanging="284"/>
    </w:pPr>
    <w:rPr/>
  </w:style>
  <w:style w:type="paragraph" w:styleId="Listenumros">
    <w:name w:val="Liste à numéros"/>
    <w:basedOn w:val="Normal"/>
    <w:qFormat/>
    <w:pPr>
      <w:numPr>
        <w:ilvl w:val="0"/>
        <w:numId w:val="3"/>
      </w:numPr>
      <w:tabs>
        <w:tab w:val="left" w:pos="284" w:leader="none"/>
      </w:tabs>
      <w:spacing w:before="12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brut">
    <w:name w:val="Texte brut"/>
    <w:basedOn w:val="Normal"/>
    <w:qFormat/>
    <w:pPr/>
    <w:rPr/>
  </w:style>
  <w:style w:type="paragraph" w:styleId="Textedebulles">
    <w:name w:val="Texte de bulles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nts1">
    <w:name w:val="Contents 1"/>
    <w:basedOn w:val="Normal"/>
    <w:next w:val="Normal"/>
    <w:pPr/>
    <w:rPr/>
  </w:style>
  <w:style w:type="paragraph" w:styleId="Contents2">
    <w:name w:val="Contents 2"/>
    <w:basedOn w:val="Normal"/>
    <w:next w:val="Normal"/>
    <w:pPr>
      <w:ind w:left="220" w:hanging="0"/>
    </w:pPr>
    <w:rPr/>
  </w:style>
  <w:style w:type="paragraph" w:styleId="Contents3">
    <w:name w:val="Contents 3"/>
    <w:basedOn w:val="Normal"/>
    <w:next w:val="Normal"/>
    <w:pPr>
      <w:ind w:left="440" w:hanging="0"/>
    </w:pPr>
    <w:rPr/>
  </w:style>
  <w:style w:type="paragraph" w:styleId="Contents4">
    <w:name w:val="Contents 4"/>
    <w:basedOn w:val="Normal"/>
    <w:next w:val="Normal"/>
    <w:pPr>
      <w:ind w:left="660" w:hanging="0"/>
    </w:pPr>
    <w:rPr/>
  </w:style>
  <w:style w:type="paragraph" w:styleId="Contents5">
    <w:name w:val="Contents 5"/>
    <w:basedOn w:val="Normal"/>
    <w:next w:val="Normal"/>
    <w:pPr>
      <w:ind w:left="880" w:hanging="0"/>
    </w:pPr>
    <w:rPr/>
  </w:style>
  <w:style w:type="paragraph" w:styleId="NormalWeb">
    <w:name w:val="Normal (Web)"/>
    <w:basedOn w:val="Normal"/>
    <w:qFormat/>
    <w:pPr>
      <w:spacing w:lineRule="auto" w:line="240" w:before="100" w:after="100"/>
      <w:jc w:val="left"/>
    </w:pPr>
    <w:rPr>
      <w:sz w:val="24"/>
      <w:szCs w:val="24"/>
    </w:rPr>
  </w:style>
  <w:style w:type="paragraph" w:styleId="Paragraphedeliste">
    <w:name w:val="Paragraphe de liste"/>
    <w:basedOn w:val="Normal"/>
    <w:qFormat/>
    <w:pPr>
      <w:ind w:left="708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StyleNum">
    <w:name w:val="WW8StyleNu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2019-11-15T12:41:00Z</dcterms:created>
  <dc:language>en-GB</dc:language>
  <cp:lastPrinted>2019-07-30T13:54:00Z</cp:lastPrinted>
  <dcterms:modified xsi:type="dcterms:W3CDTF">2019-11-15T12:41:00Z</dcterms:modified>
  <cp:revision>2</cp:revision>
</cp:coreProperties>
</file>