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ind w:left="0" w:hanging="0"/>
        <w:rPr>
          <w:rFonts w:ascii="Tahoma" w:hAnsi="Tahoma" w:cs="Tahoma"/>
          <w:bCs w:val="false"/>
          <w:szCs w:val="20"/>
        </w:rPr>
      </w:pPr>
      <w:r>
        <w:rPr>
          <w:rFonts w:cs="Tahoma" w:ascii="Tahoma" w:hAnsi="Tahoma"/>
          <w:bCs w:val="false"/>
          <w:szCs w:val="20"/>
        </w:rPr>
        <w:t>ACCORD COLLECTIF D’ENTREPRISE DANS LE CADRE DE LA NAO</w:t>
      </w:r>
    </w:p>
    <w:p>
      <w:pPr>
        <w:pStyle w:val="Heading"/>
        <w:ind w:left="0" w:hanging="0"/>
        <w:rPr>
          <w:rFonts w:ascii="Tahoma" w:hAnsi="Tahoma" w:cs="Tahoma"/>
          <w:bCs w:val="false"/>
          <w:szCs w:val="20"/>
        </w:rPr>
      </w:pPr>
      <w:r>
        <w:rPr>
          <w:rFonts w:cs="Tahoma" w:ascii="Tahoma" w:hAnsi="Tahoma"/>
          <w:bCs w:val="false"/>
          <w:szCs w:val="20"/>
        </w:rPr>
        <w:t>SUR LES SALAIRES EFFECTIFS ET LES CONDITIONS DE TRAVAIL POUR 2020</w:t>
      </w:r>
    </w:p>
    <w:p>
      <w:pPr>
        <w:pStyle w:val="Normal"/>
        <w:jc w:val="both"/>
        <w:rPr>
          <w:rStyle w:val="Txt"/>
          <w:rFonts w:ascii="Tahoma" w:hAnsi="Tahoma" w:cs="Tahoma"/>
          <w:sz w:val="20"/>
          <w:szCs w:val="20"/>
        </w:rPr>
      </w:pPr>
      <w:r>
        <w:rPr>
          <w:rFonts w:cs="Tahoma" w:ascii="Tahoma" w:hAnsi="Tahoma"/>
          <w:bCs/>
          <w:szCs w:val="20"/>
        </w:rPr>
      </w:r>
    </w:p>
    <w:p>
      <w:pPr>
        <w:pStyle w:val="Normal"/>
        <w:jc w:val="both"/>
        <w:rPr>
          <w:rStyle w:val="Txt"/>
          <w:rFonts w:ascii="Tahoma" w:hAnsi="Tahoma" w:cs="Tahoma"/>
          <w:sz w:val="20"/>
          <w:szCs w:val="20"/>
        </w:rPr>
      </w:pPr>
      <w:r>
        <w:rPr/>
      </w:r>
    </w:p>
    <w:p>
      <w:pPr>
        <w:pStyle w:val="Normal"/>
        <w:jc w:val="both"/>
        <w:rPr>
          <w:rStyle w:val="Txt"/>
          <w:rFonts w:ascii="Tahoma" w:hAnsi="Tahoma" w:cs="Tahoma"/>
          <w:sz w:val="20"/>
          <w:szCs w:val="20"/>
        </w:rPr>
      </w:pPr>
      <w:r>
        <w:rPr>
          <w:rStyle w:val="Txt"/>
          <w:rFonts w:cs="Tahoma" w:ascii="Tahoma" w:hAnsi="Tahoma"/>
          <w:sz w:val="20"/>
          <w:szCs w:val="20"/>
        </w:rPr>
        <w:t>Entre les soussignées :</w:t>
      </w:r>
    </w:p>
    <w:p>
      <w:pPr>
        <w:pStyle w:val="Normal"/>
        <w:jc w:val="both"/>
        <w:rPr>
          <w:rStyle w:val="Txt"/>
          <w:rFonts w:ascii="Tahoma" w:hAnsi="Tahoma" w:cs="Tahoma"/>
          <w:sz w:val="20"/>
          <w:szCs w:val="20"/>
        </w:rPr>
      </w:pPr>
      <w:r>
        <w:rPr/>
      </w:r>
    </w:p>
    <w:p>
      <w:pPr>
        <w:pStyle w:val="Normal"/>
        <w:jc w:val="both"/>
        <w:rPr/>
      </w:pPr>
      <w:r>
        <w:rPr>
          <w:rFonts w:cs="Tahoma" w:ascii="Tahoma" w:hAnsi="Tahoma"/>
          <w:sz w:val="20"/>
          <w:szCs w:val="20"/>
        </w:rPr>
        <w:t xml:space="preserve">La Société "MAUCO CARTEX", immatriculée au Registre du Commerce et des Sociétés de Bordeaux sous le numéro 323.539.585, dont le siège social est situé 1 Parc d’Activité du Bois Marin – 33240 PEUJARD, </w:t>
      </w:r>
      <w:r>
        <w:rPr>
          <w:rStyle w:val="Txt"/>
          <w:rFonts w:cs="Tahoma" w:ascii="Tahoma" w:hAnsi="Tahoma"/>
          <w:sz w:val="20"/>
          <w:szCs w:val="20"/>
        </w:rPr>
        <w:t xml:space="preserve">agissant par l'intermédiaire de son représentant légal, </w:t>
      </w:r>
      <w:r>
        <w:rPr>
          <w:rStyle w:val="Txt"/>
          <w:rFonts w:cs="Tahoma" w:ascii="Tahoma" w:hAnsi="Tahoma"/>
          <w:b/>
          <w:sz w:val="20"/>
          <w:szCs w:val="20"/>
        </w:rPr>
        <w:t>XXX</w:t>
      </w:r>
      <w:r>
        <w:rPr>
          <w:rStyle w:val="Txt"/>
          <w:rFonts w:cs="Tahoma" w:ascii="Tahoma" w:hAnsi="Tahoma"/>
          <w:sz w:val="20"/>
          <w:szCs w:val="20"/>
        </w:rPr>
        <w:t>, P.D.G., d’une part,</w:t>
      </w:r>
    </w:p>
    <w:p>
      <w:pPr>
        <w:pStyle w:val="Normal"/>
        <w:jc w:val="both"/>
        <w:rPr>
          <w:rStyle w:val="Txt"/>
          <w:rFonts w:ascii="Tahoma" w:hAnsi="Tahoma" w:cs="Tahoma"/>
          <w:sz w:val="20"/>
          <w:szCs w:val="20"/>
        </w:rPr>
      </w:pPr>
      <w:r>
        <w:rPr/>
      </w:r>
    </w:p>
    <w:p>
      <w:pPr>
        <w:pStyle w:val="Normal"/>
        <w:jc w:val="both"/>
        <w:rPr/>
      </w:pPr>
      <w:r>
        <w:rPr>
          <w:rStyle w:val="Txt"/>
          <w:rFonts w:cs="Tahoma" w:ascii="Tahoma" w:hAnsi="Tahoma"/>
          <w:sz w:val="20"/>
          <w:szCs w:val="20"/>
        </w:rPr>
        <w:t>Et </w:t>
      </w:r>
    </w:p>
    <w:p>
      <w:pPr>
        <w:pStyle w:val="Normal"/>
        <w:jc w:val="both"/>
        <w:rPr>
          <w:rStyle w:val="Txt"/>
          <w:rFonts w:ascii="Tahoma" w:hAnsi="Tahoma" w:cs="Tahoma"/>
          <w:sz w:val="20"/>
          <w:szCs w:val="20"/>
        </w:rPr>
      </w:pPr>
      <w:r>
        <w:rPr/>
      </w:r>
    </w:p>
    <w:p>
      <w:pPr>
        <w:pStyle w:val="Normal"/>
        <w:autoSpaceDE w:val="false"/>
        <w:jc w:val="both"/>
        <w:rPr>
          <w:rFonts w:ascii="Tahoma" w:hAnsi="Tahoma" w:cs="Tahoma"/>
          <w:sz w:val="20"/>
          <w:szCs w:val="20"/>
        </w:rPr>
      </w:pPr>
      <w:r>
        <w:rPr>
          <w:rFonts w:cs="Tahoma" w:ascii="Tahoma" w:hAnsi="Tahoma"/>
          <w:b/>
          <w:sz w:val="20"/>
          <w:szCs w:val="20"/>
        </w:rPr>
        <w:t>XXX</w:t>
      </w:r>
      <w:r>
        <w:rPr>
          <w:rFonts w:cs="Tahoma" w:ascii="Tahoma" w:hAnsi="Tahoma"/>
          <w:sz w:val="20"/>
          <w:szCs w:val="20"/>
        </w:rPr>
        <w:t>, déléguée syndicale, désignée par l’organisation syndicale F.I.L.P.A.C.-C.G.T., d’autre part,</w:t>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b/>
          <w:b/>
          <w:sz w:val="20"/>
          <w:szCs w:val="20"/>
        </w:rPr>
      </w:pPr>
      <w:r>
        <w:rPr>
          <w:rFonts w:cs="Tahoma" w:ascii="Tahoma" w:hAnsi="Tahoma"/>
          <w:b/>
          <w:sz w:val="20"/>
          <w:szCs w:val="20"/>
        </w:rPr>
        <w:t>PREAMBULE</w:t>
      </w:r>
    </w:p>
    <w:p>
      <w:pPr>
        <w:pStyle w:val="Normal"/>
        <w:autoSpaceDE w:val="false"/>
        <w:jc w:val="both"/>
        <w:rPr>
          <w:rFonts w:ascii="Tahoma" w:hAnsi="Tahoma" w:cs="Tahoma"/>
          <w:b/>
          <w:b/>
          <w:sz w:val="20"/>
          <w:szCs w:val="20"/>
        </w:rPr>
      </w:pPr>
      <w:r>
        <w:rPr>
          <w:rFonts w:cs="Tahoma" w:ascii="Tahoma" w:hAnsi="Tahoma"/>
          <w:b/>
          <w:sz w:val="20"/>
          <w:szCs w:val="20"/>
        </w:rPr>
      </w:r>
    </w:p>
    <w:p>
      <w:pPr>
        <w:pStyle w:val="Normal"/>
        <w:jc w:val="both"/>
        <w:rPr>
          <w:rFonts w:ascii="Tahoma" w:hAnsi="Tahoma" w:cs="Tahoma"/>
          <w:sz w:val="20"/>
          <w:szCs w:val="20"/>
        </w:rPr>
      </w:pPr>
      <w:r>
        <w:rPr>
          <w:rFonts w:cs="Tahoma" w:ascii="Tahoma" w:hAnsi="Tahoma"/>
          <w:sz w:val="20"/>
          <w:szCs w:val="20"/>
        </w:rPr>
        <w:t>Conformément à la loi 2015-994 du 17 août 2015 relative au dialogue social et à l’emploi, une négociation portant d’une part sur la rémunération, le temps de travail et le partage de la valeur ajoutée (article L. 2242-5 du code du travail) et d’autre part sur l’égalité professionnelle et la qualité de vie au travail (article L. 2242-8 du code du travail) a été engagée au sein de la Société "MAUCO CARTEX".</w:t>
      </w:r>
    </w:p>
    <w:p>
      <w:pPr>
        <w:pStyle w:val="Normal"/>
        <w:autoSpaceDE w:val="false"/>
        <w:jc w:val="both"/>
        <w:rPr>
          <w:rFonts w:ascii="Tahoma" w:hAnsi="Tahoma" w:cs="Tahoma"/>
          <w:sz w:val="20"/>
          <w:szCs w:val="20"/>
        </w:rPr>
      </w:pPr>
      <w:r>
        <w:rPr>
          <w:rFonts w:cs="Tahoma" w:ascii="Tahoma" w:hAnsi="Tahoma"/>
          <w:sz w:val="20"/>
          <w:szCs w:val="20"/>
        </w:rPr>
      </w:r>
    </w:p>
    <w:p>
      <w:pPr>
        <w:pStyle w:val="Normal"/>
        <w:widowControl w:val="false"/>
        <w:jc w:val="both"/>
        <w:rPr/>
      </w:pPr>
      <w:r>
        <w:rPr>
          <w:rFonts w:cs="Tahoma" w:ascii="Tahoma" w:hAnsi="Tahoma"/>
          <w:sz w:val="20"/>
          <w:szCs w:val="20"/>
        </w:rPr>
        <w:t>Dans ce cadre, la Direction et l’organisation syndicale F.I.L.P.A.C.-C.G.T. se sont rencontrées selon le calendrier suivant : le 15 février 2019, le 19 avril 2019, le 14 juin 2019, le 20 septembre 2019 et le 15 novembre 2019.</w:t>
      </w:r>
    </w:p>
    <w:p>
      <w:pPr>
        <w:pStyle w:val="Normal"/>
        <w:widowControl w:val="false"/>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sz w:val="20"/>
          <w:szCs w:val="20"/>
        </w:rPr>
      </w:pPr>
      <w:r>
        <w:rPr>
          <w:rFonts w:cs="Tahoma" w:ascii="Tahoma" w:hAnsi="Tahoma"/>
          <w:sz w:val="20"/>
          <w:szCs w:val="20"/>
        </w:rPr>
        <w:t>Après discussions et échanges sur les propositions faites par la Direction et les revendications de l’organisation syndicale F.I.L.P.A.C.-C.G.T, il a été convenu, à l’issue de la dernière réunion, l’application des dispositions ci-après.</w:t>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pBdr>
          <w:bottom w:val="single" w:sz="4" w:space="1" w:color="000000"/>
        </w:pBdr>
        <w:jc w:val="both"/>
        <w:rPr/>
      </w:pPr>
      <w:r>
        <w:rPr>
          <w:rFonts w:cs="Tahoma" w:ascii="Tahoma" w:hAnsi="Tahoma"/>
          <w:b/>
          <w:sz w:val="20"/>
          <w:szCs w:val="20"/>
        </w:rPr>
        <w:t>Article 1 – Périmètre</w:t>
      </w:r>
    </w:p>
    <w:p>
      <w:pPr>
        <w:pStyle w:val="Normal"/>
        <w:autoSpaceDE w:val="false"/>
        <w:jc w:val="both"/>
        <w:rPr>
          <w:rFonts w:ascii="Tahoma" w:hAnsi="Tahoma" w:cs="Tahoma"/>
          <w:b/>
          <w:b/>
          <w:bCs/>
          <w:sz w:val="20"/>
          <w:szCs w:val="20"/>
        </w:rPr>
      </w:pPr>
      <w:r>
        <w:rPr>
          <w:rFonts w:cs="Tahoma" w:ascii="Tahoma" w:hAnsi="Tahoma"/>
          <w:b/>
          <w:bCs/>
          <w:sz w:val="20"/>
          <w:szCs w:val="20"/>
        </w:rPr>
      </w:r>
    </w:p>
    <w:p>
      <w:pPr>
        <w:pStyle w:val="Normal"/>
        <w:autoSpaceDE w:val="false"/>
        <w:jc w:val="both"/>
        <w:rPr/>
      </w:pPr>
      <w:r>
        <w:rPr>
          <w:rFonts w:cs="Tahoma" w:ascii="Tahoma" w:hAnsi="Tahoma"/>
          <w:sz w:val="20"/>
          <w:szCs w:val="20"/>
        </w:rPr>
        <w:t>Il est convenu que le présent accord concerne exclusivement la Société "MAUCO CARTEX", son établissement principal et ses agences. Cet accord est conclu dans le cadre de la négociation annuelle obligatoire.</w:t>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pBdr>
          <w:bottom w:val="single" w:sz="4" w:space="1" w:color="000000"/>
        </w:pBdr>
        <w:jc w:val="both"/>
        <w:rPr>
          <w:rFonts w:ascii="Tahoma" w:hAnsi="Tahoma" w:cs="Tahoma"/>
          <w:b/>
          <w:b/>
          <w:sz w:val="20"/>
          <w:szCs w:val="20"/>
        </w:rPr>
      </w:pPr>
      <w:r>
        <w:rPr>
          <w:rFonts w:cs="Tahoma" w:ascii="Tahoma" w:hAnsi="Tahoma"/>
          <w:b/>
          <w:sz w:val="20"/>
          <w:szCs w:val="20"/>
        </w:rPr>
        <w:t>Article 2 – Rémunération, temps de travail et partage de la valeur ajoutée</w:t>
      </w:r>
    </w:p>
    <w:p>
      <w:pPr>
        <w:pStyle w:val="Normal"/>
        <w:autoSpaceDE w:val="false"/>
        <w:jc w:val="both"/>
        <w:rPr>
          <w:rFonts w:ascii="Tahoma" w:hAnsi="Tahoma" w:cs="Tahoma"/>
          <w:b/>
          <w:b/>
          <w:bCs/>
          <w:sz w:val="20"/>
          <w:szCs w:val="20"/>
        </w:rPr>
      </w:pPr>
      <w:r>
        <w:rPr>
          <w:rFonts w:cs="Tahoma" w:ascii="Tahoma" w:hAnsi="Tahoma"/>
          <w:b/>
          <w:bCs/>
          <w:sz w:val="20"/>
          <w:szCs w:val="20"/>
        </w:rPr>
      </w:r>
    </w:p>
    <w:p>
      <w:pPr>
        <w:pStyle w:val="Default"/>
        <w:jc w:val="both"/>
        <w:rPr>
          <w:rFonts w:ascii="Tahoma" w:hAnsi="Tahoma" w:cs="Tahoma"/>
          <w:sz w:val="20"/>
          <w:szCs w:val="20"/>
          <w:u w:val="single"/>
        </w:rPr>
      </w:pPr>
      <w:r>
        <w:rPr>
          <w:rFonts w:cs="Tahoma" w:ascii="Tahoma" w:hAnsi="Tahoma"/>
          <w:sz w:val="20"/>
          <w:szCs w:val="20"/>
          <w:u w:val="single"/>
        </w:rPr>
        <w:t>Prime spécifique dite « Prime 2*7 » et prime panier prévues dans l’accord sur le travail en équipe et sur l’astreinte du 12 janvier 2017</w:t>
      </w:r>
    </w:p>
    <w:p>
      <w:pPr>
        <w:pStyle w:val="Default"/>
        <w:jc w:val="both"/>
        <w:rPr>
          <w:rFonts w:ascii="Tahoma" w:hAnsi="Tahoma" w:cs="Tahoma"/>
          <w:sz w:val="20"/>
          <w:szCs w:val="20"/>
          <w:u w:val="single"/>
        </w:rPr>
      </w:pPr>
      <w:r>
        <w:rPr>
          <w:rFonts w:cs="Tahoma" w:ascii="Tahoma" w:hAnsi="Tahoma"/>
          <w:sz w:val="20"/>
          <w:szCs w:val="20"/>
          <w:u w:val="single"/>
        </w:rPr>
      </w:r>
    </w:p>
    <w:p>
      <w:pPr>
        <w:pStyle w:val="Default"/>
        <w:jc w:val="both"/>
        <w:rPr>
          <w:rFonts w:ascii="Tahoma" w:hAnsi="Tahoma" w:cs="Tahoma"/>
          <w:sz w:val="20"/>
          <w:szCs w:val="20"/>
        </w:rPr>
      </w:pPr>
      <w:r>
        <w:rPr>
          <w:rFonts w:cs="Tahoma" w:ascii="Tahoma" w:hAnsi="Tahoma"/>
          <w:sz w:val="20"/>
          <w:szCs w:val="20"/>
        </w:rPr>
        <w:t>A compter du 1</w:t>
      </w:r>
      <w:r>
        <w:rPr>
          <w:rFonts w:cs="Tahoma" w:ascii="Tahoma" w:hAnsi="Tahoma"/>
          <w:sz w:val="20"/>
          <w:szCs w:val="20"/>
          <w:vertAlign w:val="superscript"/>
        </w:rPr>
        <w:t>er</w:t>
      </w:r>
      <w:r>
        <w:rPr>
          <w:rFonts w:cs="Tahoma" w:ascii="Tahoma" w:hAnsi="Tahoma"/>
          <w:sz w:val="20"/>
          <w:szCs w:val="20"/>
        </w:rPr>
        <w:t xml:space="preserve"> janvier 2020, une prime de </w:t>
      </w:r>
      <w:r>
        <w:rPr>
          <w:rFonts w:cs="Tahoma" w:ascii="Tahoma" w:hAnsi="Tahoma"/>
          <w:b/>
          <w:sz w:val="20"/>
          <w:szCs w:val="20"/>
        </w:rPr>
        <w:t>5 €uros bruts par jour travaillé en 2*7</w:t>
      </w:r>
      <w:r>
        <w:rPr>
          <w:rFonts w:cs="Tahoma" w:ascii="Tahoma" w:hAnsi="Tahoma"/>
          <w:sz w:val="20"/>
          <w:szCs w:val="20"/>
        </w:rPr>
        <w:t xml:space="preserve"> sera versée au salarié travaillant en équipe 2*7 du lundi au vendredi de 6h à 13h ou de 13h à 20h. </w:t>
      </w:r>
    </w:p>
    <w:p>
      <w:pPr>
        <w:pStyle w:val="Default"/>
        <w:jc w:val="both"/>
        <w:rPr/>
      </w:pPr>
      <w:r>
        <w:rPr>
          <w:rFonts w:cs="Tahoma" w:ascii="Tahoma" w:hAnsi="Tahoma"/>
          <w:sz w:val="20"/>
          <w:szCs w:val="20"/>
        </w:rPr>
        <w:t>Cette prime se substitue, et par conséquent n’est pas cumulative avec la prime dite « prime 2*7 » de 25 €uros bruts par semaine complète pour le personnel non cadre prévue à l’Article 2 de l’Accord sur le travail en équipe et sur l’astreinte du 12 janvier 2017.</w:t>
      </w:r>
    </w:p>
    <w:p>
      <w:pPr>
        <w:pStyle w:val="Default"/>
        <w:jc w:val="both"/>
        <w:rPr>
          <w:rFonts w:ascii="Tahoma" w:hAnsi="Tahoma" w:cs="Tahoma"/>
          <w:sz w:val="20"/>
          <w:szCs w:val="20"/>
        </w:rPr>
      </w:pPr>
      <w:r>
        <w:rPr>
          <w:rFonts w:cs="Tahoma" w:ascii="Tahoma" w:hAnsi="Tahoma"/>
          <w:sz w:val="20"/>
          <w:szCs w:val="20"/>
        </w:rPr>
      </w:r>
    </w:p>
    <w:p>
      <w:pPr>
        <w:pStyle w:val="Normal"/>
        <w:jc w:val="both"/>
        <w:rPr/>
      </w:pPr>
      <w:r>
        <w:rPr>
          <w:rFonts w:cs="Tahoma" w:ascii="Tahoma" w:hAnsi="Tahoma"/>
          <w:color w:val="000000"/>
          <w:sz w:val="20"/>
          <w:szCs w:val="20"/>
        </w:rPr>
        <w:t xml:space="preserve">A compter du 1er janvier 2020, il a été convenu de revaloriser la </w:t>
      </w:r>
      <w:r>
        <w:rPr>
          <w:rFonts w:cs="Tahoma" w:ascii="Tahoma" w:hAnsi="Tahoma"/>
          <w:b/>
          <w:color w:val="000000"/>
          <w:sz w:val="20"/>
          <w:szCs w:val="20"/>
        </w:rPr>
        <w:t>prime panier à 6.50 €</w:t>
      </w:r>
      <w:r>
        <w:rPr>
          <w:rFonts w:cs="Tahoma" w:ascii="Tahoma" w:hAnsi="Tahoma"/>
          <w:color w:val="000000"/>
          <w:sz w:val="20"/>
          <w:szCs w:val="20"/>
        </w:rPr>
        <w:t xml:space="preserve"> pour le salarié travaillant en équipe 2*7 du lundi au vendredi de 6h à 13h ou de 13h à 20h (ces jours n’ouvrant pas droit aux titres restaurant).</w:t>
      </w:r>
      <w:r>
        <w:br w:type="page"/>
      </w:r>
    </w:p>
    <w:p>
      <w:pPr>
        <w:pStyle w:val="Normal"/>
        <w:jc w:val="both"/>
        <w:rPr>
          <w:rFonts w:ascii="Tahoma" w:hAnsi="Tahoma" w:cs="Tahoma"/>
          <w:sz w:val="20"/>
          <w:szCs w:val="20"/>
          <w:u w:val="single"/>
        </w:rPr>
      </w:pPr>
      <w:r>
        <w:rPr>
          <w:rFonts w:cs="Tahoma" w:ascii="Tahoma" w:hAnsi="Tahoma"/>
          <w:sz w:val="20"/>
          <w:szCs w:val="20"/>
          <w:u w:val="single"/>
        </w:rPr>
        <w:t>Accord d’annualisation</w:t>
      </w:r>
    </w:p>
    <w:p>
      <w:pPr>
        <w:pStyle w:val="Normal"/>
        <w:jc w:val="both"/>
        <w:rPr>
          <w:rFonts w:ascii="Tahoma" w:hAnsi="Tahoma" w:cs="Tahoma"/>
          <w:sz w:val="20"/>
          <w:szCs w:val="20"/>
          <w:u w:val="single"/>
        </w:rPr>
      </w:pPr>
      <w:r>
        <w:rPr>
          <w:rFonts w:cs="Tahoma" w:ascii="Tahoma" w:hAnsi="Tahoma"/>
          <w:sz w:val="20"/>
          <w:szCs w:val="20"/>
          <w:u w:val="single"/>
        </w:rPr>
      </w:r>
    </w:p>
    <w:p>
      <w:pPr>
        <w:pStyle w:val="Normal"/>
        <w:jc w:val="both"/>
        <w:rPr/>
      </w:pPr>
      <w:r>
        <w:rPr>
          <w:rFonts w:cs="Tahoma" w:ascii="Tahoma" w:hAnsi="Tahoma"/>
          <w:sz w:val="20"/>
          <w:szCs w:val="20"/>
        </w:rPr>
        <w:t xml:space="preserve">Un accord sur l’annualisation du temps de travail a été signé dans le cadre de la NAO, afin de prendre en considération le fort caractère saisonnier de l’activité de notre entreprise, les exigences de livraison des clients et la nécessaire faculté d'adaptation qui en découle. </w:t>
      </w:r>
    </w:p>
    <w:p>
      <w:pPr>
        <w:pStyle w:val="Normal"/>
        <w:spacing w:lineRule="auto" w:line="242"/>
        <w:jc w:val="both"/>
        <w:rPr>
          <w:rFonts w:ascii="Tahoma" w:hAnsi="Tahoma" w:cs="Tahoma"/>
          <w:sz w:val="20"/>
          <w:szCs w:val="20"/>
        </w:rPr>
      </w:pPr>
      <w:r>
        <w:rPr>
          <w:rFonts w:cs="Tahoma" w:ascii="Tahoma" w:hAnsi="Tahoma"/>
          <w:sz w:val="20"/>
          <w:szCs w:val="20"/>
        </w:rPr>
      </w:r>
    </w:p>
    <w:p>
      <w:pPr>
        <w:pStyle w:val="Normal"/>
        <w:spacing w:lineRule="auto" w:line="242"/>
        <w:jc w:val="both"/>
        <w:rPr>
          <w:rFonts w:ascii="Tahoma" w:hAnsi="Tahoma" w:cs="Tahoma"/>
          <w:sz w:val="20"/>
          <w:szCs w:val="20"/>
          <w:u w:val="single"/>
        </w:rPr>
      </w:pPr>
      <w:r>
        <w:rPr>
          <w:rFonts w:cs="Tahoma" w:ascii="Tahoma" w:hAnsi="Tahoma"/>
          <w:sz w:val="20"/>
          <w:szCs w:val="20"/>
          <w:u w:val="single"/>
        </w:rPr>
        <w:t>Suppression de la subrogation et mesures de maintien du pouvoir d’achat</w:t>
      </w:r>
    </w:p>
    <w:p>
      <w:pPr>
        <w:pStyle w:val="Normal"/>
        <w:spacing w:lineRule="auto" w:line="242"/>
        <w:jc w:val="both"/>
        <w:rPr>
          <w:rFonts w:ascii="Tahoma" w:hAnsi="Tahoma" w:cs="Tahoma"/>
          <w:sz w:val="20"/>
          <w:szCs w:val="20"/>
          <w:u w:val="single"/>
        </w:rPr>
      </w:pPr>
      <w:r>
        <w:rPr>
          <w:rFonts w:cs="Tahoma" w:ascii="Tahoma" w:hAnsi="Tahoma"/>
          <w:sz w:val="20"/>
          <w:szCs w:val="20"/>
          <w:u w:val="single"/>
        </w:rPr>
      </w:r>
    </w:p>
    <w:p>
      <w:pPr>
        <w:pStyle w:val="Default"/>
        <w:jc w:val="both"/>
        <w:rPr/>
      </w:pPr>
      <w:r>
        <w:rPr>
          <w:rFonts w:cs="Tahoma" w:ascii="Tahoma" w:hAnsi="Tahoma"/>
          <w:color w:val="000000"/>
          <w:sz w:val="20"/>
          <w:szCs w:val="20"/>
        </w:rPr>
        <w:t xml:space="preserve">A compter du 1er janvier 2020, il a été convenu de poursuivre la suspension, au 4ème jour d’arrêt de travail, de la subrogation pour maintien de salaire pendant la durée de l'arrêt de travail. </w:t>
      </w:r>
    </w:p>
    <w:p>
      <w:pPr>
        <w:pStyle w:val="Normal"/>
        <w:rPr>
          <w:rFonts w:ascii="Tahoma" w:hAnsi="Tahoma" w:cs="Tahoma"/>
          <w:color w:val="000000"/>
          <w:sz w:val="20"/>
          <w:szCs w:val="20"/>
        </w:rPr>
      </w:pPr>
      <w:r>
        <w:rPr>
          <w:rFonts w:cs="Tahoma" w:ascii="Tahoma" w:hAnsi="Tahoma"/>
          <w:color w:val="000000"/>
          <w:sz w:val="20"/>
          <w:szCs w:val="20"/>
        </w:rPr>
      </w:r>
    </w:p>
    <w:p>
      <w:pPr>
        <w:pStyle w:val="Normal"/>
        <w:jc w:val="both"/>
        <w:rPr>
          <w:rFonts w:ascii="Tahoma" w:hAnsi="Tahoma" w:cs="Tahoma"/>
          <w:sz w:val="20"/>
          <w:szCs w:val="20"/>
        </w:rPr>
      </w:pPr>
      <w:r>
        <w:rPr>
          <w:rFonts w:cs="Tahoma" w:ascii="Tahoma" w:hAnsi="Tahoma"/>
          <w:sz w:val="20"/>
          <w:szCs w:val="20"/>
        </w:rPr>
        <w:t>Le sujet sera de nouveau abordé au 2e semestre 2020 lors de la NAO afin de statuer sur un éventuel retour à la subrogation en 2021.</w:t>
      </w:r>
    </w:p>
    <w:p>
      <w:pPr>
        <w:pStyle w:val="Normal"/>
        <w:jc w:val="both"/>
        <w:rPr>
          <w:rFonts w:ascii="Tahoma" w:hAnsi="Tahoma" w:cs="Tahoma"/>
          <w:sz w:val="20"/>
          <w:szCs w:val="20"/>
        </w:rPr>
      </w:pPr>
      <w:r>
        <w:rPr>
          <w:rFonts w:cs="Tahoma" w:ascii="Tahoma" w:hAnsi="Tahoma"/>
          <w:sz w:val="20"/>
          <w:szCs w:val="20"/>
        </w:rPr>
      </w:r>
    </w:p>
    <w:p>
      <w:pPr>
        <w:pStyle w:val="Normal"/>
        <w:jc w:val="both"/>
        <w:rPr/>
      </w:pPr>
      <w:r>
        <w:rPr>
          <w:rFonts w:cs="Tahoma" w:ascii="Tahoma" w:hAnsi="Tahoma"/>
          <w:sz w:val="20"/>
          <w:szCs w:val="20"/>
        </w:rPr>
        <w:t>La mesure alternative de décompte en paie le mois suivant (M+1) des arrêts de travail débutant sur un mois M à partir du 20 est maintenue. De même l’acompte sur la prévoyance calculée par le service RH continuera d’être proposé au salarié dans l’attente de la réception des sommes de prévoyance.</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Pour rappel, tout arrêt de travail doit être adressé dans les 48h à l’employeur et à la CPAM. Dès la réception des décomptes des IJ sécurité sociale (par courrier ou sur ameli.fr), il convient de les adresser dans les plus brefs délais au service RH pour la demande de complément de salaire.</w:t>
      </w:r>
    </w:p>
    <w:p>
      <w:pPr>
        <w:pStyle w:val="Normal"/>
        <w:spacing w:lineRule="auto" w:line="242"/>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r>
    </w:p>
    <w:p>
      <w:pPr>
        <w:pStyle w:val="Normal"/>
        <w:pBdr>
          <w:bottom w:val="single" w:sz="4" w:space="1" w:color="000000"/>
        </w:pBdr>
        <w:jc w:val="both"/>
        <w:rPr/>
      </w:pPr>
      <w:r>
        <w:rPr>
          <w:rFonts w:cs="Tahoma" w:ascii="Tahoma" w:hAnsi="Tahoma"/>
          <w:b/>
          <w:sz w:val="20"/>
          <w:szCs w:val="20"/>
        </w:rPr>
        <w:t>Article 3 – Egalité professionnelle et qualité de vie au travail</w:t>
      </w:r>
    </w:p>
    <w:p>
      <w:pPr>
        <w:pStyle w:val="Normal"/>
        <w:widowControl w:val="false"/>
        <w:jc w:val="both"/>
        <w:rPr>
          <w:rFonts w:ascii="Tahoma" w:hAnsi="Tahoma" w:cs="Tahoma"/>
          <w:b/>
          <w:b/>
          <w:sz w:val="20"/>
          <w:szCs w:val="20"/>
        </w:rPr>
      </w:pPr>
      <w:r>
        <w:rPr>
          <w:rFonts w:cs="Tahoma" w:ascii="Tahoma" w:hAnsi="Tahoma"/>
          <w:b/>
          <w:sz w:val="20"/>
          <w:szCs w:val="20"/>
        </w:rPr>
      </w:r>
    </w:p>
    <w:p>
      <w:pPr>
        <w:pStyle w:val="Normal"/>
        <w:widowControl w:val="false"/>
        <w:jc w:val="both"/>
        <w:rPr/>
      </w:pPr>
      <w:r>
        <w:rPr>
          <w:rFonts w:cs="Tahoma" w:ascii="Tahoma" w:hAnsi="Tahoma"/>
          <w:sz w:val="20"/>
          <w:szCs w:val="20"/>
        </w:rPr>
        <w:t>A compter du 1</w:t>
      </w:r>
      <w:r>
        <w:rPr>
          <w:rFonts w:cs="Tahoma" w:ascii="Tahoma" w:hAnsi="Tahoma"/>
          <w:sz w:val="20"/>
          <w:szCs w:val="20"/>
          <w:vertAlign w:val="superscript"/>
        </w:rPr>
        <w:t>er</w:t>
      </w:r>
      <w:r>
        <w:rPr>
          <w:rFonts w:cs="Tahoma" w:ascii="Tahoma" w:hAnsi="Tahoma"/>
          <w:sz w:val="20"/>
          <w:szCs w:val="20"/>
        </w:rPr>
        <w:t xml:space="preserve"> janvier 2020, il a été convenu supprimer la notion d’âge (16 ans) et de retenir la notion « d’enfant à charge » pour l’octroi d’une journée rémunérée en cas d’hospitalisation ou de prise en charge ambulatoire d’un enfant du ou de la salarié(e).</w:t>
      </w:r>
    </w:p>
    <w:p>
      <w:pPr>
        <w:pStyle w:val="Normal"/>
        <w:widowControl w:val="false"/>
        <w:jc w:val="both"/>
        <w:rPr>
          <w:rFonts w:ascii="Tahoma" w:hAnsi="Tahoma" w:cs="Tahoma"/>
          <w:sz w:val="20"/>
          <w:szCs w:val="20"/>
        </w:rPr>
      </w:pPr>
      <w:r>
        <w:rPr>
          <w:rFonts w:cs="Tahoma" w:ascii="Tahoma" w:hAnsi="Tahoma"/>
          <w:sz w:val="20"/>
          <w:szCs w:val="20"/>
        </w:rPr>
      </w:r>
    </w:p>
    <w:p>
      <w:pPr>
        <w:pStyle w:val="Normal"/>
        <w:widowControl w:val="false"/>
        <w:jc w:val="both"/>
        <w:rPr>
          <w:rFonts w:ascii="Tahoma" w:hAnsi="Tahoma" w:cs="Tahoma"/>
          <w:sz w:val="20"/>
          <w:szCs w:val="20"/>
        </w:rPr>
      </w:pPr>
      <w:r>
        <w:rPr>
          <w:rFonts w:cs="Tahoma" w:ascii="Tahoma" w:hAnsi="Tahoma"/>
          <w:sz w:val="20"/>
          <w:szCs w:val="20"/>
        </w:rPr>
        <w:t>A compter du 1</w:t>
      </w:r>
      <w:r>
        <w:rPr>
          <w:rFonts w:cs="Tahoma" w:ascii="Tahoma" w:hAnsi="Tahoma"/>
          <w:sz w:val="20"/>
          <w:szCs w:val="20"/>
          <w:vertAlign w:val="superscript"/>
        </w:rPr>
        <w:t>er</w:t>
      </w:r>
      <w:r>
        <w:rPr>
          <w:rFonts w:cs="Tahoma" w:ascii="Tahoma" w:hAnsi="Tahoma"/>
          <w:sz w:val="20"/>
          <w:szCs w:val="20"/>
        </w:rPr>
        <w:t xml:space="preserve"> janvier 2020, il a également été décidé d’octroyer une journée rémunérée supplémentaire par année civile en cas d’hospitalisation ou de prise en charge ambulatoire d’un enfant à charge du ou de la salarié(e).</w:t>
      </w:r>
    </w:p>
    <w:p>
      <w:pPr>
        <w:pStyle w:val="Normal"/>
        <w:widowControl w:val="false"/>
        <w:jc w:val="both"/>
        <w:rPr>
          <w:rFonts w:ascii="Tahoma" w:hAnsi="Tahoma" w:cs="Tahoma"/>
          <w:sz w:val="20"/>
          <w:szCs w:val="20"/>
        </w:rPr>
      </w:pPr>
      <w:r>
        <w:rPr>
          <w:rFonts w:cs="Tahoma" w:ascii="Tahoma" w:hAnsi="Tahoma"/>
          <w:sz w:val="20"/>
          <w:szCs w:val="20"/>
        </w:rPr>
      </w:r>
    </w:p>
    <w:p>
      <w:pPr>
        <w:pStyle w:val="Normal"/>
        <w:widowControl w:val="false"/>
        <w:jc w:val="both"/>
        <w:rPr>
          <w:rFonts w:ascii="Tahoma" w:hAnsi="Tahoma" w:cs="Tahoma"/>
          <w:sz w:val="20"/>
          <w:szCs w:val="20"/>
        </w:rPr>
      </w:pPr>
      <w:r>
        <w:rPr>
          <w:rFonts w:cs="Tahoma" w:ascii="Tahoma" w:hAnsi="Tahoma"/>
          <w:sz w:val="20"/>
          <w:szCs w:val="20"/>
        </w:rPr>
        <w:t>A compter du 1</w:t>
      </w:r>
      <w:r>
        <w:rPr>
          <w:rFonts w:cs="Tahoma" w:ascii="Tahoma" w:hAnsi="Tahoma"/>
          <w:sz w:val="20"/>
          <w:szCs w:val="20"/>
          <w:vertAlign w:val="superscript"/>
        </w:rPr>
        <w:t>er</w:t>
      </w:r>
      <w:r>
        <w:rPr>
          <w:rFonts w:cs="Tahoma" w:ascii="Tahoma" w:hAnsi="Tahoma"/>
          <w:sz w:val="20"/>
          <w:szCs w:val="20"/>
        </w:rPr>
        <w:t xml:space="preserve"> janvier 2020, la Direction a décidé de supprimer la condition d’une ancienneté de 6 mois, pour l’octroi d’une journée rémunérée par année civile, en cas d’hospitalisation (et/ou de prise en charge ambulatoire) du conjoint, du pacsé, du concubin notoire, sur présentation d’un justificatif.</w:t>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pBdr>
          <w:bottom w:val="single" w:sz="4" w:space="1" w:color="000000"/>
        </w:pBdr>
        <w:jc w:val="both"/>
        <w:rPr/>
      </w:pPr>
      <w:r>
        <w:rPr>
          <w:rFonts w:cs="Tahoma" w:ascii="Tahoma" w:hAnsi="Tahoma"/>
          <w:b/>
          <w:sz w:val="20"/>
          <w:szCs w:val="20"/>
        </w:rPr>
        <w:t>Article 4 – Durée de l'accord</w:t>
      </w:r>
    </w:p>
    <w:p>
      <w:pPr>
        <w:pStyle w:val="Normal"/>
        <w:autoSpaceDE w:val="false"/>
        <w:jc w:val="both"/>
        <w:rPr>
          <w:rFonts w:ascii="Tahoma" w:hAnsi="Tahoma" w:cs="Tahoma"/>
          <w:b/>
          <w:b/>
          <w:sz w:val="20"/>
          <w:szCs w:val="20"/>
        </w:rPr>
      </w:pPr>
      <w:r>
        <w:rPr>
          <w:rFonts w:cs="Tahoma" w:ascii="Tahoma" w:hAnsi="Tahoma"/>
          <w:b/>
          <w:sz w:val="20"/>
          <w:szCs w:val="20"/>
        </w:rPr>
      </w:r>
    </w:p>
    <w:p>
      <w:pPr>
        <w:pStyle w:val="Normal"/>
        <w:autoSpaceDE w:val="false"/>
        <w:jc w:val="both"/>
        <w:rPr/>
      </w:pPr>
      <w:r>
        <w:rPr>
          <w:rFonts w:cs="Tahoma" w:ascii="Tahoma" w:hAnsi="Tahoma"/>
          <w:color w:val="000000"/>
          <w:sz w:val="20"/>
          <w:szCs w:val="20"/>
        </w:rPr>
        <w:t>Le présent accord est conclu pour une durée indéterminée. Les dates et durée d’application des différentes mesures qu’il prévoit figurent dans les articles du présent accord.</w:t>
      </w:r>
    </w:p>
    <w:p>
      <w:pPr>
        <w:pStyle w:val="Normal"/>
        <w:autoSpaceDE w:val="false"/>
        <w:jc w:val="both"/>
        <w:rPr>
          <w:rFonts w:ascii="Tahoma" w:hAnsi="Tahoma" w:cs="Tahoma"/>
          <w:color w:val="000000"/>
          <w:sz w:val="20"/>
          <w:szCs w:val="20"/>
        </w:rPr>
      </w:pPr>
      <w:r>
        <w:rPr>
          <w:rFonts w:cs="Tahoma" w:ascii="Tahoma" w:hAnsi="Tahoma"/>
          <w:color w:val="000000"/>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pBdr>
          <w:bottom w:val="single" w:sz="4" w:space="1" w:color="000000"/>
        </w:pBdr>
        <w:jc w:val="both"/>
        <w:rPr/>
      </w:pPr>
      <w:r>
        <w:rPr>
          <w:rFonts w:cs="Tahoma" w:ascii="Tahoma" w:hAnsi="Tahoma"/>
          <w:b/>
          <w:sz w:val="20"/>
          <w:szCs w:val="20"/>
        </w:rPr>
        <w:t>Article 5 – Communication</w:t>
      </w:r>
    </w:p>
    <w:p>
      <w:pPr>
        <w:pStyle w:val="Normal"/>
        <w:autoSpaceDE w:val="false"/>
        <w:jc w:val="both"/>
        <w:rPr>
          <w:rFonts w:ascii="Tahoma" w:hAnsi="Tahoma" w:cs="Tahoma"/>
          <w:b/>
          <w:b/>
          <w:sz w:val="20"/>
          <w:szCs w:val="20"/>
        </w:rPr>
      </w:pPr>
      <w:r>
        <w:rPr>
          <w:rFonts w:cs="Tahoma" w:ascii="Tahoma" w:hAnsi="Tahoma"/>
          <w:b/>
          <w:sz w:val="20"/>
          <w:szCs w:val="20"/>
        </w:rPr>
      </w:r>
    </w:p>
    <w:p>
      <w:pPr>
        <w:pStyle w:val="Normal"/>
        <w:autoSpaceDE w:val="false"/>
        <w:jc w:val="both"/>
        <w:rPr/>
      </w:pPr>
      <w:r>
        <w:rPr>
          <w:rFonts w:cs="Tahoma" w:ascii="Tahoma" w:hAnsi="Tahoma"/>
          <w:sz w:val="20"/>
          <w:szCs w:val="20"/>
        </w:rPr>
        <w:t>Les salariés seront informés du présent accord par voie d’affichage. Il sera également disponible sous intranet.</w:t>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pBdr>
          <w:bottom w:val="single" w:sz="4" w:space="1" w:color="000000"/>
        </w:pBdr>
        <w:jc w:val="both"/>
        <w:rPr/>
      </w:pPr>
      <w:r>
        <w:rPr>
          <w:rFonts w:cs="Tahoma" w:ascii="Tahoma" w:hAnsi="Tahoma"/>
          <w:b/>
          <w:sz w:val="20"/>
          <w:szCs w:val="20"/>
        </w:rPr>
        <w:t>Article 6 – Révision de l'accord</w:t>
      </w:r>
    </w:p>
    <w:p>
      <w:pPr>
        <w:pStyle w:val="Normal"/>
        <w:autoSpaceDE w:val="false"/>
        <w:jc w:val="both"/>
        <w:rPr>
          <w:rFonts w:ascii="Tahoma" w:hAnsi="Tahoma" w:cs="Tahoma"/>
          <w:b/>
          <w:b/>
          <w:bCs/>
          <w:sz w:val="20"/>
          <w:szCs w:val="20"/>
        </w:rPr>
      </w:pPr>
      <w:r>
        <w:rPr>
          <w:rFonts w:cs="Tahoma" w:ascii="Tahoma" w:hAnsi="Tahoma"/>
          <w:b/>
          <w:bCs/>
          <w:sz w:val="20"/>
          <w:szCs w:val="20"/>
        </w:rPr>
      </w:r>
    </w:p>
    <w:p>
      <w:pPr>
        <w:pStyle w:val="Normal"/>
        <w:autoSpaceDE w:val="false"/>
        <w:jc w:val="both"/>
        <w:rPr/>
      </w:pPr>
      <w:r>
        <w:rPr>
          <w:rFonts w:cs="Tahoma" w:ascii="Tahoma" w:hAnsi="Tahoma"/>
          <w:bCs/>
          <w:sz w:val="20"/>
          <w:szCs w:val="20"/>
        </w:rPr>
        <w:t>Toute disposition du présent accord devra faire l'objet d'une négociation entre les parties signataires et donner lieu à l'établissement d'un avenant. La demande de révision devra être notifiée à l'ensemble des signataires par lettre recommandée avec accusé de réception.</w:t>
      </w:r>
    </w:p>
    <w:p>
      <w:pPr>
        <w:pStyle w:val="Normal"/>
        <w:autoSpaceDE w:val="false"/>
        <w:jc w:val="both"/>
        <w:rPr>
          <w:rFonts w:ascii="Tahoma" w:hAnsi="Tahoma" w:cs="Tahoma"/>
          <w:bCs/>
          <w:sz w:val="20"/>
          <w:szCs w:val="20"/>
        </w:rPr>
      </w:pPr>
      <w:r>
        <w:rPr>
          <w:rFonts w:cs="Tahoma" w:ascii="Tahoma" w:hAnsi="Tahoma"/>
          <w:bCs/>
          <w:sz w:val="20"/>
          <w:szCs w:val="20"/>
        </w:rPr>
      </w:r>
    </w:p>
    <w:p>
      <w:pPr>
        <w:pStyle w:val="Normal"/>
        <w:autoSpaceDE w:val="false"/>
        <w:jc w:val="both"/>
        <w:rPr/>
      </w:pPr>
      <w:r>
        <w:rPr>
          <w:rFonts w:cs="Tahoma" w:ascii="Tahoma" w:hAnsi="Tahoma"/>
          <w:bCs/>
          <w:sz w:val="20"/>
          <w:szCs w:val="20"/>
        </w:rPr>
        <w:t>Une réunion devra être organisée dans le délai de 3 mois pour examiner les suites à donner à cette demande.</w:t>
      </w:r>
    </w:p>
    <w:p>
      <w:pPr>
        <w:pStyle w:val="Normal"/>
        <w:autoSpaceDE w:val="false"/>
        <w:jc w:val="both"/>
        <w:rPr>
          <w:rFonts w:ascii="Tahoma" w:hAnsi="Tahoma" w:cs="Tahoma"/>
          <w:bCs/>
          <w:sz w:val="20"/>
          <w:szCs w:val="20"/>
        </w:rPr>
      </w:pPr>
      <w:r>
        <w:rPr>
          <w:rFonts w:cs="Tahoma" w:ascii="Tahoma" w:hAnsi="Tahoma"/>
          <w:bCs/>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pBdr>
          <w:bottom w:val="single" w:sz="4" w:space="1" w:color="000000"/>
        </w:pBdr>
        <w:jc w:val="both"/>
        <w:rPr/>
      </w:pPr>
      <w:r>
        <w:rPr>
          <w:rFonts w:cs="Tahoma" w:ascii="Tahoma" w:hAnsi="Tahoma"/>
          <w:b/>
          <w:sz w:val="20"/>
          <w:szCs w:val="20"/>
        </w:rPr>
        <w:t>Article 7 – Dénonciation de l'accord</w:t>
      </w:r>
    </w:p>
    <w:p>
      <w:pPr>
        <w:pStyle w:val="Normal"/>
        <w:autoSpaceDE w:val="false"/>
        <w:jc w:val="both"/>
        <w:rPr>
          <w:rFonts w:ascii="Tahoma" w:hAnsi="Tahoma" w:cs="Tahoma"/>
          <w:b/>
          <w:b/>
          <w:bCs/>
          <w:sz w:val="20"/>
          <w:szCs w:val="20"/>
        </w:rPr>
      </w:pPr>
      <w:r>
        <w:rPr>
          <w:rFonts w:cs="Tahoma" w:ascii="Tahoma" w:hAnsi="Tahoma"/>
          <w:b/>
          <w:bCs/>
          <w:sz w:val="20"/>
          <w:szCs w:val="20"/>
        </w:rPr>
      </w:r>
    </w:p>
    <w:p>
      <w:pPr>
        <w:pStyle w:val="Normal"/>
        <w:autoSpaceDE w:val="false"/>
        <w:jc w:val="both"/>
        <w:rPr>
          <w:rFonts w:ascii="Tahoma" w:hAnsi="Tahoma" w:cs="Tahoma"/>
          <w:bCs/>
          <w:sz w:val="20"/>
          <w:szCs w:val="20"/>
        </w:rPr>
      </w:pPr>
      <w:r>
        <w:rPr>
          <w:rFonts w:cs="Tahoma" w:ascii="Tahoma" w:hAnsi="Tahoma"/>
          <w:bCs/>
          <w:sz w:val="20"/>
          <w:szCs w:val="20"/>
        </w:rPr>
        <w:t>Le présent accord, conclu sans limitation de durée, pourra être dénoncé à tout moment par l'une ou l'autre des parties signataires sous réserve de respecter un préavis de 3 mois.</w:t>
      </w:r>
    </w:p>
    <w:p>
      <w:pPr>
        <w:pStyle w:val="Normal"/>
        <w:autoSpaceDE w:val="false"/>
        <w:jc w:val="both"/>
        <w:rPr>
          <w:rFonts w:ascii="Tahoma" w:hAnsi="Tahoma" w:cs="Tahoma"/>
          <w:bCs/>
          <w:sz w:val="20"/>
          <w:szCs w:val="20"/>
        </w:rPr>
      </w:pPr>
      <w:r>
        <w:rPr>
          <w:rFonts w:cs="Tahoma" w:ascii="Tahoma" w:hAnsi="Tahoma"/>
          <w:bCs/>
          <w:sz w:val="20"/>
          <w:szCs w:val="20"/>
        </w:rPr>
      </w:r>
    </w:p>
    <w:p>
      <w:pPr>
        <w:pStyle w:val="Normal"/>
        <w:autoSpaceDE w:val="false"/>
        <w:jc w:val="both"/>
        <w:rPr>
          <w:rFonts w:ascii="Tahoma" w:hAnsi="Tahoma" w:cs="Tahoma"/>
          <w:bCs/>
          <w:sz w:val="20"/>
          <w:szCs w:val="20"/>
        </w:rPr>
      </w:pPr>
      <w:r>
        <w:rPr>
          <w:rFonts w:cs="Tahoma" w:ascii="Tahoma" w:hAnsi="Tahoma"/>
          <w:bCs/>
          <w:sz w:val="20"/>
          <w:szCs w:val="20"/>
        </w:rPr>
        <w:t xml:space="preserve">Dans ce cas, la direction et les partenaires sociaux signataires se réuniront pendant la durée du préavis pour discuter les possibilités d'un nouvel accord. </w:t>
      </w:r>
    </w:p>
    <w:p>
      <w:pPr>
        <w:pStyle w:val="Normal"/>
        <w:autoSpaceDE w:val="false"/>
        <w:jc w:val="both"/>
        <w:rPr>
          <w:rFonts w:ascii="Tahoma" w:hAnsi="Tahoma" w:cs="Tahoma"/>
          <w:bCs/>
          <w:sz w:val="20"/>
          <w:szCs w:val="20"/>
        </w:rPr>
      </w:pPr>
      <w:r>
        <w:rPr>
          <w:rFonts w:cs="Tahoma" w:ascii="Tahoma" w:hAnsi="Tahoma"/>
          <w:bCs/>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pBdr>
          <w:bottom w:val="single" w:sz="4" w:space="1" w:color="000000"/>
        </w:pBdr>
        <w:jc w:val="both"/>
        <w:rPr/>
      </w:pPr>
      <w:r>
        <w:rPr>
          <w:rFonts w:cs="Tahoma" w:ascii="Tahoma" w:hAnsi="Tahoma"/>
          <w:b/>
          <w:sz w:val="20"/>
          <w:szCs w:val="20"/>
        </w:rPr>
        <w:t>Article 8 – Dépôt et publicité</w:t>
      </w:r>
    </w:p>
    <w:p>
      <w:pPr>
        <w:pStyle w:val="Normal"/>
        <w:autoSpaceDE w:val="false"/>
        <w:jc w:val="both"/>
        <w:rPr>
          <w:rFonts w:ascii="Tahoma" w:hAnsi="Tahoma" w:cs="Tahoma"/>
          <w:b/>
          <w:b/>
          <w:sz w:val="20"/>
          <w:szCs w:val="20"/>
        </w:rPr>
      </w:pPr>
      <w:r>
        <w:rPr>
          <w:rFonts w:cs="Tahoma" w:ascii="Tahoma" w:hAnsi="Tahoma"/>
          <w:b/>
          <w:sz w:val="20"/>
          <w:szCs w:val="20"/>
        </w:rPr>
      </w:r>
    </w:p>
    <w:p>
      <w:pPr>
        <w:pStyle w:val="Normal"/>
        <w:autoSpaceDE w:val="false"/>
        <w:jc w:val="both"/>
        <w:rPr>
          <w:rFonts w:ascii="Tahoma" w:hAnsi="Tahoma" w:cs="Tahoma"/>
          <w:sz w:val="20"/>
          <w:szCs w:val="20"/>
        </w:rPr>
      </w:pPr>
      <w:r>
        <w:rPr>
          <w:rFonts w:cs="Tahoma" w:ascii="Tahoma" w:hAnsi="Tahoma"/>
          <w:sz w:val="20"/>
          <w:szCs w:val="20"/>
        </w:rPr>
        <w:t xml:space="preserve">Le présent accord est établi en 4 exemplaires papier, dont un pour chacune des parties signataires. </w:t>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pPr>
      <w:r>
        <w:rPr>
          <w:rFonts w:cs="Tahoma" w:ascii="Tahoma" w:hAnsi="Tahoma"/>
          <w:sz w:val="20"/>
          <w:szCs w:val="20"/>
        </w:rPr>
        <w:t>L'entreprise se chargera des formalités de dépôt, auprès de la direction régionale des entreprises, de la concurrence, de la consommation, du travail et de l'emploi (DIRECCTE) du lieu de sa conclusion, en 2 exemplaires :</w:t>
      </w:r>
    </w:p>
    <w:p>
      <w:pPr>
        <w:pStyle w:val="Normal"/>
        <w:numPr>
          <w:ilvl w:val="0"/>
          <w:numId w:val="2"/>
        </w:numPr>
        <w:jc w:val="both"/>
        <w:rPr>
          <w:rFonts w:ascii="Tahoma" w:hAnsi="Tahoma" w:cs="Tahoma"/>
          <w:sz w:val="20"/>
          <w:szCs w:val="20"/>
        </w:rPr>
      </w:pPr>
      <w:r>
        <w:rPr>
          <w:rFonts w:cs="Tahoma" w:ascii="Tahoma" w:hAnsi="Tahoma"/>
          <w:sz w:val="20"/>
          <w:szCs w:val="20"/>
        </w:rPr>
        <w:t>une version papier signée des deux parties, envoyée par courrier ou déposée sur place,</w:t>
      </w:r>
    </w:p>
    <w:p>
      <w:pPr>
        <w:pStyle w:val="Normal"/>
        <w:numPr>
          <w:ilvl w:val="0"/>
          <w:numId w:val="2"/>
        </w:numPr>
        <w:jc w:val="both"/>
        <w:rPr>
          <w:rFonts w:ascii="Tahoma" w:hAnsi="Tahoma" w:cs="Tahoma"/>
          <w:sz w:val="20"/>
          <w:szCs w:val="20"/>
        </w:rPr>
      </w:pPr>
      <w:r>
        <w:rPr>
          <w:rFonts w:cs="Tahoma" w:ascii="Tahoma" w:hAnsi="Tahoma"/>
          <w:sz w:val="20"/>
          <w:szCs w:val="20"/>
        </w:rPr>
        <w:t xml:space="preserve">une version électronique envoyée par courriel, </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Un exemplaire sera également transmis au Greffe du Conseil de Prud’hommes de Bordeaux.</w:t>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pPr>
      <w:r>
        <w:rPr>
          <w:rFonts w:cs="Tahoma" w:ascii="Tahoma" w:hAnsi="Tahoma"/>
          <w:sz w:val="20"/>
          <w:szCs w:val="20"/>
        </w:rPr>
        <w:t>Fait à Peujard, le 15 novembre 2019, en 4 exemplaires originaux</w:t>
      </w:r>
    </w:p>
    <w:p>
      <w:pPr>
        <w:pStyle w:val="Normal"/>
        <w:autoSpaceDE w:val="false"/>
        <w:ind w:firstLine="360"/>
        <w:jc w:val="both"/>
        <w:rPr>
          <w:rFonts w:ascii="Tahoma" w:hAnsi="Tahoma" w:cs="Tahoma"/>
          <w:sz w:val="20"/>
          <w:szCs w:val="20"/>
        </w:rPr>
      </w:pPr>
      <w:r>
        <w:rPr>
          <w:rFonts w:cs="Tahoma" w:ascii="Tahoma" w:hAnsi="Tahoma"/>
          <w:sz w:val="20"/>
          <w:szCs w:val="20"/>
        </w:rPr>
      </w:r>
    </w:p>
    <w:p>
      <w:pPr>
        <w:pStyle w:val="Normal"/>
        <w:autoSpaceDE w:val="false"/>
        <w:ind w:firstLine="360"/>
        <w:jc w:val="both"/>
        <w:rPr>
          <w:rFonts w:ascii="Tahoma" w:hAnsi="Tahoma" w:cs="Tahoma"/>
          <w:sz w:val="20"/>
          <w:szCs w:val="20"/>
        </w:rPr>
      </w:pPr>
      <w:r>
        <w:rPr>
          <w:rFonts w:cs="Tahoma" w:ascii="Tahoma" w:hAnsi="Tahoma"/>
          <w:sz w:val="20"/>
          <w:szCs w:val="20"/>
        </w:rPr>
      </w:r>
    </w:p>
    <w:p>
      <w:pPr>
        <w:pStyle w:val="Normal"/>
        <w:autoSpaceDE w:val="false"/>
        <w:jc w:val="both"/>
        <w:rPr/>
      </w:pPr>
      <w:r>
        <w:rPr>
          <w:rFonts w:cs="Tahoma" w:ascii="Tahoma" w:hAnsi="Tahoma"/>
          <w:sz w:val="20"/>
          <w:szCs w:val="20"/>
        </w:rPr>
        <w:t>Pour la Société MAUCO CARTEX</w:t>
        <w:tab/>
        <w:tab/>
        <w:tab/>
        <w:tab/>
        <w:t xml:space="preserve"> </w:t>
      </w:r>
    </w:p>
    <w:p>
      <w:pPr>
        <w:pStyle w:val="Normal"/>
        <w:autoSpaceDE w:val="false"/>
        <w:jc w:val="both"/>
        <w:rPr>
          <w:rFonts w:ascii="Tahoma" w:hAnsi="Tahoma" w:cs="Tahoma"/>
          <w:sz w:val="20"/>
          <w:szCs w:val="20"/>
        </w:rPr>
      </w:pPr>
      <w:r>
        <w:rPr>
          <w:rFonts w:cs="Tahoma" w:ascii="Tahoma" w:hAnsi="Tahoma"/>
          <w:sz w:val="20"/>
          <w:szCs w:val="20"/>
        </w:rPr>
        <w:t xml:space="preserve">XXX, PDG </w:t>
        <w:tab/>
        <w:tab/>
        <w:tab/>
      </w:r>
    </w:p>
    <w:p>
      <w:pPr>
        <w:pStyle w:val="Normal"/>
        <w:autoSpaceDE w:val="false"/>
        <w:ind w:firstLine="360"/>
        <w:jc w:val="both"/>
        <w:rPr>
          <w:rFonts w:ascii="Tahoma" w:hAnsi="Tahoma" w:cs="Tahoma"/>
          <w:sz w:val="20"/>
          <w:szCs w:val="20"/>
        </w:rPr>
      </w:pPr>
      <w:r>
        <w:rPr>
          <w:rFonts w:cs="Tahoma" w:ascii="Tahoma" w:hAnsi="Tahoma"/>
          <w:sz w:val="20"/>
          <w:szCs w:val="20"/>
        </w:rPr>
        <w:tab/>
        <w:tab/>
        <w:tab/>
        <w:tab/>
        <w:tab/>
        <w:tab/>
        <w:t xml:space="preserve"> </w:t>
      </w:r>
    </w:p>
    <w:p>
      <w:pPr>
        <w:pStyle w:val="Normal"/>
        <w:autoSpaceDE w:val="false"/>
        <w:ind w:firstLine="360"/>
        <w:jc w:val="both"/>
        <w:rPr>
          <w:rFonts w:ascii="Tahoma" w:hAnsi="Tahoma" w:cs="Tahoma"/>
          <w:sz w:val="20"/>
          <w:szCs w:val="20"/>
        </w:rPr>
      </w:pPr>
      <w:r>
        <w:rPr>
          <w:rFonts w:cs="Tahoma" w:ascii="Tahoma" w:hAnsi="Tahoma"/>
          <w:sz w:val="20"/>
          <w:szCs w:val="20"/>
        </w:rPr>
      </w:r>
    </w:p>
    <w:p>
      <w:pPr>
        <w:pStyle w:val="Normal"/>
        <w:autoSpaceDE w:val="false"/>
        <w:ind w:firstLine="360"/>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sz w:val="20"/>
          <w:szCs w:val="20"/>
        </w:rPr>
      </w:pPr>
      <w:r>
        <w:rPr>
          <w:rFonts w:cs="Tahoma" w:ascii="Tahoma" w:hAnsi="Tahoma"/>
          <w:sz w:val="20"/>
          <w:szCs w:val="20"/>
        </w:rPr>
      </w:r>
    </w:p>
    <w:p>
      <w:pPr>
        <w:pStyle w:val="Normal"/>
        <w:autoSpaceDE w:val="false"/>
        <w:jc w:val="both"/>
        <w:rPr>
          <w:rFonts w:ascii="Tahoma" w:hAnsi="Tahoma" w:cs="Tahoma"/>
          <w:sz w:val="20"/>
          <w:szCs w:val="20"/>
        </w:rPr>
      </w:pPr>
      <w:r>
        <w:rPr>
          <w:rFonts w:cs="Tahoma" w:ascii="Tahoma" w:hAnsi="Tahoma"/>
          <w:sz w:val="20"/>
          <w:szCs w:val="20"/>
        </w:rPr>
        <w:t xml:space="preserve">Pour la F.I.L.P.A.C.-C.G.T., </w:t>
      </w:r>
    </w:p>
    <w:p>
      <w:pPr>
        <w:pStyle w:val="Normal"/>
        <w:autoSpaceDE w:val="false"/>
        <w:jc w:val="both"/>
        <w:rPr>
          <w:rFonts w:ascii="Tahoma" w:hAnsi="Tahoma" w:cs="Tahoma"/>
          <w:sz w:val="20"/>
          <w:szCs w:val="20"/>
        </w:rPr>
      </w:pPr>
      <w:r>
        <w:rPr>
          <w:rFonts w:cs="Tahoma" w:ascii="Tahoma" w:hAnsi="Tahoma"/>
          <w:sz w:val="20"/>
          <w:szCs w:val="20"/>
        </w:rPr>
        <w:t>XXX, Déléguée Syndicale</w:t>
      </w:r>
    </w:p>
    <w:sectPr>
      <w:headerReference w:type="default" r:id="rId2"/>
      <w:footerReference w:type="default" r:id="rId3"/>
      <w:type w:val="nextPage"/>
      <w:pgSz w:w="11906" w:h="16838"/>
      <w:pgMar w:left="1134" w:right="851" w:header="284" w:top="1208" w:footer="284"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0"/>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Tahoma">
    <w:charset w:val="00"/>
    <w:family w:val="swiss"/>
    <w:pitch w:val="variable"/>
  </w:font>
  <w:font w:name="Verdana">
    <w:charset w:val="00"/>
    <w:family w:val="swiss"/>
    <w:pitch w:val="variable"/>
  </w:font>
  <w:font w:name="Calibri">
    <w:charset w:val="00"/>
    <w:family w:val="swiss"/>
    <w:pitch w:val="variable"/>
  </w:font>
  <w:font w:name="Comic Sans MS">
    <w:charset w:val="00"/>
    <w:family w:val="script"/>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360" w:hanging="0"/>
      <w:rPr>
        <w:sz w:val="18"/>
        <w:szCs w:val="18"/>
      </w:rPr>
    </w:pPr>
    <w:r>
      <w:rPr/>
      <w:t xml:space="preserve">                                                                                                                                              </w:t>
    </w:r>
    <w:r>
      <w:rPr/>
      <w:tab/>
      <w:tab/>
    </w:r>
    <w:r>
      <w:rPr>
        <w:sz w:val="18"/>
        <w:szCs w:val="18"/>
      </w:rPr>
      <w:fldChar w:fldCharType="begin"/>
    </w:r>
    <w:r>
      <w:instrText> PAGE </w:instrText>
    </w:r>
    <w:r>
      <w:fldChar w:fldCharType="separate"/>
    </w:r>
    <w:r>
      <w:t>3</w:t>
    </w:r>
    <w:r>
      <w:fldChar w:fldCharType="end"/>
    </w:r>
    <w:r>
      <w:rPr>
        <w:sz w:val="18"/>
        <w:szCs w:val="18"/>
      </w:rPr>
      <w:t>/</w:t>
    </w:r>
    <w:r>
      <w:rPr>
        <w:sz w:val="18"/>
        <w:szCs w:val="18"/>
      </w:rPr>
      <w:fldChar w:fldCharType="begin"/>
    </w:r>
    <w:r>
      <w:instrText> NUMPAGES \* ARABIC </w:instrText>
    </w:r>
    <w:r>
      <w:fldChar w:fldCharType="separate"/>
    </w:r>
    <w:r>
      <w:t>3</w:t>
    </w:r>
    <w:r>
      <w:fldChar w:fldCharType="end"/>
    </w:r>
  </w:p>
  <w:p>
    <w:pPr>
      <w:pStyle w:val="Footer"/>
      <w:ind w:left="180" w:hanging="0"/>
      <w:rPr>
        <w:rFonts w:ascii="Calibri" w:hAnsi="Calibri" w:cs="Calibri"/>
        <w:sz w:val="16"/>
        <w:szCs w:val="16"/>
      </w:rPr>
    </w:pPr>
    <w:r>
      <w:rPr>
        <w:rFonts w:cs="Calibri" w:ascii="Calibri" w:hAnsi="Calibri"/>
        <w:sz w:val="16"/>
        <w:szCs w:val="16"/>
      </w:rPr>
      <w:t xml:space="preserve">1 Parc d’Activité du Bois Marin – 33240 PEUJARD – Tél. 05 57 42 62 62 – Fax. 05 57 42 62 63 - e-mail : </w:t>
    </w:r>
    <w:hyperlink r:id="rId1">
      <w:r>
        <w:rPr>
          <w:rStyle w:val="InternetLink"/>
          <w:rFonts w:cs="Calibri" w:ascii="Calibri" w:hAnsi="Calibri"/>
          <w:sz w:val="16"/>
          <w:szCs w:val="16"/>
        </w:rPr>
        <w:t>embal@mauco.fr</w:t>
      </w:r>
    </w:hyperlink>
    <w:r>
      <w:rPr>
        <w:rFonts w:cs="Calibri" w:ascii="Calibri" w:hAnsi="Calibri"/>
        <w:sz w:val="16"/>
        <w:szCs w:val="16"/>
      </w:rPr>
      <w:t xml:space="preserve"> – Site web : </w:t>
    </w:r>
    <w:hyperlink r:id="rId2">
      <w:r>
        <w:rPr>
          <w:rStyle w:val="InternetLink"/>
          <w:rFonts w:cs="Calibri" w:ascii="Calibri" w:hAnsi="Calibri"/>
          <w:sz w:val="16"/>
          <w:szCs w:val="16"/>
        </w:rPr>
        <w:t>www.mauco.fr</w:t>
      </w:r>
    </w:hyperlink>
  </w:p>
  <w:p>
    <w:pPr>
      <w:pStyle w:val="Footer"/>
      <w:ind w:left="180" w:hanging="0"/>
      <w:jc w:val="center"/>
      <w:rPr/>
    </w:pPr>
    <w:r>
      <w:rPr>
        <w:rFonts w:cs="Calibri" w:ascii="Calibri" w:hAnsi="Calibri"/>
        <w:sz w:val="16"/>
        <w:szCs w:val="16"/>
      </w:rPr>
      <w:t>SAS au capital de 203 000 euros – RC BORDEAUX 323 539 585 – APE 4676Z</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360" w:hanging="540"/>
      <w:rPr>
        <w:rFonts w:ascii="Comic Sans MS" w:hAnsi="Comic Sans MS" w:cs="Comic Sans MS"/>
        <w:b/>
        <w:b/>
        <w:sz w:val="40"/>
      </w:rPr>
    </w:pPr>
    <w:r>
      <w:rPr>
        <w:rFonts w:cs="Verdana" w:ascii="Verdana" w:hAnsi="Verdana"/>
        <w:b/>
        <w:sz w:val="20"/>
      </w:rPr>
      <w:drawing>
        <wp:inline distT="0" distB="0" distL="0" distR="0">
          <wp:extent cx="2514600" cy="5715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514600" cy="571500"/>
                  </a:xfrm>
                  <a:prstGeom prst="rect">
                    <a:avLst/>
                  </a:prstGeom>
                </pic:spPr>
              </pic:pic>
            </a:graphicData>
          </a:graphic>
        </wp:inline>
      </w:drawing>
    </w:r>
  </w:p>
  <w:p>
    <w:pPr>
      <w:pStyle w:val="Header"/>
      <w:ind w:left="-720" w:hanging="0"/>
      <w:rPr>
        <w:rFonts w:ascii="Comic Sans MS" w:hAnsi="Comic Sans MS" w:cs="Comic Sans MS"/>
        <w:b/>
        <w:b/>
        <w:sz w:val="40"/>
      </w:rPr>
    </w:pPr>
    <w:r>
      <w:rPr>
        <w:rFonts w:cs="Comic Sans MS" w:ascii="Comic Sans MS" w:hAnsi="Comic Sans MS"/>
        <w:b/>
        <w:sz w:val="40"/>
      </w:rPr>
    </w:r>
  </w:p>
  <w:p>
    <w:pPr>
      <w:pStyle w:val="Header"/>
      <w:ind w:left="-72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tabs>
          <w:tab w:val="num" w:pos="720"/>
        </w:tabs>
        <w:ind w:left="720" w:hanging="360"/>
      </w:pPr>
      <w:rPr>
        <w:rFonts w:ascii="Tahoma" w:hAnsi="Tahoma" w:cs="Tahoma" w:hint="default"/>
        <w:sz w:val="20"/>
        <w:szCs w:val="20"/>
        <w:rFonts w:cs="Tahoma"/>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jc w:val="center"/>
      <w:outlineLvl w:val="0"/>
      <w:outlineLvl w:val="0"/>
    </w:pPr>
    <w:rPr>
      <w:rFonts w:ascii="Bookman Old Style" w:hAnsi="Bookman Old Style" w:cs="Bookman Old Style"/>
      <w:b/>
      <w:bCs/>
      <w:sz w:val="20"/>
      <w:szCs w:val="20"/>
      <w:u w:val="single"/>
    </w:rPr>
  </w:style>
  <w:style w:type="paragraph" w:styleId="Heading2">
    <w:name w:val="Heading 2"/>
    <w:basedOn w:val="Normal"/>
    <w:next w:val="Normal"/>
    <w:qFormat/>
    <w:pPr>
      <w:keepNext/>
      <w:numPr>
        <w:ilvl w:val="1"/>
        <w:numId w:val="1"/>
      </w:numPr>
      <w:ind w:left="1080" w:firstLine="1260"/>
      <w:jc w:val="both"/>
      <w:outlineLvl w:val="1"/>
      <w:outlineLvl w:val="1"/>
    </w:pPr>
    <w:rPr>
      <w:rFonts w:ascii="Bookman Old Style" w:hAnsi="Bookman Old Style" w:cs="Bookman Old Style"/>
      <w:b/>
      <w:bCs/>
      <w:sz w:val="20"/>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character" w:styleId="WW8Num1z0">
    <w:name w:val="WW8Num1z0"/>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ahoma" w:hAnsi="Tahoma" w:eastAsia="Times New Roman" w:cs="Tahoma"/>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ahoma" w:hAnsi="Tahoma" w:eastAsia="Times New Roman" w:cs="Tahoma"/>
      <w:color w:val="000000"/>
      <w:sz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Wingdings" w:hAnsi="Wingdings" w:cs="Wingdings"/>
    </w:rPr>
  </w:style>
  <w:style w:type="character" w:styleId="WW8Num6z1">
    <w:name w:val="WW8Num6z1"/>
    <w:qFormat/>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0">
    <w:name w:val="WW8Num7z0"/>
    <w:qFormat/>
    <w:rPr/>
  </w:style>
  <w:style w:type="character" w:styleId="WW8Num7z1">
    <w:name w:val="WW8Num7z1"/>
    <w:qFormat/>
    <w:rPr>
      <w:rFonts w:ascii="Tahoma" w:hAnsi="Tahoma" w:eastAsia="Times New Roman" w:cs="Tahoma"/>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Verdana" w:hAnsi="Verdana"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Tahoma" w:hAnsi="Tahoma" w:eastAsia="Times New Roman" w:cs="Tahoma"/>
    </w:rPr>
  </w:style>
  <w:style w:type="character" w:styleId="WW8Num9z3">
    <w:name w:val="WW8Num9z3"/>
    <w:qFormat/>
    <w:rPr>
      <w:rFonts w:ascii="Symbol" w:hAnsi="Symbol" w:cs="Symbol"/>
    </w:rPr>
  </w:style>
  <w:style w:type="character" w:styleId="WW8Num9z4">
    <w:name w:val="WW8Num9z4"/>
    <w:qFormat/>
    <w:rPr>
      <w:rFonts w:ascii="Courier New" w:hAnsi="Courier New" w:cs="Courier New"/>
    </w:rPr>
  </w:style>
  <w:style w:type="character" w:styleId="WW8Num10z0">
    <w:name w:val="WW8Num10z0"/>
    <w:qFormat/>
    <w:rPr>
      <w:rFonts w:ascii="Verdana" w:hAnsi="Verdana"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Verdana" w:hAnsi="Verdana"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Bookman Old Style" w:hAnsi="Bookman Old Style"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Verdana" w:hAnsi="Verdana"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Wingdings" w:hAnsi="Wingdings" w:cs="Wingdings"/>
      <w:sz w:val="20"/>
    </w:rPr>
  </w:style>
  <w:style w:type="character" w:styleId="WW8Num24z0">
    <w:name w:val="WW8Num24z0"/>
    <w:qFormat/>
    <w:rPr>
      <w:rFonts w:ascii="Tahoma" w:hAnsi="Tahoma" w:eastAsia="Times New Roman" w:cs="Tahoma"/>
      <w:sz w:val="20"/>
      <w:szCs w:val="20"/>
    </w:rPr>
  </w:style>
  <w:style w:type="character" w:styleId="WW8Num24z1">
    <w:name w:val="WW8Num24z1"/>
    <w:qFormat/>
    <w:rPr>
      <w:rFonts w:ascii="Courier New" w:hAnsi="Courier New" w:cs="Courier New"/>
      <w:sz w:val="20"/>
    </w:rPr>
  </w:style>
  <w:style w:type="character" w:styleId="WW8Num24z2">
    <w:name w:val="WW8Num24z2"/>
    <w:qFormat/>
    <w:rPr>
      <w:rFonts w:ascii="Wingdings" w:hAnsi="Wingdings" w:cs="Wingdings"/>
      <w:sz w:val="20"/>
    </w:rPr>
  </w:style>
  <w:style w:type="character" w:styleId="WW8Num25z0">
    <w:name w:val="WW8Num25z0"/>
    <w:qFormat/>
    <w:rPr>
      <w:rFonts w:ascii="Calibri" w:hAnsi="Calibri" w:eastAsia="Calibri"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Policepardfaut">
    <w:name w:val="Police par défaut"/>
    <w:qFormat/>
    <w:rPr/>
  </w:style>
  <w:style w:type="character" w:styleId="Txt">
    <w:name w:val="txt"/>
    <w:basedOn w:val="Policepardfaut"/>
    <w:qFormat/>
    <w:rPr/>
  </w:style>
  <w:style w:type="character" w:styleId="Txtbold">
    <w:name w:val="txtbold"/>
    <w:basedOn w:val="Policepardfaut"/>
    <w:qFormat/>
    <w:rPr/>
  </w:style>
  <w:style w:type="character" w:styleId="T5">
    <w:name w:val="t5"/>
    <w:basedOn w:val="Policepardfaut"/>
    <w:qFormat/>
    <w:rPr/>
  </w:style>
  <w:style w:type="character" w:styleId="T5bis">
    <w:name w:val="t5bis"/>
    <w:basedOn w:val="Policepardfaut"/>
    <w:qFormat/>
    <w:rPr/>
  </w:style>
  <w:style w:type="character" w:styleId="PageNumber">
    <w:name w:val="Page Number"/>
    <w:basedOn w:val="Policepardfaut"/>
    <w:rPr/>
  </w:style>
  <w:style w:type="character" w:styleId="InternetLink">
    <w:name w:val="Internet Link"/>
    <w:rPr>
      <w:color w:val="0000FF"/>
      <w:u w:val="single"/>
    </w:rPr>
  </w:style>
  <w:style w:type="character" w:styleId="Emphasis">
    <w:name w:val="Emphasis"/>
    <w:qFormat/>
    <w:rPr>
      <w:i/>
      <w:iCs/>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StrongEmphasis">
    <w:name w:val="Strong Emphasis"/>
    <w:rPr>
      <w:b/>
      <w:bCs/>
    </w:rPr>
  </w:style>
  <w:style w:type="paragraph" w:styleId="Heading">
    <w:name w:val="Heading"/>
    <w:basedOn w:val="Normal"/>
    <w:next w:val="TextBody"/>
    <w:qFormat/>
    <w:pPr>
      <w:pBdr>
        <w:top w:val="single" w:sz="4" w:space="9" w:color="000000"/>
        <w:left w:val="single" w:sz="4" w:space="4" w:color="000000"/>
        <w:bottom w:val="single" w:sz="4" w:space="17" w:color="000000"/>
        <w:right w:val="single" w:sz="4" w:space="4" w:color="000000"/>
      </w:pBdr>
      <w:shd w:fill="F3F3F3" w:val="clear"/>
      <w:ind w:left="1080" w:hanging="0"/>
      <w:jc w:val="center"/>
    </w:pPr>
    <w:rPr>
      <w:rFonts w:ascii="Bookman Old Style" w:hAnsi="Bookman Old Style" w:cs="Bookman Old Style"/>
      <w:b/>
      <w:bCs/>
      <w:sz w:val="20"/>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1080" w:firstLine="1260"/>
      <w:jc w:val="both"/>
    </w:pPr>
    <w:rPr>
      <w:rFonts w:ascii="Bookman Old Style" w:hAnsi="Bookman Old Style" w:cs="Bookman Old Style"/>
      <w:sz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Normalcentr">
    <w:name w:val="Normal centré"/>
    <w:basedOn w:val="Normal"/>
    <w:qFormat/>
    <w:pPr>
      <w:tabs>
        <w:tab w:val="left" w:pos="2268" w:leader="none"/>
      </w:tabs>
      <w:ind w:left="1134" w:right="-284" w:firstLine="1134"/>
      <w:jc w:val="both"/>
    </w:pPr>
    <w:rPr>
      <w:rFonts w:ascii="Bookman Old Style" w:hAnsi="Bookman Old Style" w:cs="Bookman Old Style"/>
      <w:sz w:val="20"/>
      <w:szCs w:val="20"/>
    </w:rPr>
  </w:style>
  <w:style w:type="paragraph" w:styleId="Retraitcorpsdetexte2">
    <w:name w:val="Retrait corps de texte 2"/>
    <w:basedOn w:val="Normal"/>
    <w:qFormat/>
    <w:pPr>
      <w:ind w:left="1080" w:firstLine="1260"/>
      <w:jc w:val="both"/>
    </w:pPr>
    <w:rPr>
      <w:rFonts w:ascii="Bookman Old Style" w:hAnsi="Bookman Old Style" w:cs="Bookman Old Style"/>
      <w:sz w:val="20"/>
      <w:szCs w:val="20"/>
    </w:rPr>
  </w:style>
  <w:style w:type="paragraph" w:styleId="Textedebulles">
    <w:name w:val="Texte de bulles"/>
    <w:basedOn w:val="Normal"/>
    <w:qFormat/>
    <w:pPr/>
    <w:rPr>
      <w:rFonts w:ascii="Tahoma" w:hAnsi="Tahoma" w:cs="Tahoma"/>
      <w:sz w:val="16"/>
      <w:szCs w:val="16"/>
    </w:rPr>
  </w:style>
  <w:style w:type="paragraph" w:styleId="NormalWeb">
    <w:name w:val="Normal (Web)"/>
    <w:basedOn w:val="Normal"/>
    <w:qFormat/>
    <w:pPr>
      <w:spacing w:before="280" w:after="280"/>
    </w:pPr>
    <w:rPr>
      <w:rFonts w:eastAsia="MS Mincho;ＭＳ 明朝"/>
      <w:lang w:eastAsia="ja-JP"/>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Corpsdetexte2">
    <w:name w:val="Corps de texte 2"/>
    <w:basedOn w:val="Normal"/>
    <w:qFormat/>
    <w:pPr>
      <w:spacing w:lineRule="auto" w:line="480" w:before="0" w:after="120"/>
    </w:pPr>
    <w:rPr/>
  </w:style>
  <w:style w:type="paragraph" w:styleId="Default">
    <w:name w:val="Default"/>
    <w:qFormat/>
    <w:pPr>
      <w:widowControl/>
      <w:autoSpaceDE w:val="false"/>
    </w:pPr>
    <w:rPr>
      <w:rFonts w:ascii="Calibri" w:hAnsi="Calibri" w:eastAsia="Times New Roman" w:cs="Calibri"/>
      <w:color w:val="000000"/>
      <w:sz w:val="24"/>
      <w:szCs w:val="24"/>
      <w:lang w:val="fr-FR" w:bidi="ar-SA" w:eastAsia="zh-CN"/>
    </w:rPr>
  </w:style>
  <w:style w:type="paragraph" w:styleId="Paragraphedeliste">
    <w:name w:val="Paragraphe de liste"/>
    <w:basedOn w:val="Normal"/>
    <w:qFormat/>
    <w:pPr>
      <w:ind w:left="708" w:hanging="0"/>
    </w:pPr>
    <w:rPr>
      <w:sz w:val="20"/>
      <w:szCs w:val="20"/>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embal@mauco.fr" TargetMode="External"/><Relationship Id="rId2" Type="http://schemas.openxmlformats.org/officeDocument/2006/relationships/hyperlink" Target="http://www.mauco.f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2019-11-20T10:02:00Z</dcterms:created>
  <dc:language>en-GB</dc:language>
  <cp:lastPrinted>2018-12-10T17:10:00Z</cp:lastPrinted>
  <dcterms:modified xsi:type="dcterms:W3CDTF">2019-11-20T10:02:00Z</dcterms:modified>
  <cp:revision>2</cp:revision>
  <dc:title>CONTRAT DE TRAVAIL</dc:title>
</cp:coreProperties>
</file>