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2"/>
        <w:pBdr>
          <w:top w:val="double" w:sz="4" w:space="1" w:color="000000"/>
          <w:left w:val="double" w:sz="4" w:space="4" w:color="000000"/>
          <w:bottom w:val="double" w:sz="4" w:space="1" w:color="000000"/>
          <w:right w:val="double" w:sz="4" w:space="4" w:color="000000"/>
        </w:pBdr>
        <w:shd w:fill="FFFFFF" w:val="clear"/>
        <w:jc w:val="center"/>
        <w:rPr>
          <w:rFonts w:ascii="Arial" w:hAnsi="Arial" w:cs="Arial"/>
          <w:sz w:val="22"/>
          <w:szCs w:val="22"/>
        </w:rPr>
      </w:pPr>
      <w:r>
        <w:rPr>
          <w:rFonts w:cs="Arial" w:ascii="Arial" w:hAnsi="Arial"/>
          <w:sz w:val="22"/>
          <w:szCs w:val="22"/>
        </w:rPr>
        <w:t>AVENANT A L’ACCORD DU 25 JUIN 2018 SUR L’ARRONDI SUR SALAIRE DANS LA CAISSE REGIONALE BRIE PICARDIE</w:t>
      </w:r>
    </w:p>
    <w:p>
      <w:pPr>
        <w:pStyle w:val="Corpsdetexte2"/>
        <w:rPr>
          <w:rFonts w:ascii="Arial" w:hAnsi="Arial" w:cs="Arial"/>
          <w:sz w:val="20"/>
          <w:szCs w:val="22"/>
        </w:rPr>
      </w:pPr>
      <w:r>
        <w:rPr>
          <w:rFonts w:cs="Arial" w:ascii="Arial" w:hAnsi="Arial"/>
          <w:sz w:val="20"/>
          <w:szCs w:val="22"/>
        </w:rPr>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jc w:val="both"/>
        <w:rPr>
          <w:rFonts w:ascii="Arial" w:hAnsi="Arial" w:cs="Arial"/>
          <w:sz w:val="20"/>
        </w:rPr>
      </w:pPr>
      <w:r>
        <w:rPr>
          <w:rFonts w:cs="Arial" w:ascii="Arial" w:hAnsi="Arial"/>
          <w:sz w:val="20"/>
        </w:rPr>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jc w:val="both"/>
        <w:rPr>
          <w:rFonts w:ascii="Arial" w:hAnsi="Arial" w:cs="Arial"/>
        </w:rPr>
      </w:pPr>
      <w:r>
        <w:rPr>
          <w:rFonts w:cs="Arial" w:ascii="Arial" w:hAnsi="Arial"/>
        </w:rPr>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jc w:val="both"/>
        <w:rPr>
          <w:rFonts w:ascii="Arial" w:hAnsi="Arial" w:cs="Arial"/>
        </w:rPr>
      </w:pPr>
      <w:r>
        <w:rPr>
          <w:rFonts w:cs="Arial" w:ascii="Arial" w:hAnsi="Arial"/>
        </w:rPr>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jc w:val="both"/>
        <w:rPr>
          <w:rFonts w:ascii="Arial" w:hAnsi="Arial" w:cs="Arial"/>
        </w:rPr>
      </w:pPr>
      <w:r>
        <w:rPr>
          <w:rFonts w:cs="Arial" w:ascii="Arial" w:hAnsi="Arial"/>
        </w:rPr>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jc w:val="both"/>
        <w:rPr>
          <w:rFonts w:ascii="Arial" w:hAnsi="Arial" w:cs="Arial"/>
        </w:rPr>
      </w:pPr>
      <w:r>
        <w:rPr>
          <w:rFonts w:cs="Arial" w:ascii="Arial" w:hAnsi="Arial"/>
        </w:rPr>
        <w:t>Entre les soussignés :</w:t>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jc w:val="both"/>
        <w:rPr>
          <w:rFonts w:ascii="Arial" w:hAnsi="Arial" w:cs="Arial"/>
        </w:rPr>
      </w:pPr>
      <w:r>
        <w:rPr>
          <w:rFonts w:cs="Arial" w:ascii="Arial" w:hAnsi="Arial"/>
        </w:rPr>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jc w:val="both"/>
        <w:rPr/>
      </w:pPr>
      <w:r>
        <w:rPr>
          <w:rFonts w:cs="Arial" w:ascii="Arial" w:hAnsi="Arial"/>
          <w:b/>
        </w:rPr>
        <w:t>- La Caisse Régionale de Crédit Agricole Mutuel Brie Picardie</w:t>
      </w:r>
      <w:r>
        <w:rPr>
          <w:rFonts w:cs="Arial" w:ascii="Arial" w:hAnsi="Arial"/>
        </w:rPr>
        <w:t xml:space="preserve">, dont </w:t>
      </w:r>
      <w:r>
        <w:rPr>
          <w:rFonts w:cs="Arial" w:ascii="Arial" w:hAnsi="Arial"/>
          <w:sz w:val="18"/>
        </w:rPr>
        <w:t>le</w:t>
      </w:r>
      <w:r>
        <w:rPr>
          <w:rFonts w:cs="Arial" w:ascii="Arial" w:hAnsi="Arial"/>
        </w:rPr>
        <w:t xml:space="preserve"> siège social est à Amiens (80) – 500 rue St Fuscien</w:t>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jc w:val="both"/>
        <w:rPr>
          <w:rFonts w:ascii="Arial" w:hAnsi="Arial" w:cs="Arial"/>
        </w:rPr>
      </w:pPr>
      <w:r>
        <w:rPr>
          <w:rFonts w:cs="Arial" w:ascii="Arial" w:hAnsi="Arial"/>
        </w:rPr>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jc w:val="both"/>
        <w:rPr/>
      </w:pPr>
      <w:r>
        <w:rPr>
          <w:rFonts w:cs="Arial" w:ascii="Arial" w:hAnsi="Arial"/>
        </w:rPr>
        <w:t xml:space="preserve">Représentée par, agissant en qualité de Directeur Général Adjoint </w:t>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ind w:left="7371" w:hanging="0"/>
        <w:jc w:val="both"/>
        <w:rPr>
          <w:rFonts w:ascii="Arial" w:hAnsi="Arial" w:cs="Arial"/>
          <w:i/>
          <w:i/>
          <w:lang w:val="en-GB" w:eastAsia="en-GB"/>
        </w:rPr>
      </w:pPr>
      <w:r>
        <w:rPr>
          <w:rFonts w:cs="Arial" w:ascii="Arial" w:hAnsi="Arial"/>
          <w:i/>
          <w:lang w:val="en-GB" w:eastAsia="en-GB"/>
        </w:rPr>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ind w:left="7371" w:hanging="0"/>
        <w:jc w:val="both"/>
        <w:rPr>
          <w:rFonts w:ascii="Arial" w:hAnsi="Arial" w:cs="Arial"/>
          <w:b/>
          <w:b/>
          <w:i/>
          <w:i/>
          <w:lang w:val="en-GB" w:eastAsia="en-GB"/>
        </w:rPr>
      </w:pPr>
      <w:r>
        <w:rPr>
          <w:rFonts w:cs="Arial" w:ascii="Arial" w:hAnsi="Arial"/>
          <w:b/>
          <w:i/>
          <w:lang w:val="en-GB" w:eastAsia="en-GB"/>
        </w:rPr>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ind w:left="7371" w:hanging="0"/>
        <w:jc w:val="both"/>
        <w:rPr>
          <w:rFonts w:ascii="Arial" w:hAnsi="Arial" w:cs="Arial"/>
          <w:b/>
          <w:b/>
        </w:rPr>
      </w:pPr>
      <w:r>
        <w:rPr>
          <w:rFonts w:cs="Arial" w:ascii="Arial" w:hAnsi="Arial"/>
          <w:b/>
        </w:rPr>
        <w:t>D'une part,</w:t>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jc w:val="both"/>
        <w:rPr>
          <w:rFonts w:ascii="Arial" w:hAnsi="Arial" w:cs="Arial"/>
          <w:b/>
          <w:b/>
        </w:rPr>
      </w:pPr>
      <w:r>
        <w:rPr>
          <w:rFonts w:cs="Arial" w:ascii="Arial" w:hAnsi="Arial"/>
          <w:b/>
        </w:rPr>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jc w:val="both"/>
        <w:rPr/>
      </w:pPr>
      <w:r>
        <w:rPr>
          <w:rFonts w:cs="Arial" w:ascii="Arial" w:hAnsi="Arial"/>
        </w:rPr>
        <w:t xml:space="preserve">- </w:t>
      </w:r>
      <w:r>
        <w:rPr>
          <w:rFonts w:cs="Arial" w:ascii="Arial" w:hAnsi="Arial"/>
          <w:b/>
        </w:rPr>
        <w:t>et les Organisations Syndicales désignées ci-après</w:t>
      </w:r>
      <w:r>
        <w:rPr>
          <w:rFonts w:cs="Arial" w:ascii="Arial" w:hAnsi="Arial"/>
        </w:rPr>
        <w:t xml:space="preserve"> : </w:t>
      </w:r>
    </w:p>
    <w:p>
      <w:pPr>
        <w:pStyle w:val="Normal"/>
        <w:ind w:left="284" w:hanging="284"/>
        <w:jc w:val="both"/>
        <w:rPr>
          <w:rFonts w:ascii="Arial" w:hAnsi="Arial" w:cs="Arial"/>
          <w:b/>
          <w:b/>
          <w:i/>
          <w:i/>
        </w:rPr>
      </w:pPr>
      <w:r>
        <w:rPr>
          <w:rFonts w:cs="Arial" w:ascii="Arial" w:hAnsi="Arial"/>
          <w:b/>
          <w:i/>
        </w:rPr>
      </w:r>
    </w:p>
    <w:p>
      <w:pPr>
        <w:pStyle w:val="Normal"/>
        <w:ind w:left="284" w:hanging="284"/>
        <w:jc w:val="both"/>
        <w:rPr>
          <w:rFonts w:eastAsia="Wingdings"/>
        </w:rPr>
      </w:pPr>
      <w:r>
        <w:rPr>
          <w:rFonts w:eastAsia="Wingdings" w:cs="Wingdings" w:ascii="Wingdings" w:hAnsi="Wingdings"/>
        </w:rPr>
        <w:t></w:t>
      </w:r>
      <w:r>
        <w:rPr>
          <w:rFonts w:eastAsia="Wingdings" w:cs="Arial" w:ascii="Arial" w:hAnsi="Arial"/>
        </w:rPr>
        <w:tab/>
        <w:t>C.F.D.T.</w:t>
      </w:r>
    </w:p>
    <w:p>
      <w:pPr>
        <w:pStyle w:val="Normal"/>
        <w:ind w:left="284" w:hanging="0"/>
        <w:jc w:val="both"/>
        <w:rPr>
          <w:rFonts w:ascii="Arial" w:hAnsi="Arial" w:eastAsia="Wingdings" w:cs="Arial"/>
        </w:rPr>
      </w:pPr>
      <w:r>
        <w:rPr>
          <w:rFonts w:eastAsia="Wingdings" w:cs="Arial" w:ascii="Arial" w:hAnsi="Arial"/>
        </w:rPr>
        <w:t>représentée par ......................................</w:t>
      </w:r>
    </w:p>
    <w:p>
      <w:pPr>
        <w:pStyle w:val="Normal"/>
        <w:ind w:firstLine="284"/>
        <w:jc w:val="both"/>
        <w:rPr>
          <w:rFonts w:ascii="Arial" w:hAnsi="Arial" w:eastAsia="Wingdings" w:cs="Arial"/>
        </w:rPr>
      </w:pPr>
      <w:r>
        <w:rPr>
          <w:rFonts w:eastAsia="Wingdings" w:cs="Arial" w:ascii="Arial" w:hAnsi="Arial"/>
        </w:rPr>
        <w:t>agissant en qualité de Délégué Syndical</w:t>
      </w:r>
    </w:p>
    <w:p>
      <w:pPr>
        <w:pStyle w:val="Normal"/>
        <w:jc w:val="both"/>
        <w:rPr>
          <w:rFonts w:ascii="Arial" w:hAnsi="Arial" w:eastAsia="Wingdings" w:cs="Arial"/>
        </w:rPr>
      </w:pPr>
      <w:r>
        <w:rPr>
          <w:rFonts w:eastAsia="Wingdings" w:cs="Arial" w:ascii="Arial" w:hAnsi="Arial"/>
        </w:rPr>
      </w:r>
    </w:p>
    <w:p>
      <w:pPr>
        <w:pStyle w:val="Normal"/>
        <w:jc w:val="both"/>
        <w:rPr>
          <w:rFonts w:ascii="Arial" w:hAnsi="Arial" w:eastAsia="Wingdings" w:cs="Arial"/>
        </w:rPr>
      </w:pPr>
      <w:r>
        <w:rPr>
          <w:rFonts w:eastAsia="Wingdings" w:cs="Arial" w:ascii="Arial" w:hAnsi="Arial"/>
        </w:rPr>
      </w:r>
    </w:p>
    <w:p>
      <w:pPr>
        <w:pStyle w:val="Normal"/>
        <w:ind w:left="284" w:hanging="284"/>
        <w:jc w:val="both"/>
        <w:rPr>
          <w:rFonts w:eastAsia="Wingdings"/>
        </w:rPr>
      </w:pPr>
      <w:r>
        <w:rPr>
          <w:rFonts w:eastAsia="Wingdings" w:cs="Wingdings" w:ascii="Wingdings" w:hAnsi="Wingdings"/>
        </w:rPr>
        <w:t></w:t>
      </w:r>
      <w:r>
        <w:rPr>
          <w:rFonts w:eastAsia="Wingdings" w:cs="Arial" w:ascii="Arial" w:hAnsi="Arial"/>
        </w:rPr>
        <w:tab/>
        <w:t>S.N.E.C.A.</w:t>
      </w:r>
    </w:p>
    <w:p>
      <w:pPr>
        <w:pStyle w:val="Normal"/>
        <w:ind w:left="284" w:hanging="0"/>
        <w:jc w:val="both"/>
        <w:rPr>
          <w:rFonts w:ascii="Arial" w:hAnsi="Arial" w:eastAsia="Wingdings" w:cs="Arial"/>
        </w:rPr>
      </w:pPr>
      <w:r>
        <w:rPr>
          <w:rFonts w:eastAsia="Wingdings" w:cs="Arial" w:ascii="Arial" w:hAnsi="Arial"/>
        </w:rPr>
        <w:t>représenté par …………………………………….</w:t>
      </w:r>
    </w:p>
    <w:p>
      <w:pPr>
        <w:pStyle w:val="Normal"/>
        <w:ind w:firstLine="284"/>
        <w:jc w:val="both"/>
        <w:rPr>
          <w:rFonts w:ascii="Arial" w:hAnsi="Arial" w:eastAsia="Wingdings" w:cs="Arial"/>
        </w:rPr>
      </w:pPr>
      <w:r>
        <w:rPr>
          <w:rFonts w:eastAsia="Wingdings" w:cs="Arial" w:ascii="Arial" w:hAnsi="Arial"/>
        </w:rPr>
        <w:t>agissant en qualité de Délégué Syndical</w:t>
      </w:r>
    </w:p>
    <w:p>
      <w:pPr>
        <w:pStyle w:val="Normal"/>
        <w:jc w:val="both"/>
        <w:rPr>
          <w:rFonts w:ascii="Arial" w:hAnsi="Arial" w:eastAsia="Wingdings" w:cs="Arial"/>
        </w:rPr>
      </w:pPr>
      <w:r>
        <w:rPr>
          <w:rFonts w:eastAsia="Wingdings" w:cs="Arial" w:ascii="Arial" w:hAnsi="Arial"/>
        </w:rPr>
        <w:tab/>
      </w:r>
    </w:p>
    <w:p>
      <w:pPr>
        <w:pStyle w:val="Normal"/>
        <w:jc w:val="both"/>
        <w:rPr>
          <w:rFonts w:ascii="Arial" w:hAnsi="Arial" w:eastAsia="Wingdings" w:cs="Arial"/>
        </w:rPr>
      </w:pPr>
      <w:r>
        <w:rPr>
          <w:rFonts w:eastAsia="Wingdings" w:cs="Arial" w:ascii="Arial" w:hAnsi="Arial"/>
        </w:rPr>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jc w:val="both"/>
        <w:rPr>
          <w:rFonts w:ascii="Arial" w:hAnsi="Arial" w:eastAsia="Wingdings" w:cs="Arial"/>
        </w:rPr>
      </w:pPr>
      <w:r>
        <w:rPr>
          <w:rFonts w:eastAsia="Wingdings" w:cs="Arial" w:ascii="Arial" w:hAnsi="Arial"/>
        </w:rPr>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jc w:val="both"/>
        <w:rPr>
          <w:rFonts w:ascii="Arial" w:hAnsi="Arial" w:eastAsia="Wingdings" w:cs="Arial"/>
        </w:rPr>
      </w:pPr>
      <w:r>
        <w:rPr>
          <w:rFonts w:eastAsia="Wingdings" w:cs="Arial" w:ascii="Arial" w:hAnsi="Arial"/>
        </w:rPr>
        <w:t>tout signataire étant dûment mandaté par son organisation</w:t>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ind w:left="7371" w:hanging="0"/>
        <w:jc w:val="both"/>
        <w:rPr>
          <w:rFonts w:ascii="Arial" w:hAnsi="Arial" w:eastAsia="Wingdings" w:cs="Arial"/>
          <w:b/>
          <w:b/>
        </w:rPr>
      </w:pPr>
      <w:r>
        <w:rPr>
          <w:rFonts w:eastAsia="Wingdings" w:cs="Arial" w:ascii="Arial" w:hAnsi="Arial"/>
          <w:b/>
        </w:rPr>
        <w:t>d'autre part,</w:t>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jc w:val="both"/>
        <w:rPr>
          <w:rFonts w:ascii="Arial" w:hAnsi="Arial" w:eastAsia="Wingdings" w:cs="Arial"/>
          <w:b/>
          <w:b/>
        </w:rPr>
      </w:pPr>
      <w:r>
        <w:rPr>
          <w:rFonts w:eastAsia="Wingdings" w:cs="Arial" w:ascii="Arial" w:hAnsi="Arial"/>
          <w:b/>
        </w:rPr>
      </w:r>
    </w:p>
    <w:p>
      <w:pPr>
        <w:pStyle w:val="Corpsdetexte2"/>
        <w:rPr>
          <w:rFonts w:ascii="Arial" w:hAnsi="Arial" w:eastAsia="Wingdings" w:cs="Arial"/>
          <w:sz w:val="20"/>
        </w:rPr>
      </w:pPr>
      <w:r>
        <w:rPr>
          <w:rFonts w:eastAsia="Wingdings" w:cs="Arial" w:ascii="Arial" w:hAnsi="Arial"/>
          <w:sz w:val="20"/>
        </w:rPr>
      </w:r>
    </w:p>
    <w:p>
      <w:pPr>
        <w:pStyle w:val="Corpsdetexte2"/>
        <w:rPr>
          <w:rFonts w:eastAsia="Wingdings"/>
        </w:rPr>
      </w:pPr>
      <w:r>
        <w:rPr>
          <w:rFonts w:eastAsia="Wingdings" w:cs="Arial" w:ascii="Arial" w:hAnsi="Arial"/>
          <w:sz w:val="20"/>
        </w:rPr>
        <w:t>Il a été conclu le présent avenant :</w:t>
      </w:r>
    </w:p>
    <w:p>
      <w:pPr>
        <w:pStyle w:val="Corpsdetexte2"/>
        <w:rPr>
          <w:rFonts w:ascii="Arial" w:hAnsi="Arial" w:eastAsia="Wingdings" w:cs="Arial"/>
          <w:sz w:val="20"/>
        </w:rPr>
      </w:pPr>
      <w:r>
        <w:rPr>
          <w:rFonts w:eastAsia="Wingdings" w:cs="Arial" w:ascii="Arial" w:hAnsi="Arial"/>
          <w:sz w:val="20"/>
        </w:rPr>
      </w:r>
    </w:p>
    <w:p>
      <w:pPr>
        <w:pStyle w:val="Corpsdetexte2"/>
        <w:rPr>
          <w:rFonts w:ascii="Arial" w:hAnsi="Arial" w:eastAsia="Wingdings" w:cs="Arial"/>
          <w:sz w:val="20"/>
        </w:rPr>
      </w:pPr>
      <w:r>
        <w:rPr>
          <w:rFonts w:eastAsia="Wingdings" w:cs="Arial" w:ascii="Arial" w:hAnsi="Arial"/>
          <w:sz w:val="20"/>
        </w:rPr>
      </w:r>
    </w:p>
    <w:p>
      <w:pPr>
        <w:pStyle w:val="Corpsdetexte2"/>
        <w:rPr>
          <w:rFonts w:ascii="Arial" w:hAnsi="Arial" w:eastAsia="Wingdings" w:cs="Arial"/>
          <w:sz w:val="20"/>
        </w:rPr>
      </w:pPr>
      <w:r>
        <w:rPr>
          <w:rFonts w:eastAsia="Wingdings" w:cs="Arial" w:ascii="Arial" w:hAnsi="Arial"/>
          <w:sz w:val="20"/>
        </w:rPr>
      </w:r>
      <w:r>
        <w:br w:type="page"/>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jc w:val="both"/>
        <w:rPr>
          <w:rFonts w:ascii="Arial" w:hAnsi="Arial" w:eastAsia="Wingdings" w:cs="Arial"/>
          <w:sz w:val="20"/>
        </w:rPr>
      </w:pPr>
      <w:r>
        <w:rPr>
          <w:rFonts w:eastAsia="Wingdings" w:cs="Arial" w:ascii="Arial" w:hAnsi="Arial"/>
          <w:sz w:val="20"/>
        </w:rPr>
      </w:r>
    </w:p>
    <w:p>
      <w:pPr>
        <w:pStyle w:val="Normal"/>
        <w:tabs>
          <w:tab w:val="left" w:pos="720" w:leader="none"/>
          <w:tab w:val="left" w:pos="10080" w:leader="none"/>
          <w:tab w:val="left" w:pos="10680" w:leader="none"/>
          <w:tab w:val="left" w:pos="11280" w:leader="none"/>
          <w:tab w:val="left" w:pos="11880" w:leader="none"/>
          <w:tab w:val="left" w:pos="12480" w:leader="none"/>
          <w:tab w:val="left" w:pos="13080" w:leader="none"/>
          <w:tab w:val="left" w:pos="13680" w:leader="none"/>
          <w:tab w:val="left" w:pos="14280" w:leader="none"/>
          <w:tab w:val="left" w:pos="14880" w:leader="none"/>
          <w:tab w:val="left" w:pos="15480" w:leader="none"/>
          <w:tab w:val="left" w:pos="16080" w:leader="none"/>
          <w:tab w:val="left" w:pos="16680" w:leader="none"/>
        </w:tabs>
        <w:jc w:val="both"/>
        <w:rPr>
          <w:rFonts w:ascii="Arial" w:hAnsi="Arial" w:cs="Arial"/>
          <w:b/>
          <w:b/>
          <w:u w:val="single"/>
        </w:rPr>
      </w:pPr>
      <w:r>
        <w:rPr>
          <w:rFonts w:eastAsia="Wingdings" w:cs="Arial" w:ascii="Arial" w:hAnsi="Arial"/>
          <w:b/>
          <w:u w:val="single"/>
        </w:rPr>
        <w:t>PREAMBULE : OBJET DE L’AVENANT</w:t>
      </w:r>
    </w:p>
    <w:p>
      <w:pPr>
        <w:pStyle w:val="NormalWeb"/>
        <w:jc w:val="both"/>
        <w:rPr>
          <w:rFonts w:eastAsia="Wingdings"/>
        </w:rPr>
      </w:pPr>
      <w:r>
        <w:rPr>
          <w:rFonts w:eastAsia="Wingdings" w:cs="Arial" w:ascii="Arial" w:hAnsi="Arial"/>
          <w:sz w:val="20"/>
          <w:szCs w:val="20"/>
        </w:rPr>
        <w:t xml:space="preserve">Par le présent avenant, la Caisse Régionale Brie Picardie réaffirme sa volonté de s’engager afin de promouvoir les initiatives des associations de son territoire. </w:t>
      </w:r>
    </w:p>
    <w:p>
      <w:pPr>
        <w:pStyle w:val="NormalWeb"/>
        <w:jc w:val="both"/>
        <w:rPr>
          <w:rFonts w:eastAsia="Wingdings"/>
        </w:rPr>
      </w:pPr>
      <w:r>
        <w:rPr>
          <w:rFonts w:eastAsia="Wingdings" w:cs="Arial" w:ascii="Arial" w:hAnsi="Arial"/>
          <w:sz w:val="20"/>
          <w:szCs w:val="20"/>
        </w:rPr>
        <w:t xml:space="preserve">Cet avenant s’inscrit dans le cadre de la poursuite de sa démarche de Responsabilité Sociétale, mise en œuvre par l’accord sur l’arrondi sur salaire du 25 juin 2018.  </w:t>
      </w:r>
    </w:p>
    <w:p>
      <w:pPr>
        <w:pStyle w:val="NormalWeb"/>
        <w:jc w:val="both"/>
        <w:rPr>
          <w:rFonts w:ascii="Arial" w:hAnsi="Arial" w:cs="Arial"/>
          <w:sz w:val="20"/>
          <w:szCs w:val="20"/>
        </w:rPr>
      </w:pPr>
      <w:r>
        <w:rPr>
          <w:rFonts w:eastAsia="Wingdings" w:cs="Arial" w:ascii="Arial" w:hAnsi="Arial"/>
          <w:sz w:val="20"/>
          <w:szCs w:val="20"/>
        </w:rPr>
        <w:t xml:space="preserve">Non obligatoire pour les salariés cette démarche sociale et sociétale de solidarité permet d’accompagner durablement les initiatives de notre territoire. </w:t>
      </w:r>
    </w:p>
    <w:p>
      <w:pPr>
        <w:pStyle w:val="NormalWeb"/>
        <w:jc w:val="both"/>
        <w:rPr>
          <w:rFonts w:ascii="Arial" w:hAnsi="Arial" w:cs="Arial"/>
          <w:sz w:val="20"/>
          <w:szCs w:val="20"/>
        </w:rPr>
      </w:pPr>
      <w:r>
        <w:rPr>
          <w:rFonts w:eastAsia="Wingdings" w:cs="Arial" w:ascii="Arial" w:hAnsi="Arial"/>
          <w:sz w:val="20"/>
          <w:szCs w:val="20"/>
        </w:rPr>
        <w:t xml:space="preserve">Afin de permettre un accompagnement plus pertinent des associations choisies pour l’année 2019, les parties signataires souhaitent poursuivre la collecte des dons initialement débutée en 2019 sur l’année 2020, puis répartir les fonds obtenus, abondés par l’entreprise, dès le début de l’année 2021.  </w:t>
      </w:r>
    </w:p>
    <w:p>
      <w:pPr>
        <w:pStyle w:val="Sansinterligne"/>
        <w:rPr>
          <w:rFonts w:ascii="Arial" w:hAnsi="Arial" w:eastAsia="Wingdings" w:cs="Arial"/>
          <w:sz w:val="20"/>
          <w:szCs w:val="20"/>
        </w:rPr>
      </w:pPr>
      <w:r>
        <w:rPr>
          <w:rFonts w:eastAsia="Wingdings" w:cs="Arial" w:ascii="Arial" w:hAnsi="Arial"/>
          <w:sz w:val="20"/>
          <w:szCs w:val="20"/>
        </w:rPr>
      </w:r>
    </w:p>
    <w:p>
      <w:pPr>
        <w:pStyle w:val="Sansinterligne"/>
        <w:rPr>
          <w:rFonts w:ascii="Arial" w:hAnsi="Arial" w:cs="Arial"/>
          <w:b/>
          <w:b/>
          <w:u w:val="single"/>
        </w:rPr>
      </w:pPr>
      <w:r>
        <w:rPr>
          <w:rFonts w:eastAsia="Wingdings" w:cs="Arial" w:ascii="Arial" w:hAnsi="Arial"/>
          <w:b/>
          <w:u w:val="single"/>
        </w:rPr>
        <w:t>ARTICLE 1 : TENEUR DES MODIFICATIONS</w:t>
      </w:r>
    </w:p>
    <w:p>
      <w:pPr>
        <w:pStyle w:val="NormalWeb"/>
        <w:jc w:val="both"/>
        <w:rPr>
          <w:rFonts w:eastAsia="Wingdings"/>
        </w:rPr>
      </w:pPr>
      <w:r>
        <w:rPr>
          <w:rFonts w:eastAsia="Wingdings" w:cs="Arial" w:ascii="Arial" w:hAnsi="Arial"/>
          <w:sz w:val="20"/>
          <w:szCs w:val="20"/>
        </w:rPr>
        <w:t xml:space="preserve">Le présent avenant annule et remplace, durant sa durée de validité, l’article 2 « Choix des associations », l’article 5 « Collecte des fonds et remise des fonds aux associations » du chapitre 1 « Mise en place de l’arrondi sur salaire » de l’accord du 25 juin 2018 relatif à l’arrondi sur salaire dans la Caisse Régionale Brie Picardie. </w:t>
      </w:r>
    </w:p>
    <w:p>
      <w:pPr>
        <w:pStyle w:val="NormalWeb"/>
        <w:jc w:val="both"/>
        <w:rPr>
          <w:rFonts w:eastAsia="Wingdings"/>
        </w:rPr>
      </w:pPr>
      <w:r>
        <w:rPr>
          <w:rFonts w:eastAsia="Wingdings" w:cs="Arial" w:ascii="Arial" w:hAnsi="Arial"/>
          <w:sz w:val="20"/>
          <w:szCs w:val="20"/>
        </w:rPr>
        <w:t xml:space="preserve">Les nouveaux articles 2 « Choix des associations » et 5 « Collecte des fonds et remise des fonds aux associations » du chapitre 1 « Mise en place de l’arrondi sur salaire » sont rédigés de la manière suivante : </w:t>
      </w:r>
    </w:p>
    <w:p>
      <w:pPr>
        <w:pStyle w:val="NormalWeb"/>
        <w:jc w:val="both"/>
        <w:rPr>
          <w:rFonts w:ascii="Arial" w:hAnsi="Arial" w:cs="Arial"/>
          <w:b/>
          <w:b/>
          <w:sz w:val="20"/>
          <w:szCs w:val="20"/>
          <w:u w:val="single"/>
        </w:rPr>
      </w:pPr>
      <w:r>
        <w:rPr>
          <w:rFonts w:eastAsia="Wingdings" w:cs="Arial" w:ascii="Arial" w:hAnsi="Arial"/>
          <w:sz w:val="20"/>
          <w:szCs w:val="20"/>
        </w:rPr>
        <w:tab/>
        <w:t>« </w:t>
      </w:r>
      <w:r>
        <w:rPr>
          <w:rFonts w:eastAsia="Wingdings" w:cs="Arial" w:ascii="Arial" w:hAnsi="Arial"/>
          <w:b/>
          <w:sz w:val="20"/>
          <w:szCs w:val="20"/>
          <w:u w:val="single"/>
        </w:rPr>
        <w:t>ARTICLE 2 : Choix des associations</w:t>
      </w:r>
    </w:p>
    <w:p>
      <w:pPr>
        <w:pStyle w:val="Sansinterligne"/>
        <w:ind w:left="708" w:hanging="0"/>
        <w:jc w:val="both"/>
        <w:rPr>
          <w:rFonts w:ascii="Arial" w:hAnsi="Arial" w:cs="Arial"/>
        </w:rPr>
      </w:pPr>
      <w:r>
        <w:rPr>
          <w:rFonts w:eastAsia="Wingdings" w:cs="Arial" w:ascii="Arial" w:hAnsi="Arial"/>
        </w:rPr>
        <w:t xml:space="preserve">Les associations choisies par les salariés afin d’obtenir les dons collectés en 2019 recevront également ceux collectés pour l’année 2020. </w:t>
      </w:r>
    </w:p>
    <w:p>
      <w:pPr>
        <w:pStyle w:val="Sansinterligne"/>
        <w:jc w:val="both"/>
        <w:rPr>
          <w:rFonts w:ascii="Arial" w:hAnsi="Arial" w:eastAsia="Wingdings" w:cs="Arial"/>
        </w:rPr>
      </w:pPr>
      <w:r>
        <w:rPr>
          <w:rFonts w:eastAsia="Wingdings" w:cs="Arial" w:ascii="Arial" w:hAnsi="Arial"/>
        </w:rPr>
      </w:r>
    </w:p>
    <w:p>
      <w:pPr>
        <w:pStyle w:val="Sansinterligne"/>
        <w:ind w:left="708" w:hanging="0"/>
        <w:jc w:val="both"/>
        <w:rPr>
          <w:rFonts w:ascii="Arial" w:hAnsi="Arial" w:cs="Arial"/>
        </w:rPr>
      </w:pPr>
      <w:r>
        <w:rPr>
          <w:rFonts w:eastAsia="Wingdings" w:cs="Arial" w:ascii="Arial" w:hAnsi="Arial"/>
        </w:rPr>
        <w:t xml:space="preserve">Les parties signataires rappellent que les associations choisies au titre de l’année 2019 sont les suivantes : </w:t>
      </w:r>
    </w:p>
    <w:p>
      <w:pPr>
        <w:pStyle w:val="Sansinterligne"/>
        <w:jc w:val="both"/>
        <w:rPr>
          <w:rFonts w:ascii="Arial" w:hAnsi="Arial" w:eastAsia="Wingdings" w:cs="Arial"/>
        </w:rPr>
      </w:pPr>
      <w:r>
        <w:rPr>
          <w:rFonts w:eastAsia="Wingdings" w:cs="Arial" w:ascii="Arial" w:hAnsi="Arial"/>
        </w:rPr>
      </w:r>
    </w:p>
    <w:p>
      <w:pPr>
        <w:pStyle w:val="Sansinterligne"/>
        <w:numPr>
          <w:ilvl w:val="0"/>
          <w:numId w:val="1"/>
        </w:numPr>
        <w:jc w:val="both"/>
        <w:rPr>
          <w:rFonts w:ascii="Arial" w:hAnsi="Arial" w:cs="Arial"/>
        </w:rPr>
      </w:pPr>
      <w:r>
        <w:rPr>
          <w:rFonts w:eastAsia="Wingdings" w:cs="Arial" w:ascii="Arial" w:hAnsi="Arial"/>
        </w:rPr>
        <w:t>La Banque Alimentaire pour le département de la Somme,</w:t>
      </w:r>
    </w:p>
    <w:p>
      <w:pPr>
        <w:pStyle w:val="Sansinterligne"/>
        <w:numPr>
          <w:ilvl w:val="0"/>
          <w:numId w:val="1"/>
        </w:numPr>
        <w:jc w:val="both"/>
        <w:rPr>
          <w:rFonts w:ascii="Arial" w:hAnsi="Arial" w:eastAsia="Wingdings" w:cs="Arial"/>
        </w:rPr>
      </w:pPr>
      <w:r>
        <w:rPr>
          <w:rFonts w:eastAsia="Wingdings" w:cs="Arial" w:ascii="Arial" w:hAnsi="Arial"/>
        </w:rPr>
        <w:t xml:space="preserve">Perspectives contre le cancer pour le département de l’Oise, </w:t>
      </w:r>
    </w:p>
    <w:p>
      <w:pPr>
        <w:pStyle w:val="Sansinterligne"/>
        <w:numPr>
          <w:ilvl w:val="0"/>
          <w:numId w:val="1"/>
        </w:numPr>
        <w:jc w:val="both"/>
        <w:rPr>
          <w:rFonts w:ascii="Arial" w:hAnsi="Arial" w:cs="Arial"/>
        </w:rPr>
      </w:pPr>
      <w:r>
        <w:rPr>
          <w:rFonts w:eastAsia="Wingdings" w:cs="Arial" w:ascii="Arial" w:hAnsi="Arial"/>
        </w:rPr>
        <w:t xml:space="preserve">Chiens et guides d’aveugles pour le département de Seine et Marne. </w:t>
      </w:r>
    </w:p>
    <w:p>
      <w:pPr>
        <w:pStyle w:val="NormalWeb"/>
        <w:ind w:firstLine="708"/>
        <w:jc w:val="both"/>
        <w:rPr>
          <w:rFonts w:ascii="Arial" w:hAnsi="Arial" w:cs="Arial"/>
          <w:sz w:val="20"/>
          <w:szCs w:val="20"/>
        </w:rPr>
      </w:pPr>
      <w:r>
        <w:rPr>
          <w:rFonts w:eastAsia="Wingdings" w:cs="Arial" w:ascii="Arial" w:hAnsi="Arial"/>
          <w:b/>
          <w:sz w:val="20"/>
          <w:szCs w:val="20"/>
          <w:u w:val="single"/>
        </w:rPr>
        <w:t>ARTICLE 5 : Collecte des fonds et remise des fonds aux associations</w:t>
      </w:r>
    </w:p>
    <w:p>
      <w:pPr>
        <w:pStyle w:val="Corpsdetexte2"/>
        <w:numPr>
          <w:ilvl w:val="0"/>
          <w:numId w:val="0"/>
        </w:numPr>
        <w:ind w:left="708" w:hanging="0"/>
        <w:outlineLvl w:val="0"/>
        <w:rPr>
          <w:rFonts w:ascii="Arial" w:hAnsi="Arial" w:cs="Arial"/>
          <w:b w:val="false"/>
          <w:b w:val="false"/>
          <w:sz w:val="20"/>
        </w:rPr>
      </w:pPr>
      <w:r>
        <w:rPr>
          <w:rFonts w:eastAsia="Wingdings" w:cs="Arial" w:ascii="Arial" w:hAnsi="Arial"/>
          <w:b w:val="false"/>
          <w:sz w:val="20"/>
        </w:rPr>
        <w:t xml:space="preserve">Les fonds collectés mensuellement sont versés sur un compte interne de la Caisse Régionale. </w:t>
      </w:r>
    </w:p>
    <w:p>
      <w:pPr>
        <w:pStyle w:val="Corpsdetexte2"/>
        <w:numPr>
          <w:ilvl w:val="0"/>
          <w:numId w:val="0"/>
        </w:numPr>
        <w:ind w:left="708" w:hanging="0"/>
        <w:outlineLvl w:val="0"/>
        <w:rPr>
          <w:rFonts w:ascii="Arial" w:hAnsi="Arial" w:cs="Arial"/>
          <w:b w:val="false"/>
          <w:b w:val="false"/>
          <w:sz w:val="20"/>
        </w:rPr>
      </w:pPr>
      <w:r>
        <w:rPr>
          <w:rFonts w:eastAsia="Wingdings" w:cs="Arial" w:ascii="Arial" w:hAnsi="Arial"/>
          <w:b w:val="false"/>
          <w:sz w:val="20"/>
        </w:rPr>
        <w:t xml:space="preserve">Au début de l’année 2021, un tiers de ces fonds sera remis à chacune des associations mentionnées à l’article 2 « Choix des associations » du chapitre 1 « Mise en place de l’arrondi sur salaire ». </w:t>
      </w:r>
    </w:p>
    <w:p>
      <w:pPr>
        <w:pStyle w:val="Corpsdetexte2"/>
        <w:numPr>
          <w:ilvl w:val="0"/>
          <w:numId w:val="0"/>
        </w:numPr>
        <w:ind w:firstLine="708"/>
        <w:outlineLvl w:val="0"/>
        <w:rPr>
          <w:rFonts w:eastAsia="Wingdings"/>
        </w:rPr>
      </w:pPr>
      <w:r>
        <w:rPr>
          <w:rFonts w:eastAsia="Wingdings" w:cs="Arial" w:ascii="Arial" w:hAnsi="Arial"/>
          <w:b w:val="false"/>
          <w:sz w:val="20"/>
        </w:rPr>
        <w:t>Une communication spécifique sera organisée pour valoriser cette démarche ».</w:t>
      </w:r>
    </w:p>
    <w:p>
      <w:pPr>
        <w:pStyle w:val="NormalWeb"/>
        <w:jc w:val="both"/>
        <w:rPr>
          <w:rFonts w:ascii="Arial" w:hAnsi="Arial" w:eastAsia="Wingdings" w:cs="Arial"/>
          <w:sz w:val="20"/>
          <w:szCs w:val="20"/>
        </w:rPr>
      </w:pPr>
      <w:r>
        <w:rPr>
          <w:rFonts w:eastAsia="Wingdings" w:cs="Arial" w:ascii="Arial" w:hAnsi="Arial"/>
          <w:sz w:val="20"/>
          <w:szCs w:val="20"/>
        </w:rPr>
        <w:t xml:space="preserve">Les parties conviennent que les autres dispositions de l’accord sur l’arrondi sur salaire du 25 juin 2018 restent inchangées. </w:t>
      </w:r>
    </w:p>
    <w:p>
      <w:pPr>
        <w:pStyle w:val="NormalWeb"/>
        <w:jc w:val="both"/>
        <w:rPr>
          <w:rFonts w:ascii="Arial" w:hAnsi="Arial" w:eastAsia="Wingdings" w:cs="Arial"/>
          <w:b/>
          <w:b/>
          <w:sz w:val="20"/>
          <w:szCs w:val="20"/>
          <w:u w:val="single"/>
        </w:rPr>
      </w:pPr>
      <w:r>
        <w:rPr>
          <w:rFonts w:eastAsia="Wingdings" w:cs="Arial" w:ascii="Arial" w:hAnsi="Arial"/>
          <w:b/>
          <w:sz w:val="20"/>
          <w:szCs w:val="20"/>
          <w:u w:val="single"/>
        </w:rPr>
        <w:t>ARTICLE 2 – DUREE DE L’AVENANT</w:t>
      </w:r>
    </w:p>
    <w:p>
      <w:pPr>
        <w:pStyle w:val="NormalWeb"/>
        <w:jc w:val="both"/>
        <w:rPr>
          <w:rFonts w:ascii="Arial" w:hAnsi="Arial" w:eastAsia="Wingdings" w:cs="Arial"/>
          <w:sz w:val="20"/>
          <w:szCs w:val="20"/>
        </w:rPr>
      </w:pPr>
      <w:r>
        <w:rPr>
          <w:rFonts w:eastAsia="Wingdings" w:cs="Arial" w:ascii="Arial" w:hAnsi="Arial"/>
          <w:sz w:val="20"/>
          <w:szCs w:val="20"/>
        </w:rPr>
        <w:t xml:space="preserve">Le présent avenant s’appliquera à compter de sa signature. </w:t>
      </w:r>
    </w:p>
    <w:p>
      <w:pPr>
        <w:pStyle w:val="NormalWeb"/>
        <w:jc w:val="both"/>
        <w:rPr>
          <w:rFonts w:eastAsia="Wingdings"/>
        </w:rPr>
      </w:pPr>
      <w:r>
        <w:rPr>
          <w:rFonts w:eastAsia="Wingdings" w:cs="Arial" w:ascii="Arial" w:hAnsi="Arial"/>
          <w:sz w:val="20"/>
          <w:szCs w:val="20"/>
        </w:rPr>
        <w:t xml:space="preserve">Le présent avenant est conclu pour une durée déterminée, il cessera de produire ses effets à compter de sa date d’expiration, soit le 31/12/2020. </w:t>
      </w:r>
    </w:p>
    <w:p>
      <w:pPr>
        <w:pStyle w:val="NormalWeb"/>
        <w:jc w:val="both"/>
        <w:rPr>
          <w:rFonts w:ascii="Arial" w:hAnsi="Arial" w:eastAsia="Wingdings" w:cs="Arial"/>
          <w:b/>
          <w:b/>
          <w:sz w:val="20"/>
          <w:szCs w:val="20"/>
          <w:u w:val="single"/>
        </w:rPr>
      </w:pPr>
      <w:r>
        <w:rPr>
          <w:rFonts w:eastAsia="Wingdings" w:cs="Arial" w:ascii="Arial" w:hAnsi="Arial"/>
          <w:b/>
          <w:sz w:val="20"/>
          <w:szCs w:val="20"/>
          <w:u w:val="single"/>
        </w:rPr>
        <w:t>ARTICLE 3 – PUBLICITE DE L’AVENANT</w:t>
      </w:r>
    </w:p>
    <w:p>
      <w:pPr>
        <w:pStyle w:val="NormalWeb"/>
        <w:jc w:val="both"/>
        <w:rPr>
          <w:rFonts w:ascii="Arial" w:hAnsi="Arial" w:cs="Arial"/>
          <w:sz w:val="20"/>
          <w:szCs w:val="20"/>
        </w:rPr>
      </w:pPr>
      <w:r>
        <w:rPr>
          <w:rFonts w:eastAsia="Wingdings" w:cs="Arial" w:ascii="Arial" w:hAnsi="Arial"/>
          <w:sz w:val="20"/>
          <w:szCs w:val="20"/>
        </w:rPr>
        <w:t>Le présent avenant sera, à la diligence de l’entreprise, adressé à la DIRECCTE sous forme dématérialisée via la plateforme « TéléAccords », et en un exemplaire au greffe du Conseil des Prud’hommes d’Amiens</w:t>
      </w:r>
    </w:p>
    <w:p>
      <w:pPr>
        <w:pStyle w:val="NormalWeb"/>
        <w:jc w:val="both"/>
        <w:rPr>
          <w:rFonts w:ascii="Arial" w:hAnsi="Arial" w:eastAsia="Wingdings" w:cs="Arial"/>
          <w:color w:val="FF0000"/>
          <w:sz w:val="20"/>
          <w:szCs w:val="20"/>
        </w:rPr>
      </w:pPr>
      <w:r>
        <w:rPr>
          <w:rFonts w:eastAsia="Wingdings" w:cs="Arial" w:ascii="Arial" w:hAnsi="Arial"/>
          <w:color w:val="FF0000"/>
          <w:sz w:val="20"/>
          <w:szCs w:val="20"/>
        </w:rPr>
      </w:r>
    </w:p>
    <w:tbl>
      <w:tblPr>
        <w:tblW w:w="9993" w:type="dxa"/>
        <w:jc w:val="left"/>
        <w:tblInd w:w="-356" w:type="dxa"/>
        <w:tblBorders/>
        <w:tblCellMar>
          <w:top w:w="0" w:type="dxa"/>
          <w:left w:w="70" w:type="dxa"/>
          <w:bottom w:w="0" w:type="dxa"/>
          <w:right w:w="70" w:type="dxa"/>
        </w:tblCellMar>
      </w:tblPr>
      <w:tblGrid>
        <w:gridCol w:w="4890"/>
        <w:gridCol w:w="5103"/>
      </w:tblGrid>
      <w:tr>
        <w:trPr/>
        <w:tc>
          <w:tcPr>
            <w:tcW w:w="4890" w:type="dxa"/>
            <w:tcBorders/>
            <w:shd w:fill="auto" w:val="clear"/>
          </w:tcPr>
          <w:p>
            <w:pPr>
              <w:pStyle w:val="Normal"/>
              <w:snapToGrid w:val="false"/>
              <w:rPr>
                <w:rFonts w:ascii="Arial" w:hAnsi="Arial" w:eastAsia="Wingdings" w:cs="Arial"/>
              </w:rPr>
            </w:pPr>
            <w:r>
              <w:rPr>
                <w:rFonts w:eastAsia="Wingdings" w:cs="Arial" w:ascii="Arial" w:hAnsi="Arial"/>
              </w:rPr>
            </w:r>
          </w:p>
        </w:tc>
        <w:tc>
          <w:tcPr>
            <w:tcW w:w="5103" w:type="dxa"/>
            <w:tcBorders/>
            <w:shd w:fill="auto" w:val="clear"/>
          </w:tcPr>
          <w:p>
            <w:pPr>
              <w:pStyle w:val="Corpsdetexte2"/>
              <w:snapToGrid w:val="false"/>
              <w:rPr>
                <w:rFonts w:ascii="Arial" w:hAnsi="Arial" w:eastAsia="Wingdings" w:cs="Arial"/>
                <w:sz w:val="20"/>
              </w:rPr>
            </w:pPr>
            <w:r>
              <w:rPr>
                <w:rFonts w:eastAsia="Wingdings" w:cs="Arial" w:ascii="Arial" w:hAnsi="Arial"/>
                <w:sz w:val="20"/>
              </w:rPr>
            </w:r>
          </w:p>
        </w:tc>
      </w:tr>
    </w:tbl>
    <w:p>
      <w:pPr>
        <w:pStyle w:val="Corpsdetexte2"/>
        <w:numPr>
          <w:ilvl w:val="0"/>
          <w:numId w:val="0"/>
        </w:numPr>
        <w:outlineLvl w:val="0"/>
        <w:rPr>
          <w:rFonts w:ascii="Arial" w:hAnsi="Arial" w:cs="Arial"/>
          <w:b w:val="false"/>
          <w:b w:val="false"/>
          <w:sz w:val="20"/>
        </w:rPr>
      </w:pPr>
      <w:r>
        <w:rPr>
          <w:rFonts w:eastAsia="Wingdings" w:cs="Arial" w:ascii="Arial" w:hAnsi="Arial"/>
          <w:b w:val="false"/>
          <w:sz w:val="20"/>
        </w:rPr>
        <w:t xml:space="preserve">Fait à  Amiens,  le </w:t>
      </w:r>
    </w:p>
    <w:p>
      <w:pPr>
        <w:pStyle w:val="Normal"/>
        <w:rPr>
          <w:rFonts w:ascii="Arial" w:hAnsi="Arial" w:eastAsia="Wingdings" w:cs="Arial"/>
          <w:b/>
          <w:b/>
          <w:sz w:val="20"/>
        </w:rPr>
      </w:pPr>
      <w:r>
        <w:rPr>
          <w:rFonts w:eastAsia="Wingdings" w:cs="Arial" w:ascii="Arial" w:hAnsi="Arial"/>
          <w:b/>
          <w:sz w:val="20"/>
        </w:rPr>
      </w:r>
    </w:p>
    <w:p>
      <w:pPr>
        <w:pStyle w:val="Corpsdetexte2"/>
        <w:numPr>
          <w:ilvl w:val="0"/>
          <w:numId w:val="0"/>
        </w:numPr>
        <w:outlineLvl w:val="0"/>
        <w:rPr>
          <w:rFonts w:ascii="Arial" w:hAnsi="Arial" w:eastAsia="Arial Unicode MS" w:cs="Arial"/>
          <w:b w:val="false"/>
          <w:b w:val="false"/>
          <w:color w:val="000000"/>
          <w:sz w:val="20"/>
        </w:rPr>
      </w:pPr>
      <w:r>
        <w:rPr>
          <w:rFonts w:eastAsia="Arial Unicode MS" w:cs="Arial" w:ascii="Arial" w:hAnsi="Arial"/>
          <w:b w:val="false"/>
          <w:color w:val="000000"/>
          <w:sz w:val="20"/>
        </w:rPr>
      </w:r>
    </w:p>
    <w:tbl>
      <w:tblPr>
        <w:tblW w:w="7300" w:type="dxa"/>
        <w:jc w:val="left"/>
        <w:tblInd w:w="0" w:type="dxa"/>
        <w:tblBorders/>
        <w:tblCellMar>
          <w:top w:w="0" w:type="dxa"/>
          <w:left w:w="70" w:type="dxa"/>
          <w:bottom w:w="0" w:type="dxa"/>
          <w:right w:w="70" w:type="dxa"/>
        </w:tblCellMar>
      </w:tblPr>
      <w:tblGrid>
        <w:gridCol w:w="7300"/>
      </w:tblGrid>
      <w:tr>
        <w:trPr/>
        <w:tc>
          <w:tcPr>
            <w:tcW w:w="7300" w:type="dxa"/>
            <w:tcBorders/>
            <w:shd w:fill="auto" w:val="clear"/>
          </w:tcPr>
          <w:p>
            <w:pPr>
              <w:pStyle w:val="Corpsdetexte2"/>
              <w:jc w:val="left"/>
              <w:rPr/>
            </w:pPr>
            <w:r>
              <w:rPr>
                <w:rFonts w:eastAsia="Arial Unicode MS" w:cs="Arial" w:ascii="Arial" w:hAnsi="Arial"/>
                <w:color w:val="000000"/>
                <w:sz w:val="20"/>
              </w:rPr>
              <w:t>Le Directeur Général Adjoint de la Caisse Régionale BRIE PICARDIE</w:t>
            </w:r>
          </w:p>
        </w:tc>
      </w:tr>
      <w:tr>
        <w:trPr/>
        <w:tc>
          <w:tcPr>
            <w:tcW w:w="7300" w:type="dxa"/>
            <w:tcBorders/>
            <w:shd w:fill="auto" w:val="clear"/>
          </w:tcPr>
          <w:p>
            <w:pPr>
              <w:pStyle w:val="Corpsdetexte2"/>
              <w:jc w:val="left"/>
              <w:rPr>
                <w:rFonts w:eastAsia="Arial Unicode MS"/>
              </w:rPr>
            </w:pPr>
            <w:r>
              <w:rPr>
                <w:rFonts w:eastAsia="Arial" w:cs="Arial" w:ascii="Arial" w:hAnsi="Arial"/>
                <w:color w:val="000000"/>
                <w:sz w:val="20"/>
              </w:rPr>
              <w:t xml:space="preserve">                             </w:t>
            </w:r>
          </w:p>
          <w:p>
            <w:pPr>
              <w:pStyle w:val="Corpsdetexte2"/>
              <w:ind w:left="1843" w:hanging="0"/>
              <w:jc w:val="left"/>
              <w:rPr>
                <w:rFonts w:ascii="Arial" w:hAnsi="Arial" w:eastAsia="Arial Unicode MS" w:cs="Arial"/>
                <w:b w:val="false"/>
                <w:b w:val="false"/>
                <w:color w:val="000000"/>
                <w:sz w:val="20"/>
              </w:rPr>
            </w:pPr>
            <w:r>
              <w:rPr>
                <w:rFonts w:eastAsia="Arial Unicode MS" w:cs="Arial" w:ascii="Arial" w:hAnsi="Arial"/>
                <w:b w:val="false"/>
                <w:color w:val="000000"/>
                <w:sz w:val="20"/>
              </w:rPr>
            </w:r>
          </w:p>
        </w:tc>
      </w:tr>
    </w:tbl>
    <w:p>
      <w:pPr>
        <w:pStyle w:val="Corpsdetexte2"/>
        <w:rPr>
          <w:rFonts w:ascii="Arial" w:hAnsi="Arial" w:eastAsia="Arial Unicode MS" w:cs="Arial"/>
          <w:b w:val="false"/>
          <w:b w:val="false"/>
          <w:color w:val="000000"/>
          <w:sz w:val="20"/>
        </w:rPr>
      </w:pPr>
      <w:r>
        <w:rPr>
          <w:rFonts w:eastAsia="Arial Unicode MS" w:cs="Arial" w:ascii="Arial" w:hAnsi="Arial"/>
          <w:b w:val="false"/>
          <w:color w:val="000000"/>
          <w:sz w:val="20"/>
        </w:rPr>
      </w:r>
    </w:p>
    <w:p>
      <w:pPr>
        <w:pStyle w:val="Corpsdetexte2"/>
        <w:rPr>
          <w:rFonts w:ascii="Arial" w:hAnsi="Arial" w:eastAsia="Arial Unicode MS" w:cs="Arial"/>
          <w:b w:val="false"/>
          <w:b w:val="false"/>
          <w:color w:val="000000"/>
          <w:sz w:val="20"/>
        </w:rPr>
      </w:pPr>
      <w:r>
        <w:rPr>
          <w:rFonts w:eastAsia="Arial Unicode MS" w:cs="Arial" w:ascii="Arial" w:hAnsi="Arial"/>
          <w:b w:val="false"/>
          <w:color w:val="000000"/>
          <w:sz w:val="20"/>
        </w:rPr>
      </w:r>
    </w:p>
    <w:p>
      <w:pPr>
        <w:pStyle w:val="Corpsdetexte2"/>
        <w:rPr>
          <w:rFonts w:ascii="Arial" w:hAnsi="Arial" w:eastAsia="Arial Unicode MS" w:cs="Arial"/>
          <w:b w:val="false"/>
          <w:b w:val="false"/>
          <w:color w:val="000000"/>
          <w:sz w:val="20"/>
        </w:rPr>
      </w:pPr>
      <w:r>
        <w:rPr>
          <w:rFonts w:eastAsia="Arial Unicode MS" w:cs="Arial" w:ascii="Arial" w:hAnsi="Arial"/>
          <w:b w:val="false"/>
          <w:color w:val="000000"/>
          <w:sz w:val="20"/>
        </w:rPr>
      </w:r>
    </w:p>
    <w:p>
      <w:pPr>
        <w:pStyle w:val="Corpsdetexte2"/>
        <w:rPr>
          <w:rFonts w:ascii="Arial" w:hAnsi="Arial" w:eastAsia="Arial Unicode MS" w:cs="Arial"/>
          <w:b w:val="false"/>
          <w:b w:val="false"/>
          <w:color w:val="000000"/>
          <w:sz w:val="20"/>
        </w:rPr>
      </w:pPr>
      <w:r>
        <w:rPr>
          <w:rFonts w:eastAsia="Arial Unicode MS" w:cs="Arial" w:ascii="Arial" w:hAnsi="Arial"/>
          <w:b w:val="false"/>
          <w:color w:val="000000"/>
          <w:sz w:val="20"/>
        </w:rPr>
      </w:r>
    </w:p>
    <w:tbl>
      <w:tblPr>
        <w:tblW w:w="9993" w:type="dxa"/>
        <w:jc w:val="left"/>
        <w:tblInd w:w="-356" w:type="dxa"/>
        <w:tblBorders/>
        <w:tblCellMar>
          <w:top w:w="0" w:type="dxa"/>
          <w:left w:w="70" w:type="dxa"/>
          <w:bottom w:w="0" w:type="dxa"/>
          <w:right w:w="70" w:type="dxa"/>
        </w:tblCellMar>
      </w:tblPr>
      <w:tblGrid>
        <w:gridCol w:w="4890"/>
        <w:gridCol w:w="5103"/>
      </w:tblGrid>
      <w:tr>
        <w:trPr/>
        <w:tc>
          <w:tcPr>
            <w:tcW w:w="4890" w:type="dxa"/>
            <w:tcBorders/>
            <w:shd w:fill="auto" w:val="clear"/>
          </w:tcPr>
          <w:p>
            <w:pPr>
              <w:pStyle w:val="Corpsdetexte2"/>
              <w:rPr>
                <w:rFonts w:ascii="Arial" w:hAnsi="Arial" w:eastAsia="Arial Unicode MS" w:cs="Arial"/>
                <w:color w:val="000000"/>
                <w:sz w:val="20"/>
              </w:rPr>
            </w:pPr>
            <w:r>
              <w:rPr>
                <w:rFonts w:eastAsia="Arial Unicode MS" w:cs="Arial" w:ascii="Arial" w:hAnsi="Arial"/>
                <w:color w:val="000000"/>
                <w:sz w:val="20"/>
              </w:rPr>
              <w:t>Pour la  CFDT</w:t>
            </w:r>
          </w:p>
        </w:tc>
        <w:tc>
          <w:tcPr>
            <w:tcW w:w="5103" w:type="dxa"/>
            <w:tcBorders/>
            <w:shd w:fill="auto" w:val="clear"/>
          </w:tcPr>
          <w:p>
            <w:pPr>
              <w:pStyle w:val="Corpsdetexte2"/>
              <w:rPr>
                <w:rFonts w:ascii="Arial" w:hAnsi="Arial" w:eastAsia="Arial Unicode MS" w:cs="Arial"/>
                <w:color w:val="000000"/>
                <w:sz w:val="20"/>
              </w:rPr>
            </w:pPr>
            <w:r>
              <w:rPr>
                <w:rFonts w:eastAsia="Arial Unicode MS" w:cs="Arial" w:ascii="Arial" w:hAnsi="Arial"/>
                <w:color w:val="000000"/>
                <w:sz w:val="20"/>
              </w:rPr>
              <w:t>Pour le SNECA</w:t>
            </w:r>
          </w:p>
        </w:tc>
      </w:tr>
      <w:tr>
        <w:trPr>
          <w:trHeight w:val="851" w:hRule="atLeast"/>
        </w:trPr>
        <w:tc>
          <w:tcPr>
            <w:tcW w:w="4890" w:type="dxa"/>
            <w:tcBorders/>
            <w:shd w:fill="auto" w:val="clear"/>
          </w:tcPr>
          <w:p>
            <w:pPr>
              <w:pStyle w:val="Corpsdetexte2"/>
              <w:snapToGrid w:val="false"/>
              <w:rPr>
                <w:rFonts w:ascii="Arial" w:hAnsi="Arial" w:eastAsia="Arial Unicode MS" w:cs="Arial"/>
                <w:b/>
                <w:b/>
                <w:color w:val="000000"/>
                <w:sz w:val="20"/>
              </w:rPr>
            </w:pPr>
            <w:r>
              <w:rPr>
                <w:rFonts w:eastAsia="Arial Unicode MS" w:cs="Arial" w:ascii="Arial" w:hAnsi="Arial"/>
                <w:b/>
                <w:color w:val="000000"/>
                <w:sz w:val="20"/>
              </w:rPr>
            </w:r>
          </w:p>
          <w:p>
            <w:pPr>
              <w:pStyle w:val="Corpsdetexte2"/>
              <w:rPr>
                <w:rFonts w:ascii="Arial" w:hAnsi="Arial" w:eastAsia="Arial Unicode MS" w:cs="Arial"/>
                <w:color w:val="000000"/>
                <w:sz w:val="20"/>
              </w:rPr>
            </w:pPr>
            <w:r>
              <w:rPr>
                <w:rFonts w:eastAsia="Arial Unicode MS" w:cs="Arial" w:ascii="Arial" w:hAnsi="Arial"/>
                <w:color w:val="000000"/>
                <w:sz w:val="20"/>
              </w:rPr>
            </w:r>
          </w:p>
          <w:p>
            <w:pPr>
              <w:pStyle w:val="Corpsdetexte2"/>
              <w:rPr>
                <w:rFonts w:ascii="Arial" w:hAnsi="Arial" w:eastAsia="Arial Unicode MS" w:cs="Arial"/>
                <w:color w:val="000000"/>
                <w:sz w:val="20"/>
              </w:rPr>
            </w:pPr>
            <w:r>
              <w:rPr>
                <w:rFonts w:eastAsia="Arial Unicode MS" w:cs="Arial" w:ascii="Arial" w:hAnsi="Arial"/>
                <w:color w:val="000000"/>
                <w:sz w:val="20"/>
              </w:rPr>
            </w:r>
          </w:p>
          <w:p>
            <w:pPr>
              <w:pStyle w:val="Corpsdetexte2"/>
              <w:rPr>
                <w:rFonts w:ascii="Arial" w:hAnsi="Arial" w:eastAsia="Arial Unicode MS" w:cs="Arial"/>
                <w:color w:val="000000"/>
                <w:sz w:val="20"/>
              </w:rPr>
            </w:pPr>
            <w:r>
              <w:rPr>
                <w:rFonts w:eastAsia="Arial Unicode MS" w:cs="Arial" w:ascii="Arial" w:hAnsi="Arial"/>
                <w:color w:val="000000"/>
                <w:sz w:val="20"/>
              </w:rPr>
            </w:r>
          </w:p>
        </w:tc>
        <w:tc>
          <w:tcPr>
            <w:tcW w:w="5103" w:type="dxa"/>
            <w:tcBorders/>
            <w:shd w:fill="auto" w:val="clear"/>
          </w:tcPr>
          <w:p>
            <w:pPr>
              <w:pStyle w:val="Corpsdetexte2"/>
              <w:snapToGrid w:val="false"/>
              <w:rPr>
                <w:rFonts w:ascii="Arial" w:hAnsi="Arial" w:eastAsia="Arial Unicode MS" w:cs="Arial"/>
                <w:color w:val="000000"/>
                <w:sz w:val="20"/>
              </w:rPr>
            </w:pPr>
            <w:r>
              <w:rPr>
                <w:rFonts w:eastAsia="Arial Unicode MS" w:cs="Arial" w:ascii="Arial" w:hAnsi="Arial"/>
                <w:color w:val="000000"/>
                <w:sz w:val="20"/>
              </w:rPr>
            </w:r>
          </w:p>
        </w:tc>
      </w:tr>
    </w:tbl>
    <w:p>
      <w:pPr>
        <w:pStyle w:val="Normal"/>
        <w:rPr>
          <w:rFonts w:ascii="Arial" w:hAnsi="Arial" w:cs="Arial"/>
        </w:rPr>
      </w:pPr>
      <w:r>
        <w:rPr>
          <w:rFonts w:cs="Arial" w:ascii="Arial" w:hAnsi="Arial"/>
        </w:rPr>
      </w:r>
    </w:p>
    <w:sectPr>
      <w:headerReference w:type="default" r:id="rId2"/>
      <w:footerReference w:type="default" r:id="rId3"/>
      <w:type w:val="nextPage"/>
      <w:pgSz w:w="11906" w:h="16838"/>
      <w:pgMar w:left="1418" w:right="1418" w:header="720" w:top="1418"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jc w:val="center"/>
      <w:rPr/>
    </w:pPr>
    <w:r>
      <w:rPr>
        <w:rStyle w:val="PageNumber"/>
        <w:rFonts w:cs="Arial" w:ascii="Arial" w:hAnsi="Arial"/>
      </w:rPr>
      <w:t xml:space="preserve">Page </w:t>
    </w:r>
    <w:r>
      <w:rPr>
        <w:rStyle w:val="PageNumber"/>
        <w:rFonts w:cs="Arial" w:ascii="Arial" w:hAnsi="Arial"/>
      </w:rPr>
      <w:fldChar w:fldCharType="begin"/>
    </w:r>
    <w:r>
      <w:instrText> PAGE </w:instrText>
    </w:r>
    <w:r>
      <w:fldChar w:fldCharType="separate"/>
    </w:r>
    <w:r>
      <w:t>3</w:t>
    </w:r>
    <w:r>
      <w:fldChar w:fldCharType="end"/>
    </w:r>
    <w:r>
      <w:rPr>
        <w:rStyle w:val="PageNumber"/>
        <w:rFonts w:cs="Arial" w:ascii="Arial" w:hAnsi="Arial"/>
      </w:rPr>
      <w:t xml:space="preserve"> sur </w:t>
    </w:r>
    <w:r>
      <w:rPr>
        <w:rStyle w:val="PageNumber"/>
        <w:rFonts w:cs="Arial" w:ascii="Arial" w:hAnsi="Arial"/>
      </w:rPr>
      <w:fldChar w:fldCharType="begin"/>
    </w:r>
    <w:r>
      <w:instrText> NUMPAGES \* ARABIC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Style w:val="PageNumber"/>
        <w:rFonts w:cs="Arial" w:ascii="Arial" w:hAnsi="Arial"/>
      </w:rPr>
      <w:drawing>
        <wp:inline distT="0" distB="0" distL="0" distR="0">
          <wp:extent cx="1367155" cy="5613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367155" cy="56134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1068" w:hanging="360"/>
      </w:pPr>
      <w:rPr>
        <w:rFonts w:ascii="Arial" w:hAnsi="Arial" w:cs="Arial" w:hint="default"/>
        <w:rFonts w:cs="Aria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character" w:styleId="WW8Num1z0">
    <w:name w:val="WW8Num1z0"/>
    <w:qFormat/>
    <w:rPr>
      <w:rFonts w:ascii="Times New Roman" w:hAnsi="Times New Roman" w:cs="Times New Roman"/>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eastAsia="Times New Roman"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b/>
      <w:i w:val="false"/>
      <w:strike w:val="false"/>
      <w:dstrike w:val="false"/>
      <w:color w:val="000000"/>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ahoma" w:hAnsi="Tahoma" w:eastAsia="Times New Roman" w:cs="Tahoma"/>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Wingdings" w:hAnsi="Wingdings" w:cs="Wingdings"/>
      <w:sz w:val="16"/>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Arial" w:hAnsi="Arial" w:eastAsia="Times New Roman" w:cs="Ari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Policepardfaut">
    <w:name w:val="Police par défaut"/>
    <w:qFormat/>
    <w:rPr/>
  </w:style>
  <w:style w:type="character" w:styleId="PageNumber">
    <w:name w:val="Page Number"/>
    <w:basedOn w:val="Policepardfaut"/>
    <w:rPr/>
  </w:style>
  <w:style w:type="character" w:styleId="Marquedecommentaire">
    <w:name w:val="Marque de commentaire"/>
    <w:qFormat/>
    <w:rPr>
      <w:sz w:val="16"/>
      <w:szCs w:val="16"/>
    </w:rPr>
  </w:style>
  <w:style w:type="character" w:styleId="Corpsdetexte2Car">
    <w:name w:val="Corps de texte 2 Car"/>
    <w:qFormat/>
    <w:rPr>
      <w:b/>
      <w:bCs/>
      <w:sz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etexte2">
    <w:name w:val="Corps de texte 2"/>
    <w:basedOn w:val="Normal"/>
    <w:qFormat/>
    <w:pPr>
      <w:jc w:val="both"/>
    </w:pPr>
    <w:rPr>
      <w:b/>
      <w:bCs/>
      <w:sz w:val="24"/>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NormalWeb">
    <w:name w:val="Normal (Web)"/>
    <w:basedOn w:val="Normal"/>
    <w:qFormat/>
    <w:pPr>
      <w:spacing w:before="280" w:after="280"/>
    </w:pPr>
    <w:rPr>
      <w:sz w:val="24"/>
      <w:szCs w:val="24"/>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rPr>
      <w:rFonts w:ascii="Tahoma" w:hAnsi="Tahoma" w:cs="Tahoma"/>
      <w:sz w:val="16"/>
      <w:szCs w:val="16"/>
    </w:rPr>
  </w:style>
  <w:style w:type="paragraph" w:styleId="Explorateurdedocuments">
    <w:name w:val="Explorateur de documents"/>
    <w:basedOn w:val="Normal"/>
    <w:qFormat/>
    <w:pPr>
      <w:shd w:fill="000080" w:val="clear"/>
    </w:pPr>
    <w:rPr>
      <w:rFonts w:ascii="Tahoma" w:hAnsi="Tahoma" w:cs="Tahoma"/>
    </w:rPr>
  </w:style>
  <w:style w:type="paragraph" w:styleId="Sansinterligne">
    <w:name w:val="Sans interligne"/>
    <w:qFormat/>
    <w:pPr>
      <w:widowControl/>
    </w:pPr>
    <w:rPr>
      <w:rFonts w:ascii="Times New Roman" w:hAnsi="Times New Roman" w:eastAsia="Times New Roman" w:cs="Times New Roman"/>
      <w:color w:val="auto"/>
      <w:sz w:val="20"/>
      <w:szCs w:val="20"/>
      <w:lang w:val="fr-FR"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2019-12-17T10:51:00Z</dcterms:created>
  <dc:language>en-GB</dc:language>
  <cp:lastPrinted>2019-12-02T18:29:00Z</cp:lastPrinted>
  <dcterms:modified xsi:type="dcterms:W3CDTF">2019-12-17T10:51:00Z</dcterms:modified>
  <cp:revision>2</cp:revision>
  <dc:title>ACCORD SUR</dc:title>
</cp:coreProperties>
</file>