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Hlk16156656"/>
      <w:bookmarkEnd w:id="0"/>
      <w:r>
        <w:rPr>
          <w:rFonts w:eastAsia="Arial Unicode MS" w:cs="Arial" w:ascii="Calibri" w:hAnsi="Calibri"/>
          <w:b/>
          <w:iCs/>
          <w:sz w:val="36"/>
          <w:szCs w:val="36"/>
          <w:lang w:eastAsia="en-US"/>
        </w:rPr>
        <w:t>Accord relatif à l’égalité professionnelle entre les hommes et les femmes et à la qualité de vie au travail</w:t>
      </w:r>
    </w:p>
    <w:p>
      <w:pPr>
        <w:pStyle w:val="Normal"/>
        <w:jc w:val="center"/>
        <w:rPr>
          <w:rFonts w:ascii="Calibri" w:hAnsi="Calibri" w:eastAsia="Arial Unicode MS" w:cs="Tahoma"/>
          <w:b/>
          <w:b/>
          <w:iCs/>
          <w:sz w:val="32"/>
          <w:szCs w:val="32"/>
          <w:lang w:eastAsia="en-US"/>
        </w:rPr>
      </w:pPr>
      <w:r>
        <w:rPr>
          <w:rFonts w:eastAsia="Arial Unicode MS" w:cs="Tahoma" w:ascii="Calibri" w:hAnsi="Calibri"/>
          <w:b/>
          <w:iCs/>
          <w:sz w:val="32"/>
          <w:szCs w:val="32"/>
          <w:lang w:eastAsia="en-US"/>
        </w:rPr>
      </w:r>
    </w:p>
    <w:p>
      <w:pPr>
        <w:pStyle w:val="Normal"/>
        <w:jc w:val="center"/>
        <w:rPr>
          <w:rFonts w:ascii="Calibri" w:hAnsi="Calibri" w:cs="Tahoma"/>
          <w:sz w:val="22"/>
          <w:szCs w:val="22"/>
        </w:rPr>
      </w:pPr>
      <w:bookmarkStart w:id="1" w:name="_Hlk16156656"/>
      <w:bookmarkStart w:id="2" w:name="_Hlk16156656"/>
      <w:bookmarkEnd w:id="2"/>
      <w:r>
        <w:rPr>
          <w:rFonts w:cs="Tahoma" w:ascii="Calibri" w:hAnsi="Calibri"/>
          <w:sz w:val="22"/>
          <w:szCs w:val="22"/>
        </w:rPr>
      </w:r>
    </w:p>
    <w:p>
      <w:pPr>
        <w:pStyle w:val="Normal"/>
        <w:jc w:val="center"/>
        <w:rPr>
          <w:rFonts w:ascii="Calibri" w:hAnsi="Calibri" w:cs="Tahoma"/>
          <w:sz w:val="22"/>
          <w:szCs w:val="22"/>
        </w:rPr>
      </w:pPr>
      <w:r>
        <w:rPr>
          <w:rFonts w:cs="Tahoma" w:ascii="Calibri" w:hAnsi="Calibri"/>
          <w:sz w:val="22"/>
          <w:szCs w:val="22"/>
        </w:rPr>
      </w:r>
    </w:p>
    <w:p>
      <w:pPr>
        <w:pStyle w:val="Normal"/>
        <w:jc w:val="center"/>
        <w:rPr>
          <w:rFonts w:ascii="Calibri" w:hAnsi="Calibri" w:cs="Tahoma"/>
          <w:sz w:val="22"/>
          <w:szCs w:val="22"/>
        </w:rPr>
      </w:pPr>
      <w:r>
        <w:rPr>
          <w:rFonts w:cs="Tahoma" w:ascii="Calibri" w:hAnsi="Calibri"/>
          <w:sz w:val="22"/>
          <w:szCs w:val="22"/>
        </w:rPr>
      </w:r>
    </w:p>
    <w:p>
      <w:pPr>
        <w:pStyle w:val="Normal"/>
        <w:autoSpaceDE w:val="false"/>
        <w:jc w:val="both"/>
        <w:rPr>
          <w:rFonts w:ascii="Calibri" w:hAnsi="Calibri" w:cs="Univers-LightOblique"/>
          <w:iCs/>
          <w:sz w:val="24"/>
          <w:szCs w:val="24"/>
        </w:rPr>
      </w:pPr>
      <w:r>
        <w:rPr>
          <w:rFonts w:cs="Univers-LightOblique" w:ascii="Calibri" w:hAnsi="Calibri"/>
          <w:iCs/>
          <w:sz w:val="24"/>
          <w:szCs w:val="24"/>
        </w:rPr>
      </w:r>
    </w:p>
    <w:p>
      <w:pPr>
        <w:pStyle w:val="Normal"/>
        <w:pBdr>
          <w:top w:val="single" w:sz="4" w:space="1" w:color="000000"/>
          <w:left w:val="single" w:sz="4" w:space="4" w:color="000000"/>
          <w:bottom w:val="single" w:sz="4" w:space="1" w:color="000000"/>
          <w:right w:val="single" w:sz="4" w:space="4" w:color="000000"/>
        </w:pBdr>
        <w:autoSpaceDE w:val="false"/>
        <w:rPr>
          <w:rFonts w:ascii="Calibri" w:hAnsi="Calibri" w:cs="Tahoma"/>
          <w:i/>
          <w:i/>
          <w:sz w:val="22"/>
          <w:szCs w:val="22"/>
        </w:rPr>
      </w:pPr>
      <w:r>
        <w:rPr>
          <w:rFonts w:cs="Tahoma" w:ascii="Calibri" w:hAnsi="Calibri"/>
          <w:i/>
          <w:sz w:val="22"/>
          <w:szCs w:val="22"/>
        </w:rPr>
        <w:t>CCN des transports routiers et activités auxiliaires du transport – code IDCC : 0016</w:t>
      </w:r>
    </w:p>
    <w:p>
      <w:pPr>
        <w:pStyle w:val="Normal"/>
        <w:rPr>
          <w:rFonts w:ascii="Calibri" w:hAnsi="Calibri" w:cs="Tahoma"/>
          <w:b/>
          <w:b/>
          <w:bCs/>
          <w:i/>
          <w:i/>
          <w:sz w:val="22"/>
          <w:szCs w:val="22"/>
        </w:rPr>
      </w:pPr>
      <w:r>
        <w:rPr>
          <w:rFonts w:cs="Tahoma" w:ascii="Calibri" w:hAnsi="Calibri"/>
          <w:b/>
          <w:bCs/>
          <w:i/>
          <w:sz w:val="22"/>
          <w:szCs w:val="22"/>
        </w:rPr>
      </w:r>
    </w:p>
    <w:p>
      <w:pPr>
        <w:pStyle w:val="Normal"/>
        <w:autoSpaceDE w:val="false"/>
        <w:jc w:val="both"/>
        <w:rPr>
          <w:rFonts w:ascii="Calibri" w:hAnsi="Calibri" w:cs="Univers-LightOblique"/>
          <w:b/>
          <w:b/>
          <w:bCs/>
          <w:i/>
          <w:i/>
          <w:iCs/>
          <w:color w:val="002060"/>
          <w:sz w:val="24"/>
          <w:szCs w:val="24"/>
        </w:rPr>
      </w:pPr>
      <w:r>
        <w:rPr>
          <w:rFonts w:cs="Univers-LightOblique" w:ascii="Calibri" w:hAnsi="Calibri"/>
          <w:b/>
          <w:bCs/>
          <w:i/>
          <w:iCs/>
          <w:color w:val="002060"/>
          <w:sz w:val="24"/>
          <w:szCs w:val="24"/>
        </w:rPr>
      </w:r>
    </w:p>
    <w:p>
      <w:pPr>
        <w:pStyle w:val="Normal"/>
        <w:autoSpaceDE w:val="false"/>
        <w:jc w:val="both"/>
        <w:rPr>
          <w:rFonts w:ascii="Calibri" w:hAnsi="Calibri" w:cs="Univers-LightOblique"/>
          <w:i/>
          <w:i/>
          <w:iCs/>
          <w:color w:val="002060"/>
          <w:sz w:val="24"/>
          <w:szCs w:val="24"/>
        </w:rPr>
      </w:pPr>
      <w:r>
        <w:rPr>
          <w:rFonts w:cs="Univers-LightOblique" w:ascii="Calibri" w:hAnsi="Calibri"/>
          <w:i/>
          <w:iCs/>
          <w:color w:val="002060"/>
          <w:sz w:val="24"/>
          <w:szCs w:val="24"/>
        </w:rPr>
      </w:r>
    </w:p>
    <w:p>
      <w:pPr>
        <w:pStyle w:val="Normal"/>
        <w:autoSpaceDE w:val="false"/>
        <w:jc w:val="both"/>
        <w:rPr>
          <w:rFonts w:ascii="Calibri" w:hAnsi="Calibri" w:cs="Univers-LightOblique"/>
          <w:i/>
          <w:i/>
          <w:iCs/>
          <w:color w:val="002060"/>
          <w:sz w:val="24"/>
          <w:szCs w:val="24"/>
        </w:rPr>
      </w:pPr>
      <w:r>
        <w:rPr>
          <w:rFonts w:cs="Univers-LightOblique" w:ascii="Calibri" w:hAnsi="Calibri"/>
          <w:i/>
          <w:iCs/>
          <w:color w:val="002060"/>
          <w:sz w:val="24"/>
          <w:szCs w:val="24"/>
        </w:rPr>
      </w:r>
    </w:p>
    <w:p>
      <w:pPr>
        <w:pStyle w:val="Normal"/>
        <w:autoSpaceDE w:val="false"/>
        <w:jc w:val="both"/>
        <w:rPr>
          <w:rFonts w:ascii="Calibri" w:hAnsi="Calibri" w:cs="Univers-Light"/>
          <w:sz w:val="22"/>
          <w:szCs w:val="22"/>
        </w:rPr>
      </w:pPr>
      <w:r>
        <w:rPr>
          <w:rFonts w:cs="Univers-Light" w:ascii="Calibri" w:hAnsi="Calibri"/>
          <w:sz w:val="22"/>
          <w:szCs w:val="22"/>
        </w:rPr>
        <w:t>ENTRE LES SOUSSIGNÉS,</w:t>
      </w:r>
    </w:p>
    <w:p>
      <w:pPr>
        <w:pStyle w:val="Normal"/>
        <w:autoSpaceDE w:val="false"/>
        <w:jc w:val="both"/>
        <w:rPr>
          <w:rFonts w:ascii="Calibri" w:hAnsi="Calibri" w:cs="Univers-Light"/>
          <w:sz w:val="24"/>
          <w:szCs w:val="24"/>
        </w:rPr>
      </w:pPr>
      <w:r>
        <w:rPr>
          <w:rFonts w:cs="Univers-Light" w:ascii="Calibri" w:hAnsi="Calibri"/>
          <w:sz w:val="24"/>
          <w:szCs w:val="24"/>
        </w:rPr>
      </w:r>
    </w:p>
    <w:p>
      <w:pPr>
        <w:pStyle w:val="Normal"/>
        <w:autoSpaceDE w:val="false"/>
        <w:jc w:val="both"/>
        <w:rPr>
          <w:rFonts w:ascii="Calibri" w:hAnsi="Calibri" w:cs="Univers-Light"/>
          <w:sz w:val="22"/>
          <w:szCs w:val="22"/>
        </w:rPr>
      </w:pPr>
      <w:r>
        <w:rPr>
          <w:rFonts w:eastAsia="Calibri" w:cs="Calibri" w:ascii="Calibri" w:hAnsi="Calibri"/>
          <w:sz w:val="22"/>
          <w:szCs w:val="22"/>
        </w:rPr>
        <w:t xml:space="preserve"> </w:t>
      </w:r>
      <w:r>
        <w:rPr>
          <w:rFonts w:cs="Univers-Light" w:ascii="Calibri" w:hAnsi="Calibri"/>
          <w:sz w:val="22"/>
          <w:szCs w:val="22"/>
        </w:rPr>
        <w:t xml:space="preserve">ORMONT TRANSPORT SAS </w:t>
      </w:r>
      <w:r>
        <w:rPr>
          <w:rFonts w:cs="Univers-LightOblique" w:ascii="Calibri" w:hAnsi="Calibri"/>
          <w:iCs/>
          <w:sz w:val="22"/>
          <w:szCs w:val="22"/>
        </w:rPr>
        <w:t>au capital de 38 0000€ -</w:t>
      </w:r>
      <w:r>
        <w:rPr>
          <w:rFonts w:cs="Univers-Light" w:ascii="Calibri" w:hAnsi="Calibri"/>
          <w:sz w:val="22"/>
          <w:szCs w:val="22"/>
        </w:rPr>
        <w:t xml:space="preserve"> </w:t>
      </w:r>
      <w:r>
        <w:rPr>
          <w:rFonts w:cs="Univers-LightOblique" w:ascii="Calibri" w:hAnsi="Calibri"/>
          <w:iCs/>
          <w:sz w:val="22"/>
          <w:szCs w:val="22"/>
        </w:rPr>
        <w:t xml:space="preserve">code NAF 4939 A </w:t>
      </w:r>
      <w:r>
        <w:rPr>
          <w:rFonts w:cs="Univers-Light" w:ascii="Calibri" w:hAnsi="Calibri"/>
          <w:sz w:val="22"/>
          <w:szCs w:val="22"/>
        </w:rPr>
        <w:t>dont le siège est situé 12-14 rue des Epinants  91150 ETAMPES, représentée par XXXX, en sa qualité de</w:t>
      </w:r>
      <w:r>
        <w:rPr>
          <w:rFonts w:cs="Univers-LightOblique" w:ascii="Calibri" w:hAnsi="Calibri"/>
          <w:iCs/>
          <w:sz w:val="22"/>
          <w:szCs w:val="22"/>
        </w:rPr>
        <w:t xml:space="preserve"> Directeur</w:t>
      </w:r>
      <w:r>
        <w:rPr>
          <w:rFonts w:cs="Univers-Light" w:ascii="Calibri" w:hAnsi="Calibri"/>
          <w:sz w:val="22"/>
          <w:szCs w:val="22"/>
        </w:rPr>
        <w:t xml:space="preserve"> </w:t>
      </w:r>
      <w:r>
        <w:rPr>
          <w:rFonts w:cs="Univers-LightOblique" w:ascii="Calibri" w:hAnsi="Calibri"/>
          <w:iCs/>
          <w:sz w:val="22"/>
          <w:szCs w:val="22"/>
        </w:rPr>
        <w:t>d’une part,</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cs="Univers-Light" w:ascii="Calibri" w:hAnsi="Calibri"/>
          <w:sz w:val="22"/>
          <w:szCs w:val="22"/>
        </w:rPr>
        <w:t>ET les organisations syndicales représentatives dans l’entreprise, représentées respectivement par leur délégué syndical,</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eastAsia="Calibri" w:cs="Calibri" w:ascii="Calibri" w:hAnsi="Calibri"/>
          <w:sz w:val="22"/>
          <w:szCs w:val="22"/>
        </w:rPr>
        <w:t>–</w:t>
      </w:r>
      <w:r>
        <w:rPr>
          <w:rFonts w:cs="Univers-Light" w:ascii="Calibri" w:hAnsi="Calibri"/>
          <w:sz w:val="22"/>
          <w:szCs w:val="22"/>
        </w:rPr>
        <w:t>XXX , Délégué Syndical F.O</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pPr>
      <w:r>
        <w:rPr>
          <w:rFonts w:eastAsia="Calibri" w:cs="Calibri" w:ascii="Calibri" w:hAnsi="Calibri"/>
          <w:sz w:val="22"/>
          <w:szCs w:val="22"/>
        </w:rPr>
        <w:t>–</w:t>
      </w:r>
      <w:r>
        <w:rPr>
          <w:rFonts w:cs="Univers-Light" w:ascii="Calibri" w:hAnsi="Calibri"/>
          <w:sz w:val="22"/>
          <w:szCs w:val="22"/>
        </w:rPr>
        <w:t>XXX , Délégué Syndical C.F.D.T</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pPr>
      <w:r>
        <w:rPr>
          <w:rFonts w:eastAsia="Calibri" w:cs="Calibri" w:ascii="Calibri" w:hAnsi="Calibri"/>
          <w:sz w:val="22"/>
          <w:szCs w:val="22"/>
        </w:rPr>
        <w:t xml:space="preserve">– </w:t>
      </w:r>
      <w:r>
        <w:rPr>
          <w:rFonts w:cs="Univers-Light" w:ascii="Calibri" w:hAnsi="Calibri"/>
          <w:sz w:val="22"/>
          <w:szCs w:val="22"/>
        </w:rPr>
        <w:t>XXX, Délégué Syndical C.F.T.C</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cs="Univers-Light" w:ascii="Calibri" w:hAnsi="Calibri"/>
          <w:sz w:val="22"/>
          <w:szCs w:val="22"/>
        </w:rPr>
        <w:t xml:space="preserve">Il est conclu le présent accord relatif à l’égalité professionnelle entre les hommes et les femmes et à la qualité de vie au travail en application des dispositions de l’article L. 2242-8 du Code du travail. </w:t>
      </w:r>
    </w:p>
    <w:p>
      <w:pPr>
        <w:pStyle w:val="Normal"/>
        <w:rPr>
          <w:rFonts w:ascii="Calibri" w:hAnsi="Calibri" w:cs="Tahoma"/>
          <w:b/>
          <w:b/>
          <w:bCs/>
          <w:sz w:val="22"/>
          <w:szCs w:val="22"/>
        </w:rPr>
      </w:pPr>
      <w:r>
        <w:rPr>
          <w:rFonts w:cs="Tahoma" w:ascii="Calibri" w:hAnsi="Calibri"/>
          <w:b/>
          <w:bCs/>
          <w:sz w:val="22"/>
          <w:szCs w:val="22"/>
        </w:rPr>
      </w:r>
    </w:p>
    <w:p>
      <w:pPr>
        <w:pStyle w:val="Normal"/>
        <w:rPr>
          <w:rFonts w:ascii="Calibri" w:hAnsi="Calibri" w:cs="Tahoma"/>
          <w:b/>
          <w:b/>
          <w:bCs/>
          <w:sz w:val="22"/>
          <w:szCs w:val="22"/>
        </w:rPr>
      </w:pPr>
      <w:r>
        <w:rPr>
          <w:rFonts w:cs="Tahoma" w:ascii="Calibri" w:hAnsi="Calibri"/>
          <w:b/>
          <w:bCs/>
          <w:sz w:val="22"/>
          <w:szCs w:val="22"/>
        </w:rPr>
      </w:r>
    </w:p>
    <w:p>
      <w:pPr>
        <w:pStyle w:val="Normal"/>
        <w:rPr>
          <w:rFonts w:ascii="Calibri" w:hAnsi="Calibri" w:cs="Tahoma"/>
          <w:b/>
          <w:b/>
          <w:bCs/>
          <w:sz w:val="22"/>
          <w:szCs w:val="22"/>
        </w:rPr>
      </w:pPr>
      <w:r>
        <w:rPr>
          <w:rFonts w:cs="Tahoma" w:ascii="Calibri" w:hAnsi="Calibri"/>
          <w:b/>
          <w:bCs/>
          <w:sz w:val="22"/>
          <w:szCs w:val="22"/>
        </w:rPr>
      </w:r>
    </w:p>
    <w:p>
      <w:pPr>
        <w:pStyle w:val="Normal"/>
        <w:rPr>
          <w:rFonts w:ascii="Calibri" w:hAnsi="Calibri" w:eastAsia="Arial Unicode MS" w:cs="Arial"/>
          <w:b/>
          <w:b/>
          <w:iCs/>
          <w:color w:val="008080"/>
          <w:sz w:val="22"/>
          <w:szCs w:val="22"/>
          <w:lang w:eastAsia="en-US"/>
        </w:rPr>
      </w:pPr>
      <w:r>
        <w:rPr>
          <w:rFonts w:eastAsia="Arial Unicode MS" w:cs="Arial" w:ascii="Calibri" w:hAnsi="Calibri"/>
          <w:b/>
          <w:iCs/>
          <w:color w:val="008080"/>
          <w:sz w:val="22"/>
          <w:szCs w:val="22"/>
          <w:lang w:eastAsia="en-US"/>
        </w:rPr>
        <w:t>PREAMBULE</w:t>
      </w:r>
    </w:p>
    <w:p>
      <w:pPr>
        <w:pStyle w:val="Normal"/>
        <w:autoSpaceDE w:val="false"/>
        <w:jc w:val="both"/>
        <w:rPr>
          <w:rFonts w:ascii="Calibri" w:hAnsi="Calibri" w:eastAsia="Arial Unicode MS" w:cs="Tahoma"/>
          <w:b/>
          <w:b/>
          <w:iCs/>
          <w:color w:val="008080"/>
          <w:sz w:val="22"/>
          <w:szCs w:val="22"/>
          <w:lang w:eastAsia="en-US"/>
        </w:rPr>
      </w:pPr>
      <w:r>
        <w:rPr>
          <w:rFonts w:eastAsia="Arial Unicode MS" w:cs="Tahoma" w:ascii="Calibri" w:hAnsi="Calibri"/>
          <w:b/>
          <w:iCs/>
          <w:color w:val="008080"/>
          <w:sz w:val="22"/>
          <w:szCs w:val="22"/>
          <w:lang w:eastAsia="en-US"/>
        </w:rPr>
      </w:r>
    </w:p>
    <w:p>
      <w:pPr>
        <w:pStyle w:val="Normal"/>
        <w:autoSpaceDE w:val="false"/>
        <w:jc w:val="both"/>
        <w:rPr>
          <w:rFonts w:ascii="Calibri" w:hAnsi="Calibri" w:cs="Tahoma"/>
          <w:iCs/>
          <w:sz w:val="22"/>
          <w:szCs w:val="22"/>
        </w:rPr>
      </w:pPr>
      <w:r>
        <w:rPr>
          <w:rFonts w:cs="Tahoma" w:ascii="Calibri" w:hAnsi="Calibri"/>
          <w:iCs/>
          <w:sz w:val="22"/>
          <w:szCs w:val="22"/>
        </w:rPr>
      </w:r>
    </w:p>
    <w:p>
      <w:pPr>
        <w:pStyle w:val="Normal"/>
        <w:jc w:val="both"/>
        <w:rPr/>
      </w:pPr>
      <w:r>
        <w:rPr>
          <w:rFonts w:eastAsia="Calibri" w:cs="Calibri" w:ascii="Calibri" w:hAnsi="Calibri"/>
          <w:iCs/>
          <w:sz w:val="22"/>
          <w:szCs w:val="22"/>
        </w:rPr>
        <w:t xml:space="preserve"> </w:t>
      </w:r>
      <w:r>
        <w:rPr>
          <w:rFonts w:cs="Tahoma" w:ascii="Calibri" w:hAnsi="Calibri"/>
          <w:iCs/>
          <w:sz w:val="22"/>
          <w:szCs w:val="22"/>
        </w:rPr>
        <w:t>La S.A.S par son activité et les territoires qu’elle dessert, est un des acteurs essentiels du département de l’Essonne</w:t>
      </w:r>
      <w:r>
        <w:rPr>
          <w:rFonts w:cs="Tahoma" w:ascii="Calibri" w:hAnsi="Calibri"/>
          <w:iCs/>
          <w:strike/>
          <w:sz w:val="22"/>
          <w:szCs w:val="22"/>
        </w:rPr>
        <w:t xml:space="preserve"> </w:t>
      </w:r>
    </w:p>
    <w:p>
      <w:pPr>
        <w:pStyle w:val="Normal"/>
        <w:jc w:val="both"/>
        <w:rPr>
          <w:rFonts w:ascii="Calibri" w:hAnsi="Calibri" w:cs="Tahoma"/>
          <w:iCs/>
          <w:strike/>
          <w:sz w:val="22"/>
          <w:szCs w:val="22"/>
        </w:rPr>
      </w:pPr>
      <w:r>
        <w:rPr>
          <w:rFonts w:cs="Tahoma" w:ascii="Calibri" w:hAnsi="Calibri"/>
          <w:iCs/>
          <w:strike/>
          <w:sz w:val="22"/>
          <w:szCs w:val="22"/>
        </w:rPr>
      </w:r>
    </w:p>
    <w:p>
      <w:pPr>
        <w:pStyle w:val="Normal"/>
        <w:jc w:val="both"/>
        <w:rPr/>
      </w:pPr>
      <w:r>
        <w:rPr>
          <w:rFonts w:cs="Tahoma" w:ascii="Calibri" w:hAnsi="Calibri"/>
          <w:iCs/>
          <w:sz w:val="22"/>
          <w:szCs w:val="22"/>
        </w:rPr>
        <w:t>L’entreprise marque sa volonté de respecter le principe d’égalité de traitement entre les femmes et les hommes et rappelle en premier lieu son attachement à ce principe, source de dynamisme, d’équilibre et de mixité indispensable à l’entreprise.</w:t>
      </w:r>
    </w:p>
    <w:p>
      <w:pPr>
        <w:pStyle w:val="Normal"/>
        <w:jc w:val="both"/>
        <w:rPr>
          <w:rFonts w:ascii="Calibri" w:hAnsi="Calibri" w:cs="Tahoma"/>
          <w:iCs/>
          <w:sz w:val="22"/>
          <w:szCs w:val="22"/>
        </w:rPr>
      </w:pPr>
      <w:r>
        <w:rPr>
          <w:rFonts w:cs="Tahoma" w:ascii="Calibri" w:hAnsi="Calibri"/>
          <w:iCs/>
          <w:sz w:val="22"/>
          <w:szCs w:val="22"/>
        </w:rPr>
      </w:r>
    </w:p>
    <w:p>
      <w:pPr>
        <w:pStyle w:val="Normal"/>
        <w:jc w:val="both"/>
        <w:rPr>
          <w:rFonts w:ascii="Calibri" w:hAnsi="Calibri" w:cs="Tahoma"/>
          <w:iCs/>
          <w:sz w:val="22"/>
          <w:szCs w:val="22"/>
        </w:rPr>
      </w:pPr>
      <w:r>
        <w:rPr>
          <w:rFonts w:cs="Tahoma" w:ascii="Calibri" w:hAnsi="Calibri"/>
          <w:iCs/>
          <w:sz w:val="22"/>
          <w:szCs w:val="22"/>
        </w:rPr>
      </w:r>
    </w:p>
    <w:p>
      <w:pPr>
        <w:pStyle w:val="Normal"/>
        <w:jc w:val="both"/>
        <w:rPr>
          <w:rFonts w:ascii="Calibri" w:hAnsi="Calibri" w:cs="Tahoma"/>
          <w:iCs/>
          <w:sz w:val="22"/>
          <w:szCs w:val="22"/>
        </w:rPr>
      </w:pPr>
      <w:r>
        <w:rPr>
          <w:rFonts w:cs="Tahoma" w:ascii="Calibri" w:hAnsi="Calibri"/>
          <w:iCs/>
          <w:sz w:val="22"/>
          <w:szCs w:val="22"/>
        </w:rPr>
        <w:t>D’une façon générale, l’entreprise poursuit une politique visant à promouvoir la qualité de vie au travail en développant des actions visant à préserver et à améliorer les conditions de travail. Elle s’engage à tout mettre en œuvre pour améliorer le bien-être au travail des salariés.</w:t>
      </w:r>
    </w:p>
    <w:p>
      <w:pPr>
        <w:pStyle w:val="Normal"/>
        <w:autoSpaceDE w:val="false"/>
        <w:jc w:val="both"/>
        <w:rPr>
          <w:rFonts w:ascii="Calibri" w:hAnsi="Calibri" w:cs="Tahoma"/>
          <w:iCs/>
          <w:sz w:val="22"/>
          <w:szCs w:val="22"/>
        </w:rPr>
      </w:pPr>
      <w:r>
        <w:rPr>
          <w:rFonts w:cs="Tahoma" w:ascii="Calibri" w:hAnsi="Calibri"/>
          <w:iCs/>
          <w:sz w:val="22"/>
          <w:szCs w:val="22"/>
        </w:rPr>
      </w:r>
    </w:p>
    <w:p>
      <w:pPr>
        <w:pStyle w:val="Normal"/>
        <w:autoSpaceDE w:val="false"/>
        <w:jc w:val="both"/>
        <w:rPr/>
      </w:pPr>
      <w:r>
        <w:rPr>
          <w:rFonts w:cs="Tahoma" w:ascii="Calibri" w:hAnsi="Calibri"/>
          <w:iCs/>
          <w:sz w:val="22"/>
          <w:szCs w:val="22"/>
        </w:rPr>
        <w:t>Depuis le 1</w:t>
      </w:r>
      <w:r>
        <w:rPr>
          <w:rFonts w:cs="Tahoma" w:ascii="Calibri" w:hAnsi="Calibri"/>
          <w:iCs/>
          <w:sz w:val="22"/>
          <w:szCs w:val="22"/>
          <w:vertAlign w:val="superscript"/>
        </w:rPr>
        <w:t>er</w:t>
      </w:r>
      <w:r>
        <w:rPr>
          <w:rFonts w:cs="Tahoma" w:ascii="Calibri" w:hAnsi="Calibri"/>
          <w:iCs/>
          <w:sz w:val="22"/>
          <w:szCs w:val="22"/>
        </w:rPr>
        <w:t xml:space="preserve"> janvier 2012, toutes les entreprises d’au moins 50 salariés doivent, afin d’assurer l’égalité professionnelle entre les femmes et les hommes, être couvertes, par un accord d’entreprise, ou à défaut par un plan d’action. </w:t>
      </w:r>
    </w:p>
    <w:p>
      <w:pPr>
        <w:pStyle w:val="Normal"/>
        <w:autoSpaceDE w:val="false"/>
        <w:jc w:val="both"/>
        <w:rPr>
          <w:rFonts w:ascii="Calibri" w:hAnsi="Calibri" w:cs="Tahoma"/>
          <w:iCs/>
          <w:sz w:val="22"/>
          <w:szCs w:val="22"/>
        </w:rPr>
      </w:pPr>
      <w:r>
        <w:rPr>
          <w:rFonts w:cs="Tahoma" w:ascii="Calibri" w:hAnsi="Calibri"/>
          <w:iCs/>
          <w:sz w:val="22"/>
          <w:szCs w:val="22"/>
        </w:rPr>
      </w:r>
    </w:p>
    <w:p>
      <w:pPr>
        <w:pStyle w:val="Normal"/>
        <w:autoSpaceDE w:val="false"/>
        <w:jc w:val="both"/>
        <w:rPr>
          <w:rFonts w:ascii="Calibri" w:hAnsi="Calibri" w:cs="Tahoma"/>
          <w:iCs/>
          <w:sz w:val="22"/>
          <w:szCs w:val="22"/>
        </w:rPr>
      </w:pPr>
      <w:r>
        <w:rPr>
          <w:rFonts w:cs="Tahoma" w:ascii="Calibri" w:hAnsi="Calibri"/>
          <w:iCs/>
          <w:sz w:val="22"/>
          <w:szCs w:val="22"/>
        </w:rPr>
        <w:t xml:space="preserve">La loi n°2015-994 du 17 août 2015 relative au dialogue social et à l’emploi a élargi cette obligation de négocier. Ainsi, les entreprises d’au moins 50 salariés ont l’obligation d’ouvrir une négociation relative à l’égalité professionnelle et à la qualité de vie au travail, et peuvent conclure un accord global sur ces deux thématiques. </w:t>
      </w:r>
    </w:p>
    <w:p>
      <w:pPr>
        <w:pStyle w:val="Normal"/>
        <w:autoSpaceDE w:val="false"/>
        <w:jc w:val="both"/>
        <w:rPr>
          <w:rFonts w:ascii="Calibri" w:hAnsi="Calibri" w:cs="Tahoma"/>
          <w:iCs/>
          <w:sz w:val="22"/>
          <w:szCs w:val="22"/>
        </w:rPr>
      </w:pPr>
      <w:r>
        <w:rPr>
          <w:rFonts w:cs="Tahoma" w:ascii="Calibri" w:hAnsi="Calibri"/>
          <w:iCs/>
          <w:sz w:val="22"/>
          <w:szCs w:val="22"/>
        </w:rPr>
      </w:r>
    </w:p>
    <w:p>
      <w:pPr>
        <w:pStyle w:val="Normal"/>
        <w:rPr>
          <w:rFonts w:ascii="Calibri" w:hAnsi="Calibri" w:cs="Tahoma"/>
          <w:iCs/>
          <w:sz w:val="22"/>
          <w:szCs w:val="22"/>
        </w:rPr>
      </w:pPr>
      <w:r>
        <w:rPr>
          <w:rFonts w:cs="Tahoma" w:ascii="Calibri" w:hAnsi="Calibri"/>
          <w:iCs/>
          <w:sz w:val="22"/>
          <w:szCs w:val="22"/>
        </w:rPr>
        <w:t>C'est dans ce contexte que la S.A.S  renégocie l’accord relatif à l’égalité professionnelle entre les hommes et les femmes et à la qualité de vie au travail.</w:t>
      </w:r>
    </w:p>
    <w:p>
      <w:pPr>
        <w:pStyle w:val="Normal"/>
        <w:autoSpaceDE w:val="false"/>
        <w:jc w:val="both"/>
        <w:rPr>
          <w:rFonts w:ascii="Calibri" w:hAnsi="Calibri" w:cs="Tahoma"/>
          <w:iCs/>
          <w:sz w:val="22"/>
          <w:szCs w:val="22"/>
        </w:rPr>
      </w:pPr>
      <w:r>
        <w:rPr>
          <w:rFonts w:cs="Tahoma" w:ascii="Calibri" w:hAnsi="Calibri"/>
          <w:iCs/>
          <w:sz w:val="22"/>
          <w:szCs w:val="22"/>
        </w:rPr>
      </w:r>
    </w:p>
    <w:p>
      <w:pPr>
        <w:pStyle w:val="Normal"/>
        <w:jc w:val="both"/>
        <w:rPr>
          <w:rFonts w:ascii="Calibri" w:hAnsi="Calibri" w:cs="Tahoma"/>
          <w:iCs/>
          <w:sz w:val="22"/>
          <w:szCs w:val="22"/>
        </w:rPr>
      </w:pPr>
      <w:r>
        <w:rPr>
          <w:rFonts w:cs="Tahoma" w:ascii="Calibri" w:hAnsi="Calibri"/>
          <w:iCs/>
          <w:sz w:val="22"/>
          <w:szCs w:val="22"/>
        </w:rPr>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b/>
          <w:b/>
          <w:bCs/>
          <w:color w:val="008080"/>
          <w:sz w:val="22"/>
          <w:szCs w:val="22"/>
          <w:u w:val="single"/>
        </w:rPr>
      </w:pPr>
      <w:r>
        <w:rPr>
          <w:rFonts w:cs="Tahoma" w:ascii="Calibri" w:hAnsi="Calibri"/>
          <w:b/>
          <w:bCs/>
          <w:color w:val="008080"/>
          <w:sz w:val="22"/>
          <w:szCs w:val="22"/>
          <w:u w:val="single"/>
        </w:rPr>
        <w:t>Article 1 - Champ d’application</w:t>
      </w:r>
    </w:p>
    <w:p>
      <w:pPr>
        <w:pStyle w:val="Normal"/>
        <w:ind w:left="708" w:hanging="0"/>
        <w:jc w:val="both"/>
        <w:rPr>
          <w:rFonts w:ascii="Calibri" w:hAnsi="Calibri" w:cs="Tahoma"/>
          <w:b/>
          <w:b/>
          <w:bCs/>
          <w:color w:val="008080"/>
          <w:sz w:val="22"/>
          <w:szCs w:val="22"/>
          <w:u w:val="single"/>
        </w:rPr>
      </w:pPr>
      <w:r>
        <w:rPr>
          <w:rFonts w:cs="Tahoma" w:ascii="Calibri" w:hAnsi="Calibri"/>
          <w:b/>
          <w:bCs/>
          <w:color w:val="008080"/>
          <w:sz w:val="22"/>
          <w:szCs w:val="22"/>
          <w:u w:val="single"/>
        </w:rPr>
      </w:r>
    </w:p>
    <w:p>
      <w:pPr>
        <w:pStyle w:val="Normal"/>
        <w:jc w:val="both"/>
        <w:rPr>
          <w:rFonts w:ascii="Calibri" w:hAnsi="Calibri" w:cs="Tahoma"/>
          <w:sz w:val="22"/>
          <w:szCs w:val="22"/>
        </w:rPr>
      </w:pPr>
      <w:r>
        <w:rPr>
          <w:rFonts w:cs="Tahoma" w:ascii="Calibri" w:hAnsi="Calibri"/>
          <w:sz w:val="22"/>
          <w:szCs w:val="22"/>
        </w:rPr>
        <w:t>L’ensemble du personnel de l’entreprise est concerné par cet accord.</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b/>
          <w:b/>
          <w:bCs/>
          <w:color w:val="008080"/>
          <w:sz w:val="22"/>
          <w:szCs w:val="22"/>
          <w:u w:val="single"/>
        </w:rPr>
      </w:pPr>
      <w:r>
        <w:rPr>
          <w:rFonts w:cs="Tahoma" w:ascii="Calibri" w:hAnsi="Calibri"/>
          <w:b/>
          <w:bCs/>
          <w:color w:val="008080"/>
          <w:sz w:val="22"/>
          <w:szCs w:val="22"/>
          <w:u w:val="single"/>
        </w:rPr>
        <w:t>Article 2 - Objectif</w:t>
      </w:r>
    </w:p>
    <w:p>
      <w:pPr>
        <w:pStyle w:val="Normal"/>
        <w:ind w:left="708" w:hanging="0"/>
        <w:jc w:val="both"/>
        <w:rPr>
          <w:rFonts w:ascii="Calibri" w:hAnsi="Calibri" w:cs="Tahoma"/>
          <w:b/>
          <w:b/>
          <w:bCs/>
          <w:color w:val="008080"/>
          <w:sz w:val="22"/>
          <w:szCs w:val="22"/>
          <w:u w:val="single"/>
        </w:rPr>
      </w:pPr>
      <w:r>
        <w:rPr>
          <w:rFonts w:cs="Tahoma" w:ascii="Calibri" w:hAnsi="Calibri"/>
          <w:b/>
          <w:bCs/>
          <w:color w:val="008080"/>
          <w:sz w:val="22"/>
          <w:szCs w:val="22"/>
          <w:u w:val="single"/>
        </w:rPr>
      </w:r>
    </w:p>
    <w:p>
      <w:pPr>
        <w:pStyle w:val="Normal"/>
        <w:jc w:val="both"/>
        <w:rPr>
          <w:rFonts w:ascii="Calibri" w:hAnsi="Calibri" w:cs="Tahoma"/>
          <w:sz w:val="22"/>
          <w:szCs w:val="22"/>
        </w:rPr>
      </w:pPr>
      <w:r>
        <w:rPr>
          <w:rFonts w:cs="Tahoma" w:ascii="Calibri" w:hAnsi="Calibri"/>
          <w:sz w:val="22"/>
          <w:szCs w:val="22"/>
        </w:rPr>
        <w:t>L’objet du présent accord est de favoriser l’égalité professionnelle pour tous les salariés et de promouvoir la qualité de vie au travail.</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b/>
          <w:b/>
          <w:bCs/>
          <w:color w:val="008080"/>
          <w:sz w:val="22"/>
          <w:szCs w:val="22"/>
          <w:u w:val="single"/>
        </w:rPr>
      </w:pPr>
      <w:r>
        <w:rPr>
          <w:rFonts w:cs="Tahoma" w:ascii="Calibri" w:hAnsi="Calibri"/>
          <w:b/>
          <w:bCs/>
          <w:color w:val="008080"/>
          <w:sz w:val="22"/>
          <w:szCs w:val="22"/>
          <w:u w:val="single"/>
        </w:rPr>
        <w:t>Article 3 - Actions d’accompagnement en faveur de l’égalité professionnelle entre les femmes et les hommes</w:t>
      </w:r>
    </w:p>
    <w:p>
      <w:pPr>
        <w:pStyle w:val="Normal"/>
        <w:jc w:val="both"/>
        <w:rPr>
          <w:rFonts w:ascii="Calibri" w:hAnsi="Calibri" w:cs="Tahoma"/>
          <w:b/>
          <w:b/>
          <w:bCs/>
          <w:color w:val="008080"/>
          <w:sz w:val="22"/>
          <w:szCs w:val="22"/>
          <w:u w:val="single"/>
        </w:rPr>
      </w:pPr>
      <w:r>
        <w:rPr>
          <w:rFonts w:cs="Tahoma" w:ascii="Calibri" w:hAnsi="Calibri"/>
          <w:b/>
          <w:bCs/>
          <w:color w:val="008080"/>
          <w:sz w:val="22"/>
          <w:szCs w:val="22"/>
          <w:u w:val="single"/>
        </w:rPr>
      </w:r>
    </w:p>
    <w:p>
      <w:pPr>
        <w:pStyle w:val="Normal"/>
        <w:jc w:val="both"/>
        <w:rPr/>
      </w:pPr>
      <w:r>
        <w:rPr>
          <w:rFonts w:cs="Tahoma" w:ascii="Calibri" w:hAnsi="Calibri"/>
          <w:sz w:val="22"/>
          <w:szCs w:val="22"/>
        </w:rPr>
        <w:t>Conformément aux dispositions légales en vigueur, la S.A.S</w:t>
      </w:r>
      <w:r>
        <w:rPr>
          <w:rFonts w:cs="Tahoma" w:ascii="Calibri" w:hAnsi="Calibri"/>
          <w:iCs/>
          <w:sz w:val="22"/>
          <w:szCs w:val="22"/>
        </w:rPr>
        <w:t xml:space="preserve"> </w:t>
      </w:r>
      <w:r>
        <w:rPr>
          <w:rFonts w:cs="Tahoma" w:ascii="Calibri" w:hAnsi="Calibri"/>
          <w:sz w:val="22"/>
          <w:szCs w:val="22"/>
        </w:rPr>
        <w:t xml:space="preserve">fixe par cet accord des </w:t>
      </w:r>
      <w:r>
        <w:rPr>
          <w:rFonts w:cs="Tahoma" w:ascii="Calibri" w:hAnsi="Calibri"/>
          <w:b/>
          <w:bCs/>
          <w:sz w:val="22"/>
          <w:szCs w:val="22"/>
          <w:u w:val="single"/>
        </w:rPr>
        <w:t xml:space="preserve">objectifs </w:t>
      </w:r>
      <w:r>
        <w:rPr>
          <w:rFonts w:cs="Tahoma" w:ascii="Calibri" w:hAnsi="Calibri"/>
          <w:sz w:val="22"/>
          <w:szCs w:val="22"/>
        </w:rPr>
        <w:t xml:space="preserve">de progression, des </w:t>
      </w:r>
      <w:r>
        <w:rPr>
          <w:rFonts w:cs="Tahoma" w:ascii="Calibri" w:hAnsi="Calibri"/>
          <w:b/>
          <w:bCs/>
          <w:sz w:val="22"/>
          <w:szCs w:val="22"/>
          <w:u w:val="single"/>
        </w:rPr>
        <w:t>actions</w:t>
      </w:r>
      <w:r>
        <w:rPr>
          <w:rFonts w:cs="Tahoma" w:ascii="Calibri" w:hAnsi="Calibri"/>
          <w:sz w:val="22"/>
          <w:szCs w:val="22"/>
        </w:rPr>
        <w:t xml:space="preserve"> permettant de les atteindre et des indicateurs pour les suivre dans les 4 domaines d’actions suivants :  </w:t>
      </w:r>
    </w:p>
    <w:p>
      <w:pPr>
        <w:pStyle w:val="Normal"/>
        <w:rPr>
          <w:rFonts w:ascii="Calibri" w:hAnsi="Calibri" w:cs="Tahoma"/>
          <w:sz w:val="22"/>
          <w:szCs w:val="22"/>
        </w:rPr>
      </w:pPr>
      <w:r>
        <w:rPr>
          <w:rFonts w:cs="Tahoma" w:ascii="Calibri" w:hAnsi="Calibri"/>
          <w:sz w:val="22"/>
          <w:szCs w:val="22"/>
        </w:rPr>
      </w:r>
    </w:p>
    <w:p>
      <w:pPr>
        <w:pStyle w:val="Normal"/>
        <w:numPr>
          <w:ilvl w:val="0"/>
          <w:numId w:val="10"/>
        </w:numPr>
        <w:rPr>
          <w:rFonts w:ascii="Calibri" w:hAnsi="Calibri" w:cs="Tahoma"/>
          <w:sz w:val="22"/>
          <w:szCs w:val="22"/>
        </w:rPr>
      </w:pPr>
      <w:r>
        <w:rPr>
          <w:rFonts w:cs="Tahoma" w:ascii="Calibri" w:hAnsi="Calibri"/>
          <w:sz w:val="22"/>
          <w:szCs w:val="22"/>
        </w:rPr>
        <w:t>Embauche</w:t>
      </w:r>
    </w:p>
    <w:p>
      <w:pPr>
        <w:pStyle w:val="Normal"/>
        <w:numPr>
          <w:ilvl w:val="0"/>
          <w:numId w:val="10"/>
        </w:numPr>
        <w:rPr>
          <w:rFonts w:ascii="Calibri" w:hAnsi="Calibri" w:cs="Tahoma"/>
          <w:sz w:val="22"/>
          <w:szCs w:val="22"/>
        </w:rPr>
      </w:pPr>
      <w:r>
        <w:rPr>
          <w:rFonts w:cs="Tahoma" w:ascii="Calibri" w:hAnsi="Calibri"/>
          <w:sz w:val="22"/>
          <w:szCs w:val="22"/>
        </w:rPr>
        <w:t xml:space="preserve">Formation </w:t>
      </w:r>
    </w:p>
    <w:p>
      <w:pPr>
        <w:pStyle w:val="Normal"/>
        <w:numPr>
          <w:ilvl w:val="0"/>
          <w:numId w:val="10"/>
        </w:numPr>
        <w:rPr>
          <w:rFonts w:ascii="Calibri" w:hAnsi="Calibri" w:cs="Tahoma"/>
          <w:sz w:val="22"/>
          <w:szCs w:val="22"/>
        </w:rPr>
      </w:pPr>
      <w:r>
        <w:rPr>
          <w:rFonts w:cs="Tahoma" w:ascii="Calibri" w:hAnsi="Calibri"/>
          <w:sz w:val="22"/>
          <w:szCs w:val="22"/>
        </w:rPr>
        <w:t xml:space="preserve">Conditions de travail </w:t>
      </w:r>
    </w:p>
    <w:p>
      <w:pPr>
        <w:pStyle w:val="Normal"/>
        <w:numPr>
          <w:ilvl w:val="0"/>
          <w:numId w:val="10"/>
        </w:numPr>
        <w:rPr>
          <w:rFonts w:ascii="Calibri" w:hAnsi="Calibri" w:cs="Tahoma"/>
          <w:sz w:val="22"/>
          <w:szCs w:val="22"/>
        </w:rPr>
      </w:pPr>
      <w:r>
        <w:rPr>
          <w:rFonts w:cs="Tahoma" w:ascii="Calibri" w:hAnsi="Calibri"/>
          <w:sz w:val="22"/>
          <w:szCs w:val="22"/>
        </w:rPr>
        <w:t>Rémunération effective</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b/>
          <w:b/>
          <w:bCs/>
          <w:color w:val="008080"/>
          <w:sz w:val="22"/>
          <w:szCs w:val="22"/>
          <w:u w:val="single"/>
        </w:rPr>
      </w:pPr>
      <w:r>
        <w:rPr>
          <w:rFonts w:cs="Tahoma" w:ascii="Calibri" w:hAnsi="Calibri"/>
          <w:b/>
          <w:bCs/>
          <w:color w:val="008080"/>
          <w:sz w:val="22"/>
          <w:szCs w:val="22"/>
          <w:u w:val="single"/>
        </w:rPr>
        <w:t>Article 3.1 – Les mesures en faveur de l’embauche</w:t>
      </w:r>
    </w:p>
    <w:p>
      <w:pPr>
        <w:pStyle w:val="Normal"/>
        <w:rPr>
          <w:rFonts w:ascii="Calibri" w:hAnsi="Calibri" w:cs="Tahoma"/>
          <w:b/>
          <w:b/>
          <w:bCs/>
          <w:color w:val="008080"/>
          <w:sz w:val="22"/>
          <w:szCs w:val="22"/>
          <w:u w:val="single"/>
        </w:rPr>
      </w:pPr>
      <w:r>
        <w:rPr>
          <w:rFonts w:cs="Tahoma" w:ascii="Calibri" w:hAnsi="Calibri"/>
          <w:b/>
          <w:bCs/>
          <w:color w:val="008080"/>
          <w:sz w:val="22"/>
          <w:szCs w:val="22"/>
          <w:u w:val="single"/>
        </w:rPr>
      </w:r>
    </w:p>
    <w:tbl>
      <w:tblPr>
        <w:tblW w:w="92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78"/>
        <w:gridCol w:w="8020"/>
      </w:tblGrid>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Objectif</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cs="Tahoma" w:ascii="Calibri" w:hAnsi="Calibri"/>
                <w:sz w:val="22"/>
                <w:szCs w:val="22"/>
              </w:rPr>
              <w:t xml:space="preserve">Le processus de recrutement est unique et se déroule de la même façon, dans les mêmes conditions et selon les mêmes règles, pour les femmes et pour les hommes. Les critères retenus pour le recrutement sont fondés sur les compétences, l’expérience professionnelle, la nature des diplômes détenus par le/la candidat(e). En aucun cas, ils ne sont fondés sur le sexe des personnes. </w:t>
            </w:r>
          </w:p>
          <w:p>
            <w:pPr>
              <w:pStyle w:val="Normal"/>
              <w:jc w:val="both"/>
              <w:rPr>
                <w:rFonts w:ascii="Calibri" w:hAnsi="Calibri" w:cs="Tahoma"/>
                <w:sz w:val="22"/>
                <w:szCs w:val="22"/>
              </w:rPr>
            </w:pPr>
            <w:r>
              <w:rPr>
                <w:rFonts w:cs="Tahoma" w:ascii="Calibri" w:hAnsi="Calibri"/>
                <w:sz w:val="22"/>
                <w:szCs w:val="22"/>
              </w:rPr>
              <w:t xml:space="preserve">Afin de favoriser la mixité dans ses emplois, l’entreprise souhaite recruter davantage de femmes dans les métiers aujourd’hui occupés en majorité par des hommes et inversement. </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t>Elle mettra en œuvre, pour y parvenir, les actions décrites ci-dessous.</w:t>
            </w:r>
          </w:p>
          <w:p>
            <w:pPr>
              <w:pStyle w:val="Normal"/>
              <w:jc w:val="both"/>
              <w:rPr>
                <w:rFonts w:ascii="Calibri" w:hAnsi="Calibri" w:cs="Tahoma"/>
                <w:sz w:val="22"/>
                <w:szCs w:val="22"/>
              </w:rPr>
            </w:pPr>
            <w:r>
              <w:rPr>
                <w:rFonts w:cs="Tahoma" w:ascii="Calibri" w:hAnsi="Calibri"/>
                <w:sz w:val="22"/>
                <w:szCs w:val="22"/>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Actions retenues</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sz w:val="22"/>
                <w:szCs w:val="22"/>
              </w:rPr>
            </w:pPr>
            <w:r>
              <w:rPr>
                <w:rFonts w:cs="Tahoma" w:ascii="Calibri" w:hAnsi="Calibri"/>
                <w:sz w:val="22"/>
                <w:szCs w:val="22"/>
              </w:rPr>
              <w:t>L’entreprise s’engage à :</w:t>
            </w:r>
          </w:p>
          <w:p>
            <w:pPr>
              <w:pStyle w:val="Normal"/>
              <w:numPr>
                <w:ilvl w:val="0"/>
                <w:numId w:val="9"/>
              </w:numPr>
              <w:jc w:val="both"/>
              <w:rPr>
                <w:rFonts w:ascii="Calibri" w:hAnsi="Calibri" w:cs="Tahoma"/>
                <w:sz w:val="22"/>
                <w:szCs w:val="22"/>
              </w:rPr>
            </w:pPr>
            <w:r>
              <w:rPr>
                <w:rFonts w:cs="Tahoma" w:ascii="Calibri" w:hAnsi="Calibri"/>
                <w:sz w:val="22"/>
                <w:szCs w:val="22"/>
              </w:rPr>
              <w:t xml:space="preserve">Veiller à ce que les offres d’emploi s’adressent aux candidats des 2 sexes (libellé H/F systématique) et ne véhiculent aucun stéréotype discriminatoire. </w:t>
            </w:r>
          </w:p>
          <w:p>
            <w:pPr>
              <w:pStyle w:val="Normal"/>
              <w:numPr>
                <w:ilvl w:val="0"/>
                <w:numId w:val="9"/>
              </w:numPr>
              <w:jc w:val="both"/>
              <w:rPr>
                <w:rFonts w:ascii="Calibri" w:hAnsi="Calibri" w:cs="Tahoma"/>
                <w:sz w:val="22"/>
                <w:szCs w:val="22"/>
              </w:rPr>
            </w:pPr>
            <w:r>
              <w:rPr>
                <w:rFonts w:cs="Tahoma" w:ascii="Calibri" w:hAnsi="Calibri"/>
                <w:sz w:val="22"/>
                <w:szCs w:val="22"/>
              </w:rPr>
              <w:t>La mention suivante sera systématiquement indiquée dans les annonces de recrutement :</w:t>
            </w:r>
          </w:p>
          <w:p>
            <w:pPr>
              <w:pStyle w:val="Normal"/>
              <w:ind w:left="711" w:hanging="142"/>
              <w:jc w:val="both"/>
              <w:rPr>
                <w:rFonts w:ascii="Calibri" w:hAnsi="Calibri" w:cs="Tahoma"/>
                <w:sz w:val="22"/>
                <w:szCs w:val="22"/>
              </w:rPr>
            </w:pPr>
            <w:r>
              <w:rPr>
                <w:rFonts w:cs="Tahoma" w:ascii="Calibri" w:hAnsi="Calibri"/>
                <w:sz w:val="22"/>
                <w:szCs w:val="22"/>
              </w:rPr>
              <w:t>« la politique d’embauche de la société vise à améliorer la représentation des femmes ou des hommes (en fonction du poste à pourvoir) au sein de ses effectifs »</w:t>
            </w:r>
          </w:p>
          <w:p>
            <w:pPr>
              <w:pStyle w:val="Normal"/>
              <w:numPr>
                <w:ilvl w:val="0"/>
                <w:numId w:val="9"/>
              </w:numPr>
              <w:jc w:val="both"/>
              <w:rPr>
                <w:rFonts w:ascii="Calibri" w:hAnsi="Calibri" w:cs="Tahoma"/>
                <w:sz w:val="22"/>
                <w:szCs w:val="22"/>
              </w:rPr>
            </w:pPr>
            <w:r>
              <w:rPr>
                <w:rFonts w:cs="Tahoma" w:ascii="Calibri" w:hAnsi="Calibri"/>
                <w:sz w:val="22"/>
                <w:szCs w:val="22"/>
              </w:rPr>
              <w:t>Accroître la sensibilisation et/ou la formation du personnel intervenant lors du processus de recrutement, sur les risques de discriminations directes ou indirectes lors de l’embauche</w:t>
            </w:r>
            <w:r>
              <w:rPr>
                <w:rFonts w:cs="Calibri" w:ascii="Calibri" w:hAnsi="Calibri"/>
                <w:sz w:val="24"/>
                <w:szCs w:val="22"/>
              </w:rPr>
              <w:t>.</w:t>
            </w:r>
          </w:p>
          <w:p>
            <w:pPr>
              <w:pStyle w:val="Normal"/>
              <w:numPr>
                <w:ilvl w:val="0"/>
                <w:numId w:val="9"/>
              </w:numPr>
              <w:jc w:val="both"/>
              <w:rPr>
                <w:rFonts w:ascii="Calibri" w:hAnsi="Calibri" w:cs="Tahoma"/>
                <w:sz w:val="22"/>
                <w:szCs w:val="22"/>
              </w:rPr>
            </w:pPr>
            <w:r>
              <w:rPr>
                <w:rFonts w:cs="Tahoma" w:ascii="Calibri" w:hAnsi="Calibri"/>
                <w:sz w:val="22"/>
                <w:szCs w:val="22"/>
              </w:rPr>
              <w:t>Utiliser des critères de recrutement objectifs fondés sur les compétences requises</w:t>
            </w:r>
          </w:p>
          <w:p>
            <w:pPr>
              <w:pStyle w:val="Normal"/>
              <w:ind w:left="360" w:hanging="0"/>
              <w:jc w:val="both"/>
              <w:rPr>
                <w:rFonts w:ascii="Calibri" w:hAnsi="Calibri" w:cs="Tahoma"/>
                <w:color w:val="E36C0A"/>
                <w:sz w:val="22"/>
                <w:szCs w:val="22"/>
                <w:highlight w:val="yellow"/>
              </w:rPr>
            </w:pPr>
            <w:r>
              <w:rPr>
                <w:rFonts w:cs="Tahoma" w:ascii="Calibri" w:hAnsi="Calibri"/>
                <w:color w:val="E36C0A"/>
                <w:sz w:val="22"/>
                <w:szCs w:val="22"/>
                <w:highlight w:val="yellow"/>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Indicateurs suivis</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sz w:val="22"/>
                <w:szCs w:val="22"/>
              </w:rPr>
            </w:pPr>
            <w:r>
              <w:rPr>
                <w:rFonts w:cs="Tahoma" w:ascii="Calibri" w:hAnsi="Calibri"/>
                <w:sz w:val="22"/>
                <w:szCs w:val="22"/>
              </w:rPr>
              <w:t xml:space="preserve">La réalisation des objectifs pris ci-dessus sera mesurée à l’aide des indicateurs suivants : </w:t>
            </w:r>
          </w:p>
          <w:p>
            <w:pPr>
              <w:pStyle w:val="Normal"/>
              <w:numPr>
                <w:ilvl w:val="0"/>
                <w:numId w:val="11"/>
              </w:numPr>
              <w:jc w:val="both"/>
              <w:rPr>
                <w:rFonts w:ascii="Calibri" w:hAnsi="Calibri" w:cs="Tahoma"/>
                <w:strike/>
                <w:sz w:val="22"/>
                <w:szCs w:val="22"/>
              </w:rPr>
            </w:pPr>
            <w:r>
              <w:rPr>
                <w:rFonts w:cs="Tahoma" w:ascii="Calibri" w:hAnsi="Calibri"/>
                <w:sz w:val="22"/>
                <w:szCs w:val="22"/>
              </w:rPr>
              <w:t>Nombre d’offres d’emploi analysées et validées par les RH</w:t>
            </w:r>
            <w:r>
              <w:rPr>
                <w:rFonts w:cs="Tahoma" w:ascii="Calibri" w:hAnsi="Calibri"/>
                <w:sz w:val="22"/>
                <w:szCs w:val="22"/>
                <w:vertAlign w:val="superscript"/>
              </w:rPr>
              <w:t xml:space="preserve"> </w:t>
            </w:r>
          </w:p>
          <w:p>
            <w:pPr>
              <w:pStyle w:val="Normal"/>
              <w:numPr>
                <w:ilvl w:val="0"/>
                <w:numId w:val="11"/>
              </w:numPr>
              <w:jc w:val="both"/>
              <w:rPr>
                <w:rFonts w:ascii="Calibri" w:hAnsi="Calibri" w:cs="Tahoma"/>
                <w:sz w:val="22"/>
                <w:szCs w:val="22"/>
              </w:rPr>
            </w:pPr>
            <w:r>
              <w:rPr>
                <w:rFonts w:cs="Tahoma" w:ascii="Calibri" w:hAnsi="Calibri"/>
                <w:sz w:val="22"/>
                <w:szCs w:val="22"/>
              </w:rPr>
              <w:t>Augmentation de (X) ou de (X%) de la sensibilisation et/ou la formation du personnel intervenant lors du processus de recrutement, sur les risques de discriminations directes ou indirectes lors de l’embauche.</w:t>
            </w:r>
          </w:p>
          <w:p>
            <w:pPr>
              <w:pStyle w:val="Normal"/>
              <w:numPr>
                <w:ilvl w:val="0"/>
                <w:numId w:val="11"/>
              </w:numPr>
              <w:jc w:val="both"/>
              <w:rPr>
                <w:rFonts w:ascii="Calibri" w:hAnsi="Calibri" w:cs="Tahoma"/>
                <w:sz w:val="22"/>
                <w:szCs w:val="22"/>
              </w:rPr>
            </w:pPr>
            <w:r>
              <w:rPr>
                <w:rFonts w:cs="Tahoma" w:ascii="Calibri" w:hAnsi="Calibri"/>
                <w:sz w:val="22"/>
                <w:szCs w:val="22"/>
              </w:rPr>
              <w:t xml:space="preserve">Nombre de recrutements réalisés conformément aux principes définis dans le guide de bonnes pratiques du recrutement </w:t>
            </w:r>
          </w:p>
          <w:p>
            <w:pPr>
              <w:pStyle w:val="Normal"/>
              <w:ind w:left="720" w:hanging="0"/>
              <w:jc w:val="both"/>
              <w:rPr>
                <w:rFonts w:ascii="Calibri" w:hAnsi="Calibri" w:cs="Tahoma"/>
                <w:color w:val="E36C0A"/>
                <w:sz w:val="22"/>
                <w:szCs w:val="22"/>
                <w:highlight w:val="yellow"/>
              </w:rPr>
            </w:pPr>
            <w:r>
              <w:rPr>
                <w:rFonts w:cs="Tahoma" w:ascii="Calibri" w:hAnsi="Calibri"/>
                <w:color w:val="E36C0A"/>
                <w:sz w:val="22"/>
                <w:szCs w:val="22"/>
                <w:highlight w:val="yellow"/>
              </w:rPr>
            </w:r>
          </w:p>
          <w:p>
            <w:pPr>
              <w:pStyle w:val="Normal"/>
              <w:ind w:left="360" w:hanging="0"/>
              <w:jc w:val="both"/>
              <w:rPr>
                <w:rFonts w:ascii="Calibri" w:hAnsi="Calibri" w:eastAsia="Calibri" w:cs="Univers-Light"/>
                <w:i/>
                <w:i/>
                <w:color w:val="0070C0"/>
                <w:sz w:val="22"/>
                <w:szCs w:val="22"/>
                <w:highlight w:val="yellow"/>
              </w:rPr>
            </w:pPr>
            <w:r>
              <w:rPr>
                <w:rFonts w:eastAsia="Calibri" w:cs="Univers-Light" w:ascii="Calibri" w:hAnsi="Calibri"/>
                <w:i/>
                <w:color w:val="0070C0"/>
                <w:sz w:val="22"/>
                <w:szCs w:val="22"/>
                <w:highlight w:val="yellow"/>
              </w:rPr>
            </w:r>
          </w:p>
        </w:tc>
      </w:tr>
    </w:tbl>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ind w:left="360" w:hanging="0"/>
        <w:rPr>
          <w:rFonts w:ascii="Calibri" w:hAnsi="Calibri" w:cs="Tahoma"/>
          <w:b/>
          <w:b/>
          <w:bCs/>
          <w:color w:val="008080"/>
          <w:sz w:val="22"/>
          <w:szCs w:val="22"/>
        </w:rPr>
      </w:pPr>
      <w:r>
        <w:rPr>
          <w:rFonts w:cs="Tahoma" w:ascii="Calibri" w:hAnsi="Calibri"/>
          <w:b/>
          <w:bCs/>
          <w:color w:val="008080"/>
          <w:sz w:val="22"/>
          <w:szCs w:val="22"/>
        </w:rPr>
        <w:t>Article 3.2 – Les mesures en faveur de la formation</w:t>
      </w:r>
    </w:p>
    <w:p>
      <w:pPr>
        <w:pStyle w:val="Normal"/>
        <w:rPr>
          <w:rFonts w:ascii="Calibri" w:hAnsi="Calibri" w:cs="Tahoma"/>
          <w:b/>
          <w:b/>
          <w:bCs/>
          <w:color w:val="008080"/>
          <w:sz w:val="22"/>
          <w:szCs w:val="22"/>
        </w:rPr>
      </w:pPr>
      <w:r>
        <w:rPr>
          <w:rFonts w:cs="Tahoma" w:ascii="Calibri" w:hAnsi="Calibri"/>
          <w:b/>
          <w:bCs/>
          <w:color w:val="008080"/>
          <w:sz w:val="22"/>
          <w:szCs w:val="22"/>
        </w:rPr>
      </w:r>
    </w:p>
    <w:tbl>
      <w:tblPr>
        <w:tblW w:w="92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78"/>
        <w:gridCol w:w="8020"/>
      </w:tblGrid>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Objectif</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sz w:val="22"/>
                <w:szCs w:val="22"/>
              </w:rPr>
            </w:pPr>
            <w:r>
              <w:rPr>
                <w:rFonts w:cs="Tahoma" w:ascii="Calibri" w:hAnsi="Calibri"/>
                <w:sz w:val="22"/>
                <w:szCs w:val="22"/>
              </w:rPr>
              <w:t>La formation représente un levier majeur du maintien et du développement des compétences de l’entreprise. En ce sens, elle constitue un investissement indispensable pour l’entreprise comme pour les collaborateurs et un droit ouvert à tous les salariés.</w:t>
            </w:r>
          </w:p>
          <w:p>
            <w:pPr>
              <w:pStyle w:val="Normal"/>
              <w:jc w:val="both"/>
              <w:rPr/>
            </w:pPr>
            <w:r>
              <w:rPr>
                <w:rFonts w:cs="Tahoma" w:ascii="Calibri" w:hAnsi="Calibri"/>
                <w:sz w:val="22"/>
                <w:szCs w:val="22"/>
              </w:rPr>
              <w:t>L’entreprise s’engage donc à ce que les moyens apportés pour le développement professionnel de chacun et pour l’adaptation aux évolutions de l’entreprise soient équitables dans leur répartition entre les hommes et les femmes.</w:t>
            </w:r>
          </w:p>
          <w:p>
            <w:pPr>
              <w:pStyle w:val="Normal"/>
              <w:rPr>
                <w:rFonts w:ascii="Calibri" w:hAnsi="Calibri" w:cs="Tahoma"/>
                <w:sz w:val="22"/>
                <w:szCs w:val="22"/>
              </w:rPr>
            </w:pPr>
            <w:r>
              <w:rPr>
                <w:rFonts w:cs="Tahoma" w:ascii="Calibri" w:hAnsi="Calibri"/>
                <w:sz w:val="22"/>
                <w:szCs w:val="22"/>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Action retenue</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b/>
                <w:b/>
                <w:sz w:val="22"/>
                <w:szCs w:val="22"/>
              </w:rPr>
            </w:pPr>
            <w:r>
              <w:rPr>
                <w:rFonts w:cs="Tahoma" w:ascii="Calibri" w:hAnsi="Calibri"/>
                <w:sz w:val="22"/>
                <w:szCs w:val="22"/>
              </w:rPr>
              <w:t>Pour ce faire, l’entreprise s’engage à :</w:t>
            </w:r>
          </w:p>
          <w:p>
            <w:pPr>
              <w:pStyle w:val="Normal"/>
              <w:numPr>
                <w:ilvl w:val="0"/>
                <w:numId w:val="12"/>
              </w:numPr>
              <w:jc w:val="both"/>
              <w:rPr>
                <w:rFonts w:ascii="Calibri" w:hAnsi="Calibri" w:cs="Tahoma"/>
                <w:iCs/>
                <w:sz w:val="22"/>
                <w:szCs w:val="22"/>
              </w:rPr>
            </w:pPr>
            <w:r>
              <w:rPr>
                <w:rFonts w:cs="Tahoma" w:ascii="Calibri" w:hAnsi="Calibri"/>
                <w:iCs/>
                <w:sz w:val="22"/>
                <w:szCs w:val="22"/>
              </w:rPr>
              <w:t>Proposer un entretien, dans un délai d’un mois maximum après un congé maternité, adoption ou parental et en cas d’absence de plus de 6 mois afin d’identifier d’éventuels besoins de formation et faciliter le retour du/de la salarié(e) dans l’entreprise</w:t>
            </w:r>
          </w:p>
          <w:p>
            <w:pPr>
              <w:pStyle w:val="Normal"/>
              <w:ind w:left="720" w:hanging="0"/>
              <w:jc w:val="both"/>
              <w:rPr>
                <w:rFonts w:ascii="Calibri" w:hAnsi="Calibri" w:cs="Tahoma"/>
                <w:iCs/>
                <w:sz w:val="22"/>
                <w:szCs w:val="22"/>
              </w:rPr>
            </w:pPr>
            <w:r>
              <w:rPr>
                <w:rFonts w:cs="Tahoma" w:ascii="Calibri" w:hAnsi="Calibri"/>
                <w:iCs/>
                <w:sz w:val="22"/>
                <w:szCs w:val="22"/>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Indicateur suivi</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b/>
                <w:b/>
                <w:sz w:val="22"/>
                <w:szCs w:val="22"/>
              </w:rPr>
            </w:pPr>
            <w:r>
              <w:rPr>
                <w:rFonts w:cs="Tahoma" w:ascii="Calibri" w:hAnsi="Calibri"/>
                <w:sz w:val="22"/>
                <w:szCs w:val="22"/>
              </w:rPr>
              <w:t xml:space="preserve">La réalisation de l’objectif prit ci-dessus sera mesurée à l’aide de l’indicateur suivant : </w:t>
            </w:r>
          </w:p>
          <w:p>
            <w:pPr>
              <w:pStyle w:val="Normal"/>
              <w:numPr>
                <w:ilvl w:val="0"/>
                <w:numId w:val="6"/>
              </w:numPr>
              <w:jc w:val="both"/>
              <w:rPr/>
            </w:pPr>
            <w:r>
              <w:rPr>
                <w:rFonts w:cs="Tahoma" w:ascii="Calibri" w:hAnsi="Calibri"/>
                <w:sz w:val="22"/>
                <w:szCs w:val="22"/>
              </w:rPr>
              <w:t>Réalisation à 100% des entretiens sollicités par les salariés concernés,</w:t>
            </w:r>
            <w:r>
              <w:rPr>
                <w:rFonts w:cs="Tahoma" w:ascii="Calibri" w:hAnsi="Calibri"/>
                <w:b/>
                <w:sz w:val="22"/>
                <w:szCs w:val="22"/>
              </w:rPr>
              <w:t xml:space="preserve"> </w:t>
            </w:r>
            <w:r>
              <w:rPr>
                <w:rFonts w:cs="Tahoma" w:ascii="Calibri" w:hAnsi="Calibri"/>
                <w:sz w:val="22"/>
                <w:szCs w:val="22"/>
              </w:rPr>
              <w:t xml:space="preserve">après un congé maternité, adoption ou parental </w:t>
            </w:r>
            <w:r>
              <w:rPr>
                <w:rFonts w:cs="Tahoma" w:ascii="Calibri" w:hAnsi="Calibri"/>
                <w:iCs/>
                <w:sz w:val="22"/>
                <w:szCs w:val="22"/>
              </w:rPr>
              <w:t xml:space="preserve">et en cas d’absence de plus de 6 mois </w:t>
            </w:r>
            <w:r>
              <w:rPr>
                <w:rFonts w:cs="Tahoma" w:ascii="Calibri" w:hAnsi="Calibri"/>
                <w:sz w:val="22"/>
                <w:szCs w:val="22"/>
              </w:rPr>
              <w:t>afin</w:t>
            </w:r>
            <w:r>
              <w:rPr>
                <w:rFonts w:cs="Tahoma" w:ascii="Calibri" w:hAnsi="Calibri"/>
                <w:iCs/>
                <w:sz w:val="22"/>
                <w:szCs w:val="22"/>
              </w:rPr>
              <w:t xml:space="preserve"> de faciliter le retour du/de la salarié(e) dans l’entreprise</w:t>
            </w:r>
          </w:p>
          <w:p>
            <w:pPr>
              <w:pStyle w:val="Normal"/>
              <w:jc w:val="both"/>
              <w:rPr>
                <w:rFonts w:ascii="Calibri" w:hAnsi="Calibri" w:cs="Tahoma"/>
                <w:iCs/>
                <w:sz w:val="22"/>
                <w:szCs w:val="22"/>
              </w:rPr>
            </w:pPr>
            <w:r>
              <w:rPr>
                <w:rFonts w:cs="Tahoma" w:ascii="Calibri" w:hAnsi="Calibri"/>
                <w:iCs/>
                <w:sz w:val="22"/>
                <w:szCs w:val="22"/>
              </w:rPr>
            </w:r>
          </w:p>
          <w:p>
            <w:pPr>
              <w:pStyle w:val="Normal"/>
              <w:ind w:left="720" w:hanging="0"/>
              <w:jc w:val="both"/>
              <w:rPr>
                <w:rFonts w:ascii="Calibri" w:hAnsi="Calibri" w:cs="Tahoma"/>
                <w:sz w:val="22"/>
                <w:szCs w:val="22"/>
              </w:rPr>
            </w:pPr>
            <w:r>
              <w:rPr>
                <w:rFonts w:cs="Tahoma" w:ascii="Calibri" w:hAnsi="Calibri"/>
                <w:sz w:val="22"/>
                <w:szCs w:val="22"/>
              </w:rPr>
            </w:r>
          </w:p>
        </w:tc>
      </w:tr>
    </w:tbl>
    <w:p>
      <w:pPr>
        <w:pStyle w:val="Normal"/>
        <w:rPr>
          <w:rFonts w:ascii="Calibri" w:hAnsi="Calibri" w:cs="Tahoma"/>
          <w:b/>
          <w:b/>
          <w:bCs/>
          <w:sz w:val="22"/>
          <w:szCs w:val="22"/>
        </w:rPr>
      </w:pPr>
      <w:r>
        <w:rPr>
          <w:rFonts w:cs="Tahoma" w:ascii="Calibri" w:hAnsi="Calibri"/>
          <w:b/>
          <w:bCs/>
          <w:sz w:val="22"/>
          <w:szCs w:val="22"/>
        </w:rPr>
      </w:r>
    </w:p>
    <w:p>
      <w:pPr>
        <w:pStyle w:val="Normal"/>
        <w:rPr>
          <w:rFonts w:ascii="Calibri" w:hAnsi="Calibri" w:cs="Tahoma"/>
          <w:b/>
          <w:b/>
          <w:bCs/>
          <w:sz w:val="22"/>
          <w:szCs w:val="22"/>
        </w:rPr>
      </w:pPr>
      <w:r>
        <w:rPr>
          <w:rFonts w:cs="Tahoma" w:ascii="Calibri" w:hAnsi="Calibri"/>
          <w:b/>
          <w:bCs/>
          <w:sz w:val="22"/>
          <w:szCs w:val="22"/>
        </w:rPr>
      </w:r>
    </w:p>
    <w:p>
      <w:pPr>
        <w:pStyle w:val="Normal"/>
        <w:ind w:left="360" w:hanging="0"/>
        <w:rPr>
          <w:rFonts w:ascii="Calibri" w:hAnsi="Calibri" w:cs="Tahoma"/>
          <w:b/>
          <w:b/>
          <w:bCs/>
          <w:color w:val="008080"/>
          <w:sz w:val="22"/>
          <w:szCs w:val="22"/>
        </w:rPr>
      </w:pPr>
      <w:r>
        <w:rPr>
          <w:rFonts w:cs="Tahoma" w:ascii="Calibri" w:hAnsi="Calibri"/>
          <w:b/>
          <w:bCs/>
          <w:color w:val="008080"/>
          <w:sz w:val="22"/>
          <w:szCs w:val="22"/>
        </w:rPr>
      </w:r>
    </w:p>
    <w:p>
      <w:pPr>
        <w:pStyle w:val="Normal"/>
        <w:ind w:left="360" w:hanging="0"/>
        <w:rPr>
          <w:rFonts w:ascii="Calibri" w:hAnsi="Calibri" w:cs="Tahoma"/>
          <w:b/>
          <w:b/>
          <w:bCs/>
          <w:color w:val="008080"/>
          <w:sz w:val="22"/>
          <w:szCs w:val="22"/>
        </w:rPr>
      </w:pPr>
      <w:r>
        <w:rPr>
          <w:rFonts w:cs="Tahoma" w:ascii="Calibri" w:hAnsi="Calibri"/>
          <w:b/>
          <w:bCs/>
          <w:color w:val="008080"/>
          <w:sz w:val="22"/>
          <w:szCs w:val="22"/>
        </w:rPr>
        <w:t>Article 3.3 – Les mesures en faveur de la promotion professionnelle</w:t>
      </w:r>
    </w:p>
    <w:p>
      <w:pPr>
        <w:pStyle w:val="Normal"/>
        <w:rPr>
          <w:rFonts w:ascii="Calibri" w:hAnsi="Calibri" w:cs="Tahoma"/>
          <w:b/>
          <w:b/>
          <w:bCs/>
          <w:color w:val="008080"/>
          <w:sz w:val="22"/>
          <w:szCs w:val="22"/>
        </w:rPr>
      </w:pPr>
      <w:r>
        <w:rPr>
          <w:rFonts w:cs="Tahoma" w:ascii="Calibri" w:hAnsi="Calibri"/>
          <w:b/>
          <w:bCs/>
          <w:color w:val="008080"/>
          <w:sz w:val="22"/>
          <w:szCs w:val="22"/>
        </w:rPr>
      </w:r>
    </w:p>
    <w:tbl>
      <w:tblPr>
        <w:tblW w:w="92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78"/>
        <w:gridCol w:w="8020"/>
      </w:tblGrid>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Objectif</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sz w:val="22"/>
                <w:szCs w:val="22"/>
              </w:rPr>
            </w:pPr>
            <w:r>
              <w:rPr>
                <w:rFonts w:cs="Tahoma" w:ascii="Calibri" w:hAnsi="Calibri"/>
                <w:sz w:val="22"/>
                <w:szCs w:val="22"/>
              </w:rPr>
              <w:t xml:space="preserve">L’entreprise réaffirme le principe de l’égalité des chances entre les hommes et les femmes en matière d’évolution professionnelle. Ce principe consiste à appliquer un système d’évolution professionnelle sur la base de critères identiques pour les hommes et les femmes. </w:t>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Actions retenues</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sz w:val="22"/>
                <w:szCs w:val="22"/>
              </w:rPr>
            </w:pPr>
            <w:r>
              <w:rPr>
                <w:rFonts w:cs="Tahoma" w:ascii="Calibri" w:hAnsi="Calibri"/>
                <w:sz w:val="22"/>
                <w:szCs w:val="22"/>
              </w:rPr>
              <w:t>Pour ce faire, l’entreprise s’engage à :</w:t>
            </w:r>
          </w:p>
          <w:p>
            <w:pPr>
              <w:pStyle w:val="Normal"/>
              <w:numPr>
                <w:ilvl w:val="0"/>
                <w:numId w:val="2"/>
              </w:numPr>
              <w:jc w:val="both"/>
              <w:rPr>
                <w:rFonts w:ascii="Calibri" w:hAnsi="Calibri" w:cs="Tahoma"/>
                <w:sz w:val="22"/>
                <w:szCs w:val="22"/>
              </w:rPr>
            </w:pPr>
            <w:r>
              <w:rPr>
                <w:rFonts w:cs="Tahoma" w:ascii="Calibri" w:hAnsi="Calibri"/>
                <w:sz w:val="22"/>
                <w:szCs w:val="22"/>
              </w:rPr>
              <w:t>Veiller à diffuser des offres d’emploi en interne pour permettre un accès à l’information à tous.</w:t>
            </w:r>
          </w:p>
          <w:p>
            <w:pPr>
              <w:pStyle w:val="Normal"/>
              <w:numPr>
                <w:ilvl w:val="0"/>
                <w:numId w:val="2"/>
              </w:numPr>
              <w:jc w:val="both"/>
              <w:rPr>
                <w:rFonts w:ascii="Calibri" w:hAnsi="Calibri" w:cs="Tahoma"/>
                <w:sz w:val="22"/>
                <w:szCs w:val="22"/>
              </w:rPr>
            </w:pPr>
            <w:r>
              <w:rPr>
                <w:rFonts w:cs="Tahoma" w:ascii="Calibri" w:hAnsi="Calibri"/>
                <w:sz w:val="22"/>
                <w:szCs w:val="22"/>
              </w:rPr>
              <w:t>Lors de la diffusion d’offre d’emploi en interne, veiller à ne pas sexuer l’offre et respecter les mêmes exigences que lors du recrutement externe.</w:t>
            </w:r>
          </w:p>
          <w:p>
            <w:pPr>
              <w:pStyle w:val="Normal"/>
              <w:numPr>
                <w:ilvl w:val="0"/>
                <w:numId w:val="2"/>
              </w:numPr>
              <w:jc w:val="both"/>
              <w:rPr>
                <w:rFonts w:ascii="Calibri" w:hAnsi="Calibri" w:cs="Tahoma"/>
                <w:sz w:val="22"/>
                <w:szCs w:val="22"/>
              </w:rPr>
            </w:pPr>
            <w:r>
              <w:rPr>
                <w:rFonts w:cs="Tahoma" w:ascii="Calibri" w:hAnsi="Calibri"/>
                <w:sz w:val="22"/>
                <w:szCs w:val="22"/>
              </w:rPr>
              <w:t>Sélectionner les candidatures internes en fonction des seules compétences techniques et personnelles en respectant les mêmes principes que lors du recrutement externe.</w:t>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Indicateurs suivis</w:t>
            </w:r>
          </w:p>
        </w:tc>
        <w:tc>
          <w:tcPr>
            <w:tcW w:w="8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b/>
                <w:b/>
                <w:sz w:val="22"/>
                <w:szCs w:val="22"/>
              </w:rPr>
            </w:pPr>
            <w:r>
              <w:rPr>
                <w:rFonts w:cs="Tahoma" w:ascii="Calibri" w:hAnsi="Calibri"/>
                <w:sz w:val="22"/>
                <w:szCs w:val="22"/>
              </w:rPr>
              <w:t>La réalisation des objectifs pris ci-dessus sera mesurée à l’aide des indicateurs suivants :</w:t>
            </w:r>
          </w:p>
          <w:p>
            <w:pPr>
              <w:pStyle w:val="Normal"/>
              <w:numPr>
                <w:ilvl w:val="0"/>
                <w:numId w:val="4"/>
              </w:numPr>
              <w:jc w:val="both"/>
              <w:rPr>
                <w:rFonts w:ascii="Calibri" w:hAnsi="Calibri" w:cs="Tahoma"/>
                <w:sz w:val="22"/>
                <w:szCs w:val="22"/>
              </w:rPr>
            </w:pPr>
            <w:r>
              <w:rPr>
                <w:rFonts w:cs="Tahoma" w:ascii="Calibri" w:hAnsi="Calibri"/>
                <w:sz w:val="22"/>
                <w:szCs w:val="22"/>
              </w:rPr>
              <w:t xml:space="preserve">Nombre d’offres publiées. </w:t>
            </w:r>
          </w:p>
          <w:p>
            <w:pPr>
              <w:pStyle w:val="Normal"/>
              <w:numPr>
                <w:ilvl w:val="0"/>
                <w:numId w:val="4"/>
              </w:numPr>
              <w:jc w:val="both"/>
              <w:rPr>
                <w:rFonts w:ascii="Calibri" w:hAnsi="Calibri" w:cs="Tahoma"/>
                <w:sz w:val="22"/>
                <w:szCs w:val="22"/>
              </w:rPr>
            </w:pPr>
            <w:r>
              <w:rPr>
                <w:rFonts w:cs="Tahoma" w:ascii="Calibri" w:hAnsi="Calibri"/>
                <w:sz w:val="22"/>
                <w:szCs w:val="22"/>
              </w:rPr>
              <w:t>Nombre d’offres sexuées/ nombre d’offres publiées.</w:t>
            </w:r>
          </w:p>
          <w:p>
            <w:pPr>
              <w:pStyle w:val="Normal"/>
              <w:numPr>
                <w:ilvl w:val="0"/>
                <w:numId w:val="4"/>
              </w:numPr>
              <w:jc w:val="both"/>
              <w:rPr>
                <w:rFonts w:ascii="Calibri" w:hAnsi="Calibri" w:cs="Tahoma"/>
                <w:sz w:val="22"/>
                <w:szCs w:val="22"/>
              </w:rPr>
            </w:pPr>
            <w:r>
              <w:rPr>
                <w:rFonts w:cs="Tahoma" w:ascii="Calibri" w:hAnsi="Calibri"/>
                <w:sz w:val="22"/>
                <w:szCs w:val="22"/>
              </w:rPr>
              <w:t>Nombre de femmes candidates / nombre de candidatures</w:t>
            </w:r>
          </w:p>
          <w:p>
            <w:pPr>
              <w:pStyle w:val="Normal"/>
              <w:ind w:left="720" w:hanging="0"/>
              <w:jc w:val="both"/>
              <w:rPr>
                <w:rFonts w:ascii="Calibri" w:hAnsi="Calibri" w:cs="Tahoma"/>
                <w:sz w:val="22"/>
                <w:szCs w:val="22"/>
              </w:rPr>
            </w:pPr>
            <w:r>
              <w:rPr>
                <w:rFonts w:cs="Tahoma" w:ascii="Calibri" w:hAnsi="Calibri"/>
                <w:sz w:val="22"/>
                <w:szCs w:val="22"/>
              </w:rPr>
            </w:r>
          </w:p>
        </w:tc>
      </w:tr>
    </w:tbl>
    <w:p>
      <w:pPr>
        <w:pStyle w:val="Normal"/>
        <w:rPr>
          <w:rFonts w:ascii="Calibri" w:hAnsi="Calibri" w:cs="Tahoma"/>
          <w:b/>
          <w:b/>
          <w:bCs/>
          <w:sz w:val="22"/>
          <w:szCs w:val="22"/>
        </w:rPr>
      </w:pPr>
      <w:r>
        <w:rPr>
          <w:rFonts w:cs="Tahoma" w:ascii="Calibri" w:hAnsi="Calibri"/>
          <w:b/>
          <w:bCs/>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ind w:left="360" w:hanging="0"/>
        <w:rPr>
          <w:rFonts w:ascii="Calibri" w:hAnsi="Calibri" w:cs="Tahoma"/>
          <w:b/>
          <w:b/>
          <w:bCs/>
          <w:color w:val="008080"/>
          <w:sz w:val="22"/>
          <w:szCs w:val="22"/>
        </w:rPr>
      </w:pPr>
      <w:r>
        <w:rPr>
          <w:rFonts w:cs="Tahoma" w:ascii="Calibri" w:hAnsi="Calibri"/>
          <w:b/>
          <w:bCs/>
          <w:color w:val="008080"/>
          <w:sz w:val="22"/>
          <w:szCs w:val="22"/>
        </w:rPr>
        <w:t>Article 3.4 – Les mesures en faveur de la classification</w:t>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jc w:val="both"/>
        <w:rPr>
          <w:rFonts w:ascii="Calibri" w:hAnsi="Calibri" w:cs="Tahoma"/>
          <w:sz w:val="22"/>
          <w:szCs w:val="22"/>
        </w:rPr>
      </w:pPr>
      <w:r>
        <w:rPr>
          <w:rFonts w:cs="Tahoma" w:ascii="Calibri" w:hAnsi="Calibri"/>
          <w:sz w:val="22"/>
          <w:szCs w:val="22"/>
        </w:rPr>
        <w:t xml:space="preserve">L’entreprise réaffirme le principe de l’égalité des chances entre les hommes et les femmes dans le cadre de la classification des postes en entreprise. </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t>Ce principe, qui consiste à veiller à la cohérence des classifications entre les hommes et les femmes en fonction des postes occupés, est d’ores et déjà respecté au sein de la filiale et ce, compte tenu de l’application stricte de la grille de classification conventionnelle.</w:t>
      </w:r>
    </w:p>
    <w:p>
      <w:pPr>
        <w:pStyle w:val="Normal"/>
        <w:rPr>
          <w:rFonts w:ascii="Calibri" w:hAnsi="Calibri" w:cs="Tahoma"/>
          <w:b/>
          <w:b/>
          <w:bCs/>
          <w:sz w:val="22"/>
          <w:szCs w:val="22"/>
        </w:rPr>
      </w:pPr>
      <w:r>
        <w:rPr>
          <w:rFonts w:cs="Tahoma" w:ascii="Calibri" w:hAnsi="Calibri"/>
          <w:b/>
          <w:bCs/>
          <w:sz w:val="22"/>
          <w:szCs w:val="22"/>
        </w:rPr>
      </w:r>
    </w:p>
    <w:p>
      <w:pPr>
        <w:pStyle w:val="Normal"/>
        <w:rPr>
          <w:rFonts w:ascii="Calibri" w:hAnsi="Calibri" w:cs="Tahoma"/>
          <w:b/>
          <w:b/>
          <w:bCs/>
          <w:sz w:val="22"/>
          <w:szCs w:val="22"/>
        </w:rPr>
      </w:pPr>
      <w:r>
        <w:rPr>
          <w:rFonts w:cs="Tahoma" w:ascii="Calibri" w:hAnsi="Calibri"/>
          <w:b/>
          <w:bCs/>
          <w:sz w:val="22"/>
          <w:szCs w:val="22"/>
        </w:rPr>
      </w:r>
    </w:p>
    <w:p>
      <w:pPr>
        <w:pStyle w:val="Normal"/>
        <w:rPr>
          <w:rFonts w:ascii="Calibri" w:hAnsi="Calibri" w:cs="Tahoma"/>
          <w:b/>
          <w:b/>
          <w:bCs/>
          <w:sz w:val="22"/>
          <w:szCs w:val="22"/>
        </w:rPr>
      </w:pPr>
      <w:r>
        <w:rPr>
          <w:rFonts w:cs="Tahoma" w:ascii="Calibri" w:hAnsi="Calibri"/>
          <w:b/>
          <w:bCs/>
          <w:sz w:val="22"/>
          <w:szCs w:val="22"/>
        </w:rPr>
      </w:r>
    </w:p>
    <w:p>
      <w:pPr>
        <w:pStyle w:val="Normal"/>
        <w:ind w:left="360" w:hanging="0"/>
        <w:rPr>
          <w:rFonts w:ascii="Calibri" w:hAnsi="Calibri" w:cs="Tahoma"/>
          <w:b/>
          <w:b/>
          <w:bCs/>
          <w:color w:val="008080"/>
          <w:sz w:val="22"/>
          <w:szCs w:val="22"/>
        </w:rPr>
      </w:pPr>
      <w:r>
        <w:rPr>
          <w:rFonts w:cs="Tahoma" w:ascii="Calibri" w:hAnsi="Calibri"/>
          <w:b/>
          <w:bCs/>
          <w:color w:val="008080"/>
          <w:sz w:val="22"/>
          <w:szCs w:val="22"/>
        </w:rPr>
        <w:t>Article 3.5 – Les mesures en faveur de l’amélioration des conditions de travail</w:t>
      </w:r>
    </w:p>
    <w:p>
      <w:pPr>
        <w:pStyle w:val="Normal"/>
        <w:rPr>
          <w:rFonts w:ascii="Calibri" w:hAnsi="Calibri" w:cs="Tahoma"/>
          <w:b/>
          <w:b/>
          <w:bCs/>
          <w:color w:val="008080"/>
          <w:sz w:val="22"/>
          <w:szCs w:val="22"/>
        </w:rPr>
      </w:pPr>
      <w:r>
        <w:rPr>
          <w:rFonts w:cs="Tahoma" w:ascii="Calibri" w:hAnsi="Calibri"/>
          <w:b/>
          <w:bCs/>
          <w:color w:val="008080"/>
          <w:sz w:val="22"/>
          <w:szCs w:val="22"/>
        </w:rPr>
      </w:r>
    </w:p>
    <w:tbl>
      <w:tblPr>
        <w:tblW w:w="942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37"/>
        <w:gridCol w:w="8192"/>
      </w:tblGrid>
      <w:tr>
        <w:trPr/>
        <w:tc>
          <w:tcPr>
            <w:tcW w:w="1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Objectif</w:t>
            </w:r>
          </w:p>
        </w:tc>
        <w:tc>
          <w:tcPr>
            <w:tcW w:w="8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sz w:val="22"/>
                <w:szCs w:val="22"/>
              </w:rPr>
            </w:pPr>
            <w:r>
              <w:rPr>
                <w:rFonts w:cs="Tahoma" w:ascii="Calibri" w:hAnsi="Calibri"/>
                <w:sz w:val="22"/>
                <w:szCs w:val="22"/>
              </w:rPr>
              <w:t xml:space="preserve">L’entreprise souhaite poursuivre ses actions afin de parfaire les conditions de travail de l’ensemble des salariés. </w:t>
            </w:r>
          </w:p>
          <w:p>
            <w:pPr>
              <w:pStyle w:val="Normal"/>
              <w:jc w:val="both"/>
              <w:rPr/>
            </w:pPr>
            <w:r>
              <w:rPr>
                <w:rFonts w:cs="Tahoma" w:ascii="Calibri" w:hAnsi="Calibri"/>
                <w:sz w:val="22"/>
                <w:szCs w:val="22"/>
              </w:rPr>
              <w:t>Elle est particulièrement attentive à l’amélioration de l’ergonomie des postes de travail afin d’assurer aux salariés des conditions professionnelles correctes.</w:t>
            </w:r>
          </w:p>
          <w:p>
            <w:pPr>
              <w:pStyle w:val="Normal"/>
              <w:jc w:val="both"/>
              <w:rPr>
                <w:rFonts w:ascii="Calibri" w:hAnsi="Calibri" w:cs="Tahoma"/>
                <w:sz w:val="22"/>
                <w:szCs w:val="22"/>
              </w:rPr>
            </w:pPr>
            <w:r>
              <w:rPr>
                <w:rFonts w:cs="Tahoma" w:ascii="Calibri" w:hAnsi="Calibri"/>
                <w:sz w:val="22"/>
                <w:szCs w:val="22"/>
              </w:rPr>
            </w:r>
          </w:p>
        </w:tc>
      </w:tr>
      <w:tr>
        <w:trPr/>
        <w:tc>
          <w:tcPr>
            <w:tcW w:w="1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Actions retenues</w:t>
            </w:r>
          </w:p>
        </w:tc>
        <w:tc>
          <w:tcPr>
            <w:tcW w:w="8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sz w:val="22"/>
                <w:szCs w:val="22"/>
              </w:rPr>
            </w:pPr>
            <w:r>
              <w:rPr>
                <w:rFonts w:cs="Tahoma" w:ascii="Calibri" w:hAnsi="Calibri"/>
                <w:sz w:val="22"/>
                <w:szCs w:val="22"/>
              </w:rPr>
              <w:t>Pour ce faire, l’entreprise s’engage à :</w:t>
            </w:r>
          </w:p>
          <w:p>
            <w:pPr>
              <w:pStyle w:val="Normal"/>
              <w:ind w:left="720" w:hanging="0"/>
              <w:jc w:val="both"/>
              <w:rPr>
                <w:rFonts w:ascii="Calibri" w:hAnsi="Calibri" w:cs="Tahoma"/>
                <w:sz w:val="22"/>
                <w:szCs w:val="22"/>
              </w:rPr>
            </w:pPr>
            <w:r>
              <w:rPr>
                <w:rFonts w:cs="Tahoma" w:ascii="Calibri" w:hAnsi="Calibri"/>
                <w:sz w:val="22"/>
                <w:szCs w:val="22"/>
              </w:rPr>
              <w:t>1. Informer de la possibilité de solliciter une visite médicale auprès du service de santé au travail pour chaque salariée ayant déclaré sa grossesse.</w:t>
            </w:r>
          </w:p>
          <w:p>
            <w:pPr>
              <w:pStyle w:val="Normal"/>
              <w:ind w:left="720" w:hanging="0"/>
              <w:jc w:val="both"/>
              <w:rPr>
                <w:rFonts w:ascii="Calibri" w:hAnsi="Calibri" w:cs="Tahoma"/>
                <w:sz w:val="22"/>
                <w:szCs w:val="22"/>
              </w:rPr>
            </w:pPr>
            <w:r>
              <w:rPr>
                <w:rFonts w:cs="Tahoma" w:ascii="Calibri" w:hAnsi="Calibri"/>
                <w:sz w:val="22"/>
                <w:szCs w:val="22"/>
              </w:rPr>
              <w:t xml:space="preserve">2. Assurer aux hommes et aux femmes les mêmes conditions de travail, l’accès au même type de poste, aux temps partiels comme aux temps complets.  </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r>
          </w:p>
        </w:tc>
      </w:tr>
      <w:tr>
        <w:trPr/>
        <w:tc>
          <w:tcPr>
            <w:tcW w:w="1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Indicateurs suivis</w:t>
            </w:r>
          </w:p>
        </w:tc>
        <w:tc>
          <w:tcPr>
            <w:tcW w:w="8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b/>
                <w:b/>
                <w:sz w:val="22"/>
                <w:szCs w:val="22"/>
              </w:rPr>
            </w:pPr>
            <w:r>
              <w:rPr>
                <w:rFonts w:cs="Tahoma" w:ascii="Calibri" w:hAnsi="Calibri"/>
                <w:sz w:val="22"/>
                <w:szCs w:val="22"/>
              </w:rPr>
              <w:t>La réalisation des objectifs pris ci-dessus sera mesurée à l’aide des indicateurs suivis suivants :</w:t>
            </w:r>
          </w:p>
          <w:p>
            <w:pPr>
              <w:pStyle w:val="Normal"/>
              <w:ind w:left="720" w:hanging="0"/>
              <w:jc w:val="both"/>
              <w:rPr/>
            </w:pPr>
            <w:r>
              <w:rPr>
                <w:rFonts w:cs="Tahoma" w:ascii="Calibri" w:hAnsi="Calibri"/>
                <w:sz w:val="22"/>
                <w:szCs w:val="22"/>
              </w:rPr>
              <w:t>1. 100% des visites médicales sollicitées dans le cadre d’une grossesse par les salariées font l’objet d’une demande auprès du service de santé au travail.</w:t>
            </w:r>
          </w:p>
          <w:p>
            <w:pPr>
              <w:pStyle w:val="Normal"/>
              <w:ind w:left="720" w:hanging="0"/>
              <w:jc w:val="both"/>
              <w:rPr>
                <w:rFonts w:ascii="Calibri" w:hAnsi="Calibri" w:cs="Tahoma"/>
                <w:sz w:val="22"/>
                <w:szCs w:val="22"/>
              </w:rPr>
            </w:pPr>
            <w:r>
              <w:rPr>
                <w:rFonts w:cs="Tahoma" w:ascii="Calibri" w:hAnsi="Calibri"/>
                <w:sz w:val="22"/>
                <w:szCs w:val="22"/>
              </w:rPr>
              <w:t>2. Nb de demandes temps partiels et temps complets/ nb de demandes accordées</w:t>
            </w:r>
          </w:p>
          <w:p>
            <w:pPr>
              <w:pStyle w:val="Normal"/>
              <w:jc w:val="both"/>
              <w:rPr>
                <w:rFonts w:ascii="Calibri" w:hAnsi="Calibri" w:cs="Tahoma"/>
                <w:sz w:val="22"/>
                <w:szCs w:val="22"/>
              </w:rPr>
            </w:pPr>
            <w:r>
              <w:rPr>
                <w:rFonts w:cs="Tahoma" w:ascii="Calibri" w:hAnsi="Calibri"/>
                <w:sz w:val="22"/>
                <w:szCs w:val="22"/>
              </w:rPr>
            </w:r>
          </w:p>
        </w:tc>
      </w:tr>
    </w:tbl>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ind w:firstLine="708"/>
        <w:rPr>
          <w:rFonts w:ascii="Calibri" w:hAnsi="Calibri" w:cs="Tahoma"/>
          <w:b/>
          <w:b/>
          <w:bCs/>
          <w:color w:val="008080"/>
          <w:sz w:val="22"/>
          <w:szCs w:val="22"/>
        </w:rPr>
      </w:pPr>
      <w:r>
        <w:rPr>
          <w:rFonts w:cs="Tahoma" w:ascii="Calibri" w:hAnsi="Calibri"/>
          <w:b/>
          <w:bCs/>
          <w:color w:val="008080"/>
          <w:sz w:val="22"/>
          <w:szCs w:val="22"/>
        </w:rPr>
        <w:t>Article 3.6 – Les mesures relatives à la rémunération effective</w:t>
      </w:r>
    </w:p>
    <w:p>
      <w:pPr>
        <w:pStyle w:val="Normal"/>
        <w:jc w:val="both"/>
        <w:rPr>
          <w:rFonts w:eastAsia="Calibri" w:cs="Tahoma"/>
        </w:rPr>
      </w:pPr>
      <w:r>
        <w:rPr>
          <w:rFonts w:eastAsia="Calibri" w:cs="Tahoma"/>
        </w:rPr>
        <w:t xml:space="preserve"> </w:t>
      </w:r>
    </w:p>
    <w:tbl>
      <w:tblPr>
        <w:tblW w:w="942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37"/>
        <w:gridCol w:w="8192"/>
      </w:tblGrid>
      <w:tr>
        <w:trPr/>
        <w:tc>
          <w:tcPr>
            <w:tcW w:w="1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Objectif</w:t>
            </w:r>
          </w:p>
        </w:tc>
        <w:tc>
          <w:tcPr>
            <w:tcW w:w="8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Tahoma"/>
                <w:sz w:val="22"/>
                <w:szCs w:val="22"/>
              </w:rPr>
            </w:pPr>
            <w:r>
              <w:rPr>
                <w:rFonts w:cs="Tahoma" w:ascii="Calibri" w:hAnsi="Calibri"/>
                <w:sz w:val="22"/>
                <w:szCs w:val="22"/>
              </w:rPr>
              <w:t xml:space="preserve">L’équité salariale tout au long de la carrière est un fondement essentiel de l’égalité professionnelle. L’appréciation individuelle des salariés est fondée sur le travail accompli, sans particularisme entre les hommes et les femmes, et ne doit pas être influencée par le fait d’un temps partiel ou d’un congé lié à la parentalité. </w:t>
            </w:r>
          </w:p>
          <w:p>
            <w:pPr>
              <w:pStyle w:val="Normal"/>
              <w:jc w:val="both"/>
              <w:rPr>
                <w:rFonts w:ascii="Calibri" w:hAnsi="Calibri" w:cs="Tahoma"/>
                <w:sz w:val="22"/>
                <w:szCs w:val="22"/>
              </w:rPr>
            </w:pPr>
            <w:r>
              <w:rPr>
                <w:rFonts w:cs="Tahoma" w:ascii="Calibri" w:hAnsi="Calibri"/>
                <w:sz w:val="22"/>
                <w:szCs w:val="22"/>
              </w:rPr>
            </w:r>
          </w:p>
          <w:p>
            <w:pPr>
              <w:pStyle w:val="Normal"/>
              <w:autoSpaceDE w:val="false"/>
              <w:rPr>
                <w:rFonts w:ascii="Calibri" w:hAnsi="Calibri" w:cs="Tahoma"/>
                <w:sz w:val="22"/>
                <w:szCs w:val="22"/>
              </w:rPr>
            </w:pPr>
            <w:r>
              <w:rPr>
                <w:rFonts w:cs="Tahoma" w:ascii="Calibri" w:hAnsi="Calibri"/>
                <w:sz w:val="22"/>
                <w:szCs w:val="22"/>
              </w:rPr>
              <w:t xml:space="preserve">Cette équité sociale est d’ores et déjà appliquée au travers de l’application stricte de la grille de salaires conventionnelle. </w:t>
            </w:r>
          </w:p>
        </w:tc>
      </w:tr>
      <w:tr>
        <w:trPr/>
        <w:tc>
          <w:tcPr>
            <w:tcW w:w="1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Actions retenues</w:t>
            </w:r>
          </w:p>
        </w:tc>
        <w:tc>
          <w:tcPr>
            <w:tcW w:w="8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Tahoma"/>
                <w:sz w:val="22"/>
                <w:szCs w:val="22"/>
              </w:rPr>
            </w:pPr>
            <w:r>
              <w:rPr>
                <w:rFonts w:cs="Tahoma" w:ascii="Calibri" w:hAnsi="Calibri"/>
                <w:sz w:val="22"/>
                <w:szCs w:val="22"/>
              </w:rPr>
              <w:t>Les parties conviennent qu’un rappel des obligations légales en matière d’égalité salariale sera effectué chaque année en ouverture des négociations annuelles (dites NAO) de salaire et de l’accord d’entreprise s’il existe sur les- dites NAO</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tc>
      </w:tr>
      <w:tr>
        <w:trPr/>
        <w:tc>
          <w:tcPr>
            <w:tcW w:w="1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Tahoma"/>
                <w:b/>
                <w:b/>
                <w:bCs/>
                <w:sz w:val="22"/>
                <w:szCs w:val="22"/>
              </w:rPr>
            </w:pPr>
            <w:r>
              <w:rPr>
                <w:rFonts w:cs="Tahoma" w:ascii="Calibri" w:hAnsi="Calibri"/>
                <w:b/>
                <w:bCs/>
                <w:sz w:val="22"/>
                <w:szCs w:val="22"/>
              </w:rPr>
              <w:t>Indicateurs suivis</w:t>
            </w:r>
          </w:p>
        </w:tc>
        <w:tc>
          <w:tcPr>
            <w:tcW w:w="8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Tahoma"/>
                <w:sz w:val="22"/>
                <w:szCs w:val="22"/>
              </w:rPr>
            </w:pPr>
            <w:r>
              <w:rPr>
                <w:rFonts w:cs="Tahoma" w:ascii="Calibri" w:hAnsi="Calibri"/>
                <w:sz w:val="22"/>
                <w:szCs w:val="22"/>
              </w:rPr>
              <w:t>La réalisation de l’objectif prit ci-dessus sera mesurée à l’aide des indicateurs suivis suivants :</w:t>
            </w:r>
          </w:p>
          <w:p>
            <w:pPr>
              <w:pStyle w:val="Normal"/>
              <w:numPr>
                <w:ilvl w:val="0"/>
                <w:numId w:val="5"/>
              </w:numPr>
              <w:rPr/>
            </w:pPr>
            <w:r>
              <w:rPr>
                <w:rFonts w:cs="Tahoma" w:ascii="Calibri" w:hAnsi="Calibri"/>
                <w:bCs/>
                <w:sz w:val="22"/>
                <w:szCs w:val="22"/>
              </w:rPr>
              <w:t>Procès-verbal d’ouverture des NAO</w:t>
            </w:r>
          </w:p>
          <w:p>
            <w:pPr>
              <w:pStyle w:val="Normal"/>
              <w:numPr>
                <w:ilvl w:val="0"/>
                <w:numId w:val="5"/>
              </w:numPr>
              <w:rPr>
                <w:rFonts w:ascii="Calibri" w:hAnsi="Calibri" w:cs="Tahoma"/>
                <w:bCs/>
                <w:sz w:val="22"/>
                <w:szCs w:val="22"/>
              </w:rPr>
            </w:pPr>
            <w:r>
              <w:rPr>
                <w:rFonts w:cs="Tahoma" w:ascii="Calibri" w:hAnsi="Calibri"/>
                <w:bCs/>
                <w:sz w:val="22"/>
                <w:szCs w:val="22"/>
              </w:rPr>
              <w:t>Accord d’entreprise sur les NAO</w:t>
            </w:r>
          </w:p>
          <w:p>
            <w:pPr>
              <w:pStyle w:val="Normal"/>
              <w:numPr>
                <w:ilvl w:val="0"/>
                <w:numId w:val="5"/>
              </w:numPr>
              <w:rPr>
                <w:rFonts w:ascii="Calibri" w:hAnsi="Calibri" w:cs="Tahoma"/>
                <w:bCs/>
                <w:sz w:val="22"/>
                <w:szCs w:val="22"/>
              </w:rPr>
            </w:pPr>
            <w:r>
              <w:rPr>
                <w:rFonts w:cs="Tahoma" w:ascii="Calibri" w:hAnsi="Calibri"/>
                <w:bCs/>
                <w:sz w:val="22"/>
                <w:szCs w:val="22"/>
              </w:rPr>
              <w:t>Rapport de situation comparée Femme et Homme présenté chaque année pour avis consultatif au CSE</w:t>
            </w:r>
          </w:p>
          <w:p>
            <w:pPr>
              <w:pStyle w:val="Normal"/>
              <w:ind w:left="198" w:hanging="0"/>
              <w:jc w:val="both"/>
              <w:rPr>
                <w:rFonts w:ascii="Calibri" w:hAnsi="Calibri" w:cs="Tahoma"/>
                <w:bCs/>
                <w:sz w:val="22"/>
                <w:szCs w:val="22"/>
              </w:rPr>
            </w:pPr>
            <w:r>
              <w:rPr>
                <w:rFonts w:cs="Tahoma" w:ascii="Calibri" w:hAnsi="Calibri"/>
                <w:bCs/>
                <w:sz w:val="22"/>
                <w:szCs w:val="22"/>
              </w:rPr>
            </w:r>
          </w:p>
        </w:tc>
      </w:tr>
    </w:tbl>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u w:val="single"/>
        </w:rPr>
      </w:pPr>
      <w:r>
        <w:rPr>
          <w:rFonts w:cs="Tahoma" w:ascii="Calibri" w:hAnsi="Calibri"/>
          <w:b/>
          <w:bCs/>
          <w:color w:val="008080"/>
          <w:sz w:val="22"/>
          <w:szCs w:val="22"/>
          <w:u w:val="single"/>
        </w:rPr>
      </w:r>
    </w:p>
    <w:p>
      <w:pPr>
        <w:pStyle w:val="Normal"/>
        <w:rPr>
          <w:rFonts w:ascii="Calibri" w:hAnsi="Calibri" w:cs="Tahoma"/>
          <w:b/>
          <w:b/>
          <w:bCs/>
          <w:sz w:val="22"/>
          <w:szCs w:val="22"/>
          <w:u w:val="single"/>
        </w:rPr>
      </w:pPr>
      <w:r>
        <w:rPr>
          <w:rFonts w:cs="Tahoma" w:ascii="Calibri" w:hAnsi="Calibri"/>
          <w:b/>
          <w:bCs/>
          <w:color w:val="008080"/>
          <w:sz w:val="22"/>
          <w:szCs w:val="22"/>
          <w:u w:val="single"/>
        </w:rPr>
        <w:t>Article 4 - Les mesures en faveur de l’amélioration de la qualité de vie au travail</w:t>
      </w:r>
    </w:p>
    <w:p>
      <w:pPr>
        <w:pStyle w:val="Normal"/>
        <w:jc w:val="both"/>
        <w:rPr>
          <w:rFonts w:ascii="Calibri" w:hAnsi="Calibri" w:cs="Tahoma"/>
          <w:b/>
          <w:b/>
          <w:bCs/>
          <w:sz w:val="22"/>
          <w:szCs w:val="22"/>
          <w:u w:val="single"/>
        </w:rPr>
      </w:pPr>
      <w:r>
        <w:rPr>
          <w:rFonts w:cs="Tahoma" w:ascii="Calibri" w:hAnsi="Calibri"/>
          <w:b/>
          <w:bCs/>
          <w:sz w:val="22"/>
          <w:szCs w:val="22"/>
          <w:u w:val="single"/>
        </w:rPr>
      </w:r>
    </w:p>
    <w:p>
      <w:pPr>
        <w:pStyle w:val="Normal"/>
        <w:jc w:val="both"/>
        <w:rPr>
          <w:rFonts w:ascii="Calibri" w:hAnsi="Calibri" w:cs="Tahoma"/>
          <w:bCs/>
          <w:sz w:val="22"/>
          <w:szCs w:val="22"/>
        </w:rPr>
      </w:pPr>
      <w:r>
        <w:rPr>
          <w:rFonts w:cs="Tahoma" w:ascii="Calibri" w:hAnsi="Calibri"/>
          <w:bCs/>
          <w:sz w:val="22"/>
          <w:szCs w:val="22"/>
        </w:rPr>
        <w:t>Conformément aux dispositions légales en vigueur, l’entreprise s’engage à améliorer la qualité de vie au travail grâce à la mise en œuvre de mesures dans les domaines suivants :</w:t>
      </w:r>
    </w:p>
    <w:p>
      <w:pPr>
        <w:pStyle w:val="Normal"/>
        <w:jc w:val="both"/>
        <w:rPr>
          <w:rFonts w:ascii="Calibri" w:hAnsi="Calibri" w:cs="Tahoma"/>
          <w:bCs/>
          <w:sz w:val="22"/>
          <w:szCs w:val="22"/>
        </w:rPr>
      </w:pPr>
      <w:r>
        <w:rPr>
          <w:rFonts w:cs="Tahoma" w:ascii="Calibri" w:hAnsi="Calibri"/>
          <w:bCs/>
          <w:sz w:val="22"/>
          <w:szCs w:val="22"/>
        </w:rPr>
      </w:r>
    </w:p>
    <w:p>
      <w:pPr>
        <w:pStyle w:val="Normal"/>
        <w:numPr>
          <w:ilvl w:val="0"/>
          <w:numId w:val="7"/>
        </w:numPr>
        <w:jc w:val="both"/>
        <w:rPr>
          <w:rFonts w:ascii="Calibri" w:hAnsi="Calibri" w:cs="Tahoma"/>
          <w:bCs/>
          <w:sz w:val="22"/>
          <w:szCs w:val="22"/>
        </w:rPr>
      </w:pPr>
      <w:r>
        <w:rPr>
          <w:rFonts w:cs="Tahoma" w:ascii="Calibri" w:hAnsi="Calibri"/>
          <w:bCs/>
          <w:sz w:val="22"/>
          <w:szCs w:val="22"/>
        </w:rPr>
        <w:t>Lutte contre les discriminations en matière de recrutement, d’emploi et d’accès à la formation professionnelle</w:t>
      </w:r>
    </w:p>
    <w:p>
      <w:pPr>
        <w:pStyle w:val="Normal"/>
        <w:numPr>
          <w:ilvl w:val="0"/>
          <w:numId w:val="7"/>
        </w:numPr>
        <w:jc w:val="both"/>
        <w:rPr/>
      </w:pPr>
      <w:r>
        <w:rPr>
          <w:rFonts w:cs="Tahoma" w:ascii="Calibri" w:hAnsi="Calibri"/>
          <w:bCs/>
          <w:sz w:val="22"/>
          <w:szCs w:val="22"/>
        </w:rPr>
        <w:t>Non-discrimination professionnelle et maintien dans l’emploi des travailleurs handicapés</w:t>
      </w:r>
    </w:p>
    <w:p>
      <w:pPr>
        <w:pStyle w:val="Normal"/>
        <w:numPr>
          <w:ilvl w:val="0"/>
          <w:numId w:val="7"/>
        </w:numPr>
        <w:jc w:val="both"/>
        <w:rPr>
          <w:rFonts w:ascii="Calibri" w:hAnsi="Calibri" w:cs="Tahoma"/>
          <w:bCs/>
          <w:sz w:val="22"/>
          <w:szCs w:val="22"/>
        </w:rPr>
      </w:pPr>
      <w:r>
        <w:rPr>
          <w:rFonts w:cs="Tahoma" w:ascii="Calibri" w:hAnsi="Calibri"/>
          <w:bCs/>
          <w:sz w:val="22"/>
          <w:szCs w:val="22"/>
        </w:rPr>
        <w:t>Droit d’expression des salariés</w:t>
      </w:r>
    </w:p>
    <w:p>
      <w:pPr>
        <w:pStyle w:val="Normal"/>
        <w:ind w:left="720" w:hanging="0"/>
        <w:jc w:val="both"/>
        <w:rPr>
          <w:rFonts w:ascii="Calibri" w:hAnsi="Calibri" w:cs="Tahoma"/>
          <w:bCs/>
          <w:sz w:val="22"/>
          <w:szCs w:val="22"/>
        </w:rPr>
      </w:pPr>
      <w:r>
        <w:rPr>
          <w:rFonts w:cs="Tahoma" w:ascii="Calibri" w:hAnsi="Calibri"/>
          <w:bCs/>
          <w:sz w:val="22"/>
          <w:szCs w:val="22"/>
        </w:rPr>
      </w:r>
    </w:p>
    <w:p>
      <w:pPr>
        <w:pStyle w:val="Normal"/>
        <w:rPr>
          <w:rFonts w:ascii="Calibri" w:hAnsi="Calibri" w:cs="Tahoma"/>
          <w:b/>
          <w:b/>
          <w:bCs/>
          <w:sz w:val="22"/>
          <w:szCs w:val="22"/>
        </w:rPr>
      </w:pPr>
      <w:r>
        <w:rPr>
          <w:rFonts w:cs="Tahoma" w:ascii="Calibri" w:hAnsi="Calibri"/>
          <w:b/>
          <w:bCs/>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ind w:firstLine="708"/>
        <w:rPr/>
      </w:pPr>
      <w:r>
        <w:rPr>
          <w:rFonts w:cs="Tahoma" w:ascii="Calibri" w:hAnsi="Calibri"/>
          <w:b/>
          <w:bCs/>
          <w:color w:val="008080"/>
          <w:sz w:val="22"/>
          <w:szCs w:val="22"/>
        </w:rPr>
        <w:t>Article 4.1 – Les mesures en faveur de la lutte contre les discriminations en matière de recrutement, d’emploi et d’accès à la formation professionnelle</w:t>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jc w:val="both"/>
        <w:rPr>
          <w:rFonts w:ascii="Calibri" w:hAnsi="Calibri" w:cs="Tahoma"/>
          <w:bCs/>
          <w:sz w:val="22"/>
          <w:szCs w:val="22"/>
        </w:rPr>
      </w:pPr>
      <w:r>
        <w:rPr>
          <w:rFonts w:cs="Tahoma" w:ascii="Calibri" w:hAnsi="Calibri"/>
          <w:bCs/>
          <w:sz w:val="22"/>
          <w:szCs w:val="22"/>
        </w:rPr>
        <w:t>L’entreprise marque sa volonté de respecter le principe d’égalité de traitement pour tous les salariés. Elle s’engage en matière de non-discrimination et de promotion de l’égalité et s’oppose aux comportements discriminants de toute nature ou contraires à la dignité qui pourraient survenir dans le cadre de l’activité professionnelle.</w:t>
      </w:r>
    </w:p>
    <w:p>
      <w:pPr>
        <w:pStyle w:val="Normal"/>
        <w:jc w:val="both"/>
        <w:rPr>
          <w:rFonts w:ascii="Calibri" w:hAnsi="Calibri" w:cs="Tahoma"/>
          <w:bCs/>
          <w:sz w:val="22"/>
          <w:szCs w:val="22"/>
        </w:rPr>
      </w:pPr>
      <w:r>
        <w:rPr>
          <w:rFonts w:cs="Tahoma" w:ascii="Calibri" w:hAnsi="Calibri"/>
          <w:bCs/>
          <w:sz w:val="22"/>
          <w:szCs w:val="22"/>
        </w:rPr>
      </w:r>
    </w:p>
    <w:p>
      <w:pPr>
        <w:pStyle w:val="Normal"/>
        <w:jc w:val="both"/>
        <w:rPr>
          <w:rFonts w:ascii="Calibri" w:hAnsi="Calibri" w:cs="Tahoma"/>
          <w:bCs/>
          <w:sz w:val="22"/>
          <w:szCs w:val="22"/>
        </w:rPr>
      </w:pPr>
      <w:r>
        <w:rPr>
          <w:rFonts w:cs="Tahoma" w:ascii="Calibri" w:hAnsi="Calibri"/>
          <w:bCs/>
          <w:sz w:val="22"/>
          <w:szCs w:val="22"/>
        </w:rPr>
        <w:t>L’entreprise s’engage donc à :</w:t>
      </w:r>
    </w:p>
    <w:p>
      <w:pPr>
        <w:pStyle w:val="Normal"/>
        <w:numPr>
          <w:ilvl w:val="0"/>
          <w:numId w:val="3"/>
        </w:numPr>
        <w:jc w:val="both"/>
        <w:rPr>
          <w:rFonts w:ascii="Calibri" w:hAnsi="Calibri" w:cs="Tahoma"/>
          <w:bCs/>
          <w:sz w:val="22"/>
          <w:szCs w:val="22"/>
        </w:rPr>
      </w:pPr>
      <w:r>
        <w:rPr>
          <w:rFonts w:cs="Tahoma" w:ascii="Calibri" w:hAnsi="Calibri"/>
          <w:bCs/>
          <w:sz w:val="22"/>
          <w:szCs w:val="22"/>
        </w:rPr>
        <w:t>Sensibiliser les équipes de recrutement aux obligations légales en matière de non-discrimination (ex : guide de bonnes pratiques en matière de recrutement rappelant les critères de discrimination prohibés par la loi).</w:t>
      </w:r>
    </w:p>
    <w:p>
      <w:pPr>
        <w:pStyle w:val="Normal"/>
        <w:numPr>
          <w:ilvl w:val="0"/>
          <w:numId w:val="3"/>
        </w:numPr>
        <w:jc w:val="both"/>
        <w:rPr>
          <w:rFonts w:ascii="Calibri" w:hAnsi="Calibri" w:cs="Tahoma"/>
          <w:bCs/>
          <w:sz w:val="22"/>
          <w:szCs w:val="22"/>
        </w:rPr>
      </w:pPr>
      <w:r>
        <w:rPr>
          <w:rFonts w:cs="Tahoma" w:ascii="Calibri" w:hAnsi="Calibri"/>
          <w:bCs/>
          <w:sz w:val="22"/>
          <w:szCs w:val="22"/>
        </w:rPr>
        <w:t>Etudier les choix de formation indifféremment selon le sexe F/H.</w:t>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rPr>
      </w:pPr>
      <w:r>
        <w:rPr>
          <w:rFonts w:cs="Tahoma" w:ascii="Calibri" w:hAnsi="Calibri"/>
          <w:b/>
          <w:bCs/>
          <w:color w:val="008080"/>
          <w:sz w:val="22"/>
          <w:szCs w:val="22"/>
        </w:rPr>
      </w:r>
    </w:p>
    <w:p>
      <w:pPr>
        <w:pStyle w:val="Normal"/>
        <w:rPr>
          <w:rFonts w:ascii="Calibri" w:hAnsi="Calibri" w:cs="Tahoma"/>
          <w:b/>
          <w:b/>
          <w:bCs/>
          <w:color w:val="008080"/>
          <w:sz w:val="22"/>
          <w:szCs w:val="22"/>
          <w:u w:val="single"/>
        </w:rPr>
      </w:pPr>
      <w:r>
        <w:rPr>
          <w:rFonts w:cs="Tahoma" w:ascii="Calibri" w:hAnsi="Calibri"/>
          <w:b/>
          <w:bCs/>
          <w:color w:val="008080"/>
          <w:sz w:val="22"/>
          <w:szCs w:val="22"/>
          <w:u w:val="single"/>
        </w:rPr>
      </w:r>
    </w:p>
    <w:p>
      <w:pPr>
        <w:pStyle w:val="Normal"/>
        <w:rPr>
          <w:rFonts w:ascii="Calibri" w:hAnsi="Calibri" w:cs="Tahoma"/>
          <w:b/>
          <w:b/>
          <w:bCs/>
          <w:color w:val="008080"/>
          <w:sz w:val="22"/>
          <w:szCs w:val="22"/>
          <w:u w:val="single"/>
        </w:rPr>
      </w:pPr>
      <w:r>
        <w:rPr>
          <w:rFonts w:cs="Tahoma" w:ascii="Calibri" w:hAnsi="Calibri"/>
          <w:b/>
          <w:bCs/>
          <w:color w:val="008080"/>
          <w:sz w:val="22"/>
          <w:szCs w:val="22"/>
          <w:u w:val="single"/>
        </w:rPr>
        <w:t xml:space="preserve">Article 5 – Durée de l’accord </w:t>
      </w:r>
    </w:p>
    <w:p>
      <w:pPr>
        <w:pStyle w:val="Normal"/>
        <w:autoSpaceDE w:val="false"/>
        <w:jc w:val="both"/>
        <w:rPr>
          <w:rFonts w:ascii="Calibri" w:hAnsi="Calibri" w:cs="Univers-Light"/>
          <w:b/>
          <w:b/>
          <w:bCs/>
          <w:color w:val="008080"/>
          <w:sz w:val="22"/>
          <w:szCs w:val="22"/>
          <w:u w:val="single"/>
        </w:rPr>
      </w:pPr>
      <w:r>
        <w:rPr>
          <w:rFonts w:cs="Univers-Light" w:ascii="Calibri" w:hAnsi="Calibri"/>
          <w:b/>
          <w:bCs/>
          <w:color w:val="008080"/>
          <w:sz w:val="22"/>
          <w:szCs w:val="22"/>
          <w:u w:val="single"/>
        </w:rPr>
      </w:r>
    </w:p>
    <w:p>
      <w:pPr>
        <w:pStyle w:val="Normal"/>
        <w:autoSpaceDE w:val="false"/>
        <w:jc w:val="both"/>
        <w:rPr/>
      </w:pPr>
      <w:r>
        <w:rPr>
          <w:rFonts w:cs="Univers-Light" w:ascii="Calibri" w:hAnsi="Calibri"/>
          <w:sz w:val="22"/>
          <w:szCs w:val="22"/>
        </w:rPr>
        <w:t xml:space="preserve">Le présent </w:t>
      </w:r>
      <w:r>
        <w:rPr>
          <w:rFonts w:cs="Univers-LightOblique" w:ascii="Calibri" w:hAnsi="Calibri"/>
          <w:iCs/>
          <w:sz w:val="22"/>
          <w:szCs w:val="22"/>
        </w:rPr>
        <w:t xml:space="preserve">accord </w:t>
      </w:r>
      <w:r>
        <w:rPr>
          <w:rFonts w:cs="Univers-Light" w:ascii="Calibri" w:hAnsi="Calibri"/>
          <w:sz w:val="22"/>
          <w:szCs w:val="22"/>
        </w:rPr>
        <w:t xml:space="preserve">est conclu pour une durée de 3 ans à compter de sa date d’entrée en vigueur. </w:t>
      </w:r>
    </w:p>
    <w:p>
      <w:pPr>
        <w:pStyle w:val="Normal"/>
        <w:autoSpaceDE w:val="false"/>
        <w:jc w:val="both"/>
        <w:rPr>
          <w:rFonts w:ascii="Calibri" w:hAnsi="Calibri" w:cs="Univers-Light"/>
          <w:sz w:val="22"/>
          <w:szCs w:val="22"/>
        </w:rPr>
      </w:pPr>
      <w:r>
        <w:rPr>
          <w:rFonts w:cs="Univers-Light" w:ascii="Calibri" w:hAnsi="Calibri"/>
          <w:sz w:val="22"/>
          <w:szCs w:val="22"/>
        </w:rPr>
        <w:t>Il pourra être révisé dans les conditions légales, notamment en cas de mise en demeure de la Direccte.</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rPr>
          <w:rFonts w:ascii="Calibri" w:hAnsi="Calibri" w:cs="Tahoma"/>
          <w:b/>
          <w:b/>
          <w:bCs/>
          <w:color w:val="008080"/>
          <w:sz w:val="22"/>
          <w:szCs w:val="22"/>
          <w:u w:val="single"/>
        </w:rPr>
      </w:pPr>
      <w:r>
        <w:rPr>
          <w:rFonts w:cs="Tahoma" w:ascii="Calibri" w:hAnsi="Calibri"/>
          <w:b/>
          <w:bCs/>
          <w:color w:val="008080"/>
          <w:sz w:val="22"/>
          <w:szCs w:val="22"/>
          <w:u w:val="single"/>
        </w:rPr>
        <w:t>Article 6 – Entrée en vigueur</w:t>
      </w:r>
    </w:p>
    <w:p>
      <w:pPr>
        <w:pStyle w:val="Normal"/>
        <w:autoSpaceDE w:val="false"/>
        <w:jc w:val="both"/>
        <w:rPr>
          <w:rFonts w:ascii="Calibri" w:hAnsi="Calibri" w:cs="EuropeanPi-One"/>
          <w:b/>
          <w:b/>
          <w:bCs/>
          <w:color w:val="008080"/>
          <w:sz w:val="22"/>
          <w:szCs w:val="22"/>
          <w:u w:val="single"/>
        </w:rPr>
      </w:pPr>
      <w:r>
        <w:rPr>
          <w:rFonts w:cs="EuropeanPi-One" w:ascii="Calibri" w:hAnsi="Calibri"/>
          <w:b/>
          <w:bCs/>
          <w:color w:val="008080"/>
          <w:sz w:val="22"/>
          <w:szCs w:val="22"/>
          <w:u w:val="single"/>
        </w:rPr>
      </w:r>
    </w:p>
    <w:p>
      <w:pPr>
        <w:pStyle w:val="Normal"/>
        <w:autoSpaceDE w:val="false"/>
        <w:jc w:val="both"/>
        <w:rPr/>
      </w:pPr>
      <w:r>
        <w:rPr>
          <w:rFonts w:cs="Univers-Light" w:ascii="Calibri" w:hAnsi="Calibri"/>
          <w:sz w:val="22"/>
          <w:szCs w:val="22"/>
        </w:rPr>
        <w:t>L’</w:t>
      </w:r>
      <w:r>
        <w:rPr>
          <w:rFonts w:cs="Univers-LightOblique" w:ascii="Calibri" w:hAnsi="Calibri"/>
          <w:iCs/>
          <w:sz w:val="22"/>
          <w:szCs w:val="22"/>
        </w:rPr>
        <w:t xml:space="preserve">accord </w:t>
      </w:r>
      <w:r>
        <w:rPr>
          <w:rFonts w:cs="Univers-Light" w:ascii="Calibri" w:hAnsi="Calibri"/>
          <w:sz w:val="22"/>
          <w:szCs w:val="22"/>
        </w:rPr>
        <w:t>entre en vigueur, conformément aux dispositions légales, à compter du lendemain de son dépôt.</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rPr>
          <w:rFonts w:ascii="Calibri" w:hAnsi="Calibri" w:cs="Tahoma"/>
          <w:b/>
          <w:b/>
          <w:bCs/>
          <w:color w:val="008080"/>
          <w:sz w:val="22"/>
          <w:szCs w:val="22"/>
          <w:u w:val="single"/>
        </w:rPr>
      </w:pPr>
      <w:r>
        <w:rPr>
          <w:rFonts w:cs="Tahoma" w:ascii="Calibri" w:hAnsi="Calibri"/>
          <w:b/>
          <w:bCs/>
          <w:color w:val="008080"/>
          <w:sz w:val="22"/>
          <w:szCs w:val="22"/>
          <w:u w:val="single"/>
        </w:rPr>
        <w:t>Article 7 – Modalités d’affichage et de suivi</w:t>
      </w:r>
    </w:p>
    <w:p>
      <w:pPr>
        <w:pStyle w:val="Normal"/>
        <w:ind w:left="360" w:hanging="0"/>
        <w:rPr>
          <w:rFonts w:cs="Tahoma"/>
        </w:rPr>
      </w:pPr>
      <w:r>
        <w:rPr>
          <w:rFonts w:eastAsia="Calibri" w:cs="Calibri" w:ascii="Calibri" w:hAnsi="Calibri"/>
          <w:b/>
          <w:bCs/>
          <w:sz w:val="22"/>
          <w:szCs w:val="22"/>
        </w:rPr>
        <w:t xml:space="preserve"> </w:t>
      </w:r>
    </w:p>
    <w:p>
      <w:pPr>
        <w:pStyle w:val="Normal"/>
        <w:autoSpaceDE w:val="false"/>
        <w:jc w:val="both"/>
        <w:rPr>
          <w:rFonts w:ascii="Calibri" w:hAnsi="Calibri" w:cs="Tahoma"/>
          <w:sz w:val="22"/>
          <w:szCs w:val="22"/>
        </w:rPr>
      </w:pPr>
      <w:r>
        <w:rPr>
          <w:rFonts w:cs="Tahoma" w:ascii="Calibri" w:hAnsi="Calibri"/>
          <w:sz w:val="22"/>
          <w:szCs w:val="22"/>
        </w:rPr>
        <w:t>Les indicateurs associés aux dispositions relatives à l’égalité professionnelle et l’évolution de leurs résultats feront l’objet d’une communication annuelle aux représentants du personnel. </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rPr>
          <w:rFonts w:ascii="Calibri" w:hAnsi="Calibri" w:cs="Tahoma"/>
          <w:b/>
          <w:b/>
          <w:bCs/>
          <w:color w:val="008080"/>
          <w:sz w:val="22"/>
          <w:szCs w:val="22"/>
          <w:u w:val="single"/>
        </w:rPr>
      </w:pPr>
      <w:r>
        <w:rPr>
          <w:rFonts w:cs="Tahoma" w:ascii="Calibri" w:hAnsi="Calibri"/>
          <w:b/>
          <w:bCs/>
          <w:color w:val="008080"/>
          <w:sz w:val="22"/>
          <w:szCs w:val="22"/>
          <w:u w:val="single"/>
        </w:rPr>
        <w:t>Article 8 – Notification et publicité</w:t>
      </w:r>
    </w:p>
    <w:p>
      <w:pPr>
        <w:pStyle w:val="Normal"/>
        <w:autoSpaceDE w:val="false"/>
        <w:jc w:val="both"/>
        <w:rPr>
          <w:rFonts w:ascii="Calibri" w:hAnsi="Calibri" w:cs="Univers-Light"/>
          <w:b/>
          <w:b/>
          <w:bCs/>
          <w:color w:val="008080"/>
          <w:sz w:val="22"/>
          <w:szCs w:val="22"/>
          <w:u w:val="single"/>
        </w:rPr>
      </w:pPr>
      <w:r>
        <w:rPr>
          <w:rFonts w:cs="Univers-Light" w:ascii="Calibri" w:hAnsi="Calibri"/>
          <w:b/>
          <w:bCs/>
          <w:color w:val="008080"/>
          <w:sz w:val="22"/>
          <w:szCs w:val="22"/>
          <w:u w:val="single"/>
        </w:rPr>
      </w:r>
    </w:p>
    <w:p>
      <w:pPr>
        <w:pStyle w:val="Normal"/>
        <w:autoSpaceDE w:val="false"/>
        <w:jc w:val="both"/>
        <w:rPr>
          <w:rFonts w:ascii="Calibri" w:hAnsi="Calibri" w:cs="Univers-Light"/>
          <w:sz w:val="22"/>
          <w:szCs w:val="22"/>
        </w:rPr>
      </w:pPr>
      <w:r>
        <w:rPr>
          <w:rFonts w:cs="Univers-Light" w:ascii="Calibri" w:hAnsi="Calibri"/>
          <w:sz w:val="22"/>
          <w:szCs w:val="22"/>
        </w:rPr>
        <w:t>Le présent accord est déposé à la Direccte dont relève l’entreprise et au greffe du conseil de prud’hommes d’EVRY</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cs="Univers-Light" w:ascii="Calibri" w:hAnsi="Calibri"/>
          <w:sz w:val="22"/>
          <w:szCs w:val="22"/>
        </w:rPr>
        <w:t>Conformément à l’article L. 2231-5 du code du travail, le texte du présent accord est notifié à l’ensemble des organisations syndicales représentatives dans l’entreprise.</w:t>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jc w:val="both"/>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jc w:val="right"/>
        <w:rPr/>
      </w:pPr>
      <w:r>
        <w:rPr>
          <w:rFonts w:cs="Univers-Light" w:ascii="Calibri" w:hAnsi="Calibri"/>
          <w:sz w:val="22"/>
          <w:szCs w:val="22"/>
        </w:rPr>
        <w:t>Fait à Etampes, en 7 exemplaires originaux</w:t>
      </w:r>
    </w:p>
    <w:p>
      <w:pPr>
        <w:pStyle w:val="Normal"/>
        <w:autoSpaceDE w:val="false"/>
        <w:jc w:val="right"/>
        <w:rPr>
          <w:rFonts w:ascii="Calibri" w:hAnsi="Calibri" w:cs="Univers-Light"/>
          <w:sz w:val="22"/>
          <w:szCs w:val="22"/>
        </w:rPr>
      </w:pPr>
      <w:r>
        <w:rPr>
          <w:rFonts w:eastAsia="Calibri" w:cs="Calibri" w:ascii="Calibri" w:hAnsi="Calibri"/>
          <w:sz w:val="22"/>
          <w:szCs w:val="22"/>
        </w:rPr>
        <w:t xml:space="preserve"> </w:t>
      </w:r>
      <w:r>
        <w:rPr>
          <w:rFonts w:cs="Univers-Light" w:ascii="Calibri" w:hAnsi="Calibri"/>
          <w:sz w:val="22"/>
          <w:szCs w:val="22"/>
        </w:rPr>
        <w:t>Le 03 décembre 2019</w:t>
      </w:r>
    </w:p>
    <w:p>
      <w:pPr>
        <w:pStyle w:val="Normal"/>
        <w:autoSpaceDE w:val="false"/>
        <w:jc w:val="right"/>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t>Pour la S.A.S ORMONT TRANSPORT</w:t>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r>
    </w:p>
    <w:p>
      <w:pPr>
        <w:pStyle w:val="Normal"/>
        <w:autoSpaceDE w:val="false"/>
        <w:rPr>
          <w:rFonts w:ascii="Calibri" w:hAnsi="Calibri" w:cs="Univers-Light"/>
          <w:sz w:val="22"/>
          <w:szCs w:val="22"/>
        </w:rPr>
      </w:pPr>
      <w:r>
        <w:rPr>
          <w:rFonts w:cs="Univers-Light" w:ascii="Calibri" w:hAnsi="Calibri"/>
          <w:sz w:val="22"/>
          <w:szCs w:val="22"/>
        </w:rPr>
        <w:t xml:space="preserve">Pour F.O                                                      Pour la C.F.D.T                                              Pour la C.F.T.C                            </w:t>
      </w:r>
    </w:p>
    <w:p>
      <w:pPr>
        <w:pStyle w:val="Normal"/>
        <w:ind w:left="360" w:hanging="0"/>
        <w:rPr>
          <w:rFonts w:ascii="Calibri" w:hAnsi="Calibri" w:cs="Tahoma"/>
          <w:b/>
          <w:b/>
          <w:bCs/>
          <w:color w:val="008080"/>
          <w:sz w:val="22"/>
          <w:szCs w:val="22"/>
        </w:rPr>
      </w:pPr>
      <w:r>
        <w:rPr>
          <w:rFonts w:cs="Tahoma" w:ascii="Calibri" w:hAnsi="Calibri"/>
          <w:b/>
          <w:bCs/>
          <w:color w:val="008080"/>
          <w:sz w:val="22"/>
          <w:szCs w:val="22"/>
        </w:rPr>
      </w:r>
    </w:p>
    <w:p>
      <w:pPr>
        <w:pStyle w:val="Normal"/>
        <w:jc w:val="both"/>
        <w:rPr>
          <w:rFonts w:ascii="Calibri" w:hAnsi="Calibri" w:cs="Tahoma"/>
          <w:b/>
          <w:b/>
          <w:bCs/>
          <w:color w:val="008080"/>
          <w:sz w:val="22"/>
          <w:szCs w:val="22"/>
        </w:rPr>
      </w:pPr>
      <w:r>
        <w:rPr>
          <w:rFonts w:cs="Tahoma" w:ascii="Calibri" w:hAnsi="Calibri"/>
          <w:b/>
          <w:bCs/>
          <w:color w:val="008080"/>
          <w:sz w:val="22"/>
          <w:szCs w:val="22"/>
        </w:rPr>
      </w:r>
    </w:p>
    <w:p>
      <w:pPr>
        <w:pStyle w:val="Normal"/>
        <w:jc w:val="both"/>
        <w:rPr>
          <w:rFonts w:ascii="Calibri" w:hAnsi="Calibri" w:cs="Tahoma"/>
          <w:sz w:val="22"/>
          <w:szCs w:val="22"/>
        </w:rPr>
      </w:pPr>
      <w:r>
        <w:rPr>
          <w:rFonts w:cs="Tahoma" w:ascii="Calibri" w:hAnsi="Calibri"/>
          <w:sz w:val="22"/>
          <w:szCs w:val="22"/>
        </w:rPr>
      </w:r>
    </w:p>
    <w:p>
      <w:pPr>
        <w:pStyle w:val="Normal"/>
        <w:rPr>
          <w:rFonts w:ascii="Calibri" w:hAnsi="Calibri" w:cs="Calibri"/>
          <w:sz w:val="22"/>
          <w:szCs w:val="22"/>
        </w:rPr>
      </w:pPr>
      <w:r>
        <w:rPr>
          <w:rFonts w:cs="Calibri" w:ascii="Calibri" w:hAnsi="Calibri"/>
          <w:sz w:val="22"/>
          <w:szCs w:val="22"/>
        </w:rPr>
      </w:r>
    </w:p>
    <w:sectPr>
      <w:headerReference w:type="default" r:id="rId2"/>
      <w:footerReference w:type="default" r:id="rId3"/>
      <w:type w:val="nextPage"/>
      <w:pgSz w:w="11906" w:h="16838"/>
      <w:pgMar w:left="1417" w:right="1286" w:header="709" w:top="1921" w:footer="395"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Black">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Helvetica">
    <w:altName w:val="Arial"/>
    <w:charset w:val="00"/>
    <w:family w:val="swiss"/>
    <w:pitch w:val="variable"/>
  </w:font>
  <w:font w:name="Tahoma">
    <w:charset w:val="00"/>
    <w:family w:val="swiss"/>
    <w:pitch w:val="variable"/>
  </w:font>
  <w:font w:name="Liberation Sans">
    <w:altName w:val="Arial"/>
    <w:charset w:val="01"/>
    <w:family w:val="swiss"/>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 w:val="right" w:pos="10260" w:leader="none"/>
      </w:tabs>
      <w:rPr>
        <w:rFonts w:ascii="Arial" w:hAnsi="Arial" w:cs="Arial"/>
        <w:bCs/>
        <w:color w:val="008080"/>
        <w:sz w:val="16"/>
        <w:szCs w:val="16"/>
      </w:rPr>
    </w:pPr>
    <w:r>
      <w:rPr>
        <w:rFonts w:eastAsia="Arial" w:cs="Arial" w:ascii="Arial" w:hAnsi="Arial"/>
        <w:b/>
        <w:bCs/>
        <w:color w:val="333399"/>
        <w:sz w:val="16"/>
        <w:szCs w:val="16"/>
      </w:rPr>
      <w:t xml:space="preserve">                                                                                                                                                                                                       </w:t>
    </w:r>
    <w:r>
      <w:rPr>
        <w:rFonts w:cs="Arial" w:ascii="Arial" w:hAnsi="Arial"/>
        <w:color w:val="333399"/>
        <w:sz w:val="16"/>
        <w:szCs w:val="16"/>
      </w:rPr>
      <w:fldChar w:fldCharType="begin"/>
    </w:r>
    <w:r>
      <w:instrText> PAGE </w:instrText>
    </w:r>
    <w:r>
      <w:fldChar w:fldCharType="separate"/>
    </w:r>
    <w:r>
      <w:t>7</w:t>
    </w:r>
    <w:r>
      <w:fldChar w:fldCharType="end"/>
    </w:r>
    <w:r>
      <w:rPr>
        <w:rFonts w:cs="Arial" w:ascii="Arial" w:hAnsi="Arial"/>
        <w:color w:val="333399"/>
        <w:sz w:val="16"/>
        <w:szCs w:val="16"/>
      </w:rPr>
      <w:t>/7</w:t>
    </w:r>
  </w:p>
  <w:p>
    <w:pPr>
      <w:pStyle w:val="Footer"/>
      <w:tabs>
        <w:tab w:val="center" w:pos="4536" w:leader="none"/>
        <w:tab w:val="right" w:pos="9072" w:leader="none"/>
        <w:tab w:val="right" w:pos="10260" w:leader="none"/>
      </w:tabs>
      <w:jc w:val="both"/>
      <w:rPr>
        <w:rFonts w:ascii="Arial" w:hAnsi="Arial" w:cs="Arial"/>
        <w:bCs/>
        <w:color w:val="008080"/>
        <w:sz w:val="16"/>
        <w:szCs w:val="16"/>
      </w:rPr>
    </w:pPr>
    <w:r>
      <w:rPr>
        <w:rFonts w:cs="Arial" w:ascii="Arial" w:hAnsi="Arial"/>
        <w:bCs/>
        <w:color w:val="008080"/>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900" w:hanging="0"/>
      <w:rPr>
        <w:lang w:val="en-GB" w:eastAsia="en-GB"/>
      </w:rPr>
    </w:pPr>
    <w:r>
      <w:rPr>
        <w:lang w:val="en-GB" w:eastAsia="en-GB"/>
      </w:rPr>
    </w:r>
    <w:r>
      <mc:AlternateContent>
        <mc:Choice Requires="wps">
          <w:drawing>
            <wp:anchor behindDoc="1" distT="0" distB="0" distL="114935" distR="114935" simplePos="0" locked="0" layoutInCell="1" allowOverlap="1" relativeHeight="8">
              <wp:simplePos x="0" y="0"/>
              <wp:positionH relativeFrom="column">
                <wp:posOffset>685800</wp:posOffset>
              </wp:positionH>
              <wp:positionV relativeFrom="paragraph">
                <wp:posOffset>99695</wp:posOffset>
              </wp:positionV>
              <wp:extent cx="5829300" cy="1234440"/>
              <wp:effectExtent l="0" t="0" r="0" b="0"/>
              <wp:wrapNone/>
              <wp:docPr id="1" name="Frame1"/>
              <a:graphic xmlns:a="http://schemas.openxmlformats.org/drawingml/2006/main">
                <a:graphicData uri="http://schemas.microsoft.com/office/word/2010/wordprocessingShape">
                  <wps:wsp>
                    <wps:cNvSpPr txBox="1"/>
                    <wps:spPr>
                      <a:xfrm>
                        <a:off x="0" y="0"/>
                        <a:ext cx="5829300" cy="1234440"/>
                      </a:xfrm>
                      <a:prstGeom prst="rect"/>
                      <a:solidFill>
                        <a:srgbClr val="FFFFFF">
                          <a:alpha val="0"/>
                        </a:srgbClr>
                      </a:solidFill>
                    </wps:spPr>
                    <wps:txbx>
                      <w:txbxContent>
                        <w:p>
                          <w:pPr>
                            <w:pStyle w:val="Header"/>
                            <w:jc w:val="right"/>
                            <w:rPr>
                              <w:rFonts w:ascii="Arial" w:hAnsi="Arial" w:cs="Arial"/>
                              <w:b/>
                              <w:b/>
                              <w:color w:val="003366"/>
                              <w:sz w:val="22"/>
                              <w:szCs w:val="22"/>
                            </w:rPr>
                          </w:pPr>
                          <w:r>
                            <w:rPr>
                              <w:rFonts w:cs="Arial" w:ascii="Arial" w:hAnsi="Arial"/>
                              <w:b/>
                              <w:color w:val="003366"/>
                              <w:sz w:val="22"/>
                              <w:szCs w:val="22"/>
                            </w:rPr>
                          </w:r>
                        </w:p>
                        <w:p>
                          <w:pPr>
                            <w:pStyle w:val="Header"/>
                            <w:jc w:val="right"/>
                            <w:rPr>
                              <w:rFonts w:ascii="Arial" w:hAnsi="Arial" w:cs="Arial"/>
                              <w:b/>
                              <w:b/>
                              <w:color w:val="003366"/>
                              <w:sz w:val="22"/>
                              <w:szCs w:val="22"/>
                            </w:rPr>
                          </w:pPr>
                          <w:r>
                            <w:rPr>
                              <w:rFonts w:cs="Arial" w:ascii="Arial" w:hAnsi="Arial"/>
                              <w:b/>
                              <w:color w:val="003366"/>
                              <w:sz w:val="22"/>
                              <w:szCs w:val="22"/>
                            </w:rPr>
                          </w:r>
                        </w:p>
                        <w:p>
                          <w:pPr>
                            <w:pStyle w:val="Header"/>
                            <w:jc w:val="right"/>
                            <w:rPr>
                              <w:rFonts w:ascii="Arial" w:hAnsi="Arial" w:cs="Arial"/>
                              <w:b/>
                              <w:b/>
                              <w:color w:val="003366"/>
                              <w:sz w:val="22"/>
                              <w:szCs w:val="22"/>
                            </w:rPr>
                          </w:pPr>
                          <w:r>
                            <w:rPr>
                              <w:rFonts w:cs="Arial" w:ascii="Arial" w:hAnsi="Arial"/>
                              <w:b/>
                              <w:color w:val="003366"/>
                              <w:sz w:val="22"/>
                              <w:szCs w:val="22"/>
                            </w:rPr>
                          </w:r>
                        </w:p>
                        <w:p>
                          <w:pPr>
                            <w:pStyle w:val="Normal"/>
                            <w:rPr>
                              <w:rFonts w:ascii="Arial" w:hAnsi="Arial" w:cs="Arial"/>
                              <w:b/>
                              <w:b/>
                              <w:color w:val="003366"/>
                              <w:sz w:val="22"/>
                              <w:szCs w:val="22"/>
                            </w:rPr>
                          </w:pPr>
                          <w:r>
                            <w:rPr>
                              <w:rFonts w:cs="Arial" w:ascii="Arial" w:hAnsi="Arial"/>
                              <w:b/>
                              <w:color w:val="003366"/>
                              <w:sz w:val="22"/>
                              <w:szCs w:val="22"/>
                            </w:rPr>
                          </w:r>
                        </w:p>
                      </w:txbxContent>
                    </wps:txbx>
                    <wps:bodyPr anchor="t" lIns="92075" tIns="46355" rIns="92075" bIns="46355">
                      <a:noAutofit/>
                    </wps:bodyPr>
                  </wps:wsp>
                </a:graphicData>
              </a:graphic>
            </wp:anchor>
          </w:drawing>
        </mc:Choice>
        <mc:Fallback>
          <w:pict>
            <v:rect fillcolor="#FFFFFF" style="position:absolute;rotation:0;width:459pt;height:97.2pt;mso-wrap-distance-left:9.05pt;mso-wrap-distance-right:9.05pt;margin-top:7.85pt;mso-position-vertical-relative:text;margin-left:54pt;mso-position-horizontal-relative:text">
              <v:fill opacity="0f"/>
              <v:textbox inset="0.100694444444444in,0.0506944444444444in,0.100694444444444in,0.0506944444444444in">
                <w:txbxContent>
                  <w:p>
                    <w:pPr>
                      <w:pStyle w:val="Header"/>
                      <w:jc w:val="right"/>
                      <w:rPr>
                        <w:rFonts w:ascii="Arial" w:hAnsi="Arial" w:cs="Arial"/>
                        <w:b/>
                        <w:b/>
                        <w:color w:val="003366"/>
                        <w:sz w:val="22"/>
                        <w:szCs w:val="22"/>
                      </w:rPr>
                    </w:pPr>
                    <w:r>
                      <w:rPr>
                        <w:rFonts w:cs="Arial" w:ascii="Arial" w:hAnsi="Arial"/>
                        <w:b/>
                        <w:color w:val="003366"/>
                        <w:sz w:val="22"/>
                        <w:szCs w:val="22"/>
                      </w:rPr>
                    </w:r>
                  </w:p>
                  <w:p>
                    <w:pPr>
                      <w:pStyle w:val="Header"/>
                      <w:jc w:val="right"/>
                      <w:rPr>
                        <w:rFonts w:ascii="Arial" w:hAnsi="Arial" w:cs="Arial"/>
                        <w:b/>
                        <w:b/>
                        <w:color w:val="003366"/>
                        <w:sz w:val="22"/>
                        <w:szCs w:val="22"/>
                      </w:rPr>
                    </w:pPr>
                    <w:r>
                      <w:rPr>
                        <w:rFonts w:cs="Arial" w:ascii="Arial" w:hAnsi="Arial"/>
                        <w:b/>
                        <w:color w:val="003366"/>
                        <w:sz w:val="22"/>
                        <w:szCs w:val="22"/>
                      </w:rPr>
                    </w:r>
                  </w:p>
                  <w:p>
                    <w:pPr>
                      <w:pStyle w:val="Header"/>
                      <w:jc w:val="right"/>
                      <w:rPr>
                        <w:rFonts w:ascii="Arial" w:hAnsi="Arial" w:cs="Arial"/>
                        <w:b/>
                        <w:b/>
                        <w:color w:val="003366"/>
                        <w:sz w:val="22"/>
                        <w:szCs w:val="22"/>
                      </w:rPr>
                    </w:pPr>
                    <w:r>
                      <w:rPr>
                        <w:rFonts w:cs="Arial" w:ascii="Arial" w:hAnsi="Arial"/>
                        <w:b/>
                        <w:color w:val="003366"/>
                        <w:sz w:val="22"/>
                        <w:szCs w:val="22"/>
                      </w:rPr>
                    </w:r>
                  </w:p>
                  <w:p>
                    <w:pPr>
                      <w:pStyle w:val="Normal"/>
                      <w:rPr>
                        <w:rFonts w:ascii="Arial" w:hAnsi="Arial" w:cs="Arial"/>
                        <w:b/>
                        <w:b/>
                        <w:color w:val="003366"/>
                        <w:sz w:val="22"/>
                        <w:szCs w:val="22"/>
                      </w:rPr>
                    </w:pPr>
                    <w:r>
                      <w:rPr>
                        <w:rFonts w:cs="Arial" w:ascii="Arial" w:hAnsi="Arial"/>
                        <w:b/>
                        <w:color w:val="003366"/>
                        <w:sz w:val="22"/>
                        <w:szCs w:val="22"/>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abstractNum>
  <w:abstractNum w:abstractNumId="3">
    <w:lvl w:ilvl="0">
      <w:start w:val="1"/>
      <w:numFmt w:val="decimal"/>
      <w:lvlText w:val="%1."/>
      <w:lvlJc w:val="left"/>
      <w:pPr>
        <w:ind w:left="360" w:hanging="360"/>
      </w:pPr>
      <w:rPr>
        <w:sz w:val="22"/>
        <w:szCs w:val="22"/>
        <w:bCs/>
        <w:rFonts w:ascii="Calibri" w:hAnsi="Calibri" w:cs="Tahoma"/>
      </w:rPr>
    </w:lvl>
  </w:abstractNum>
  <w:abstractNum w:abstractNumId="4">
    <w:lvl w:ilvl="0">
      <w:start w:val="1"/>
      <w:numFmt w:val="decimal"/>
      <w:lvlText w:val="%1."/>
      <w:lvlJc w:val="left"/>
      <w:pPr>
        <w:tabs>
          <w:tab w:val="num" w:pos="720"/>
        </w:tabs>
        <w:ind w:left="720" w:hanging="360"/>
      </w:pPr>
      <w:rPr/>
    </w:lvl>
  </w:abstractNum>
  <w:abstractNum w:abstractNumId="5">
    <w:lvl w:ilvl="0">
      <w:start w:val="1"/>
      <w:numFmt w:val="decimal"/>
      <w:lvlText w:val="%1."/>
      <w:lvlJc w:val="left"/>
      <w:pPr>
        <w:ind w:left="720" w:hanging="360"/>
      </w:pPr>
      <w:rPr>
        <w:sz w:val="22"/>
        <w:b w:val="false"/>
        <w:szCs w:val="22"/>
        <w:bCs/>
        <w:rFonts w:ascii="Calibri" w:hAnsi="Calibri" w:cs="Tahoma"/>
        <w:color w:val="000000"/>
      </w:rPr>
    </w:lvl>
  </w:abstractNum>
  <w:abstractNum w:abstractNumId="6">
    <w:lvl w:ilvl="0">
      <w:start w:val="1"/>
      <w:numFmt w:val="decimal"/>
      <w:lvlText w:val="%1."/>
      <w:lvlJc w:val="left"/>
      <w:pPr>
        <w:ind w:left="720" w:hanging="360"/>
      </w:pPr>
      <w:rPr>
        <w:sz w:val="22"/>
        <w:szCs w:val="22"/>
        <w:iCs/>
        <w:rFonts w:ascii="Calibri" w:hAnsi="Calibri" w:cs="Tahoma"/>
      </w:rPr>
    </w:lvl>
  </w:abstractNum>
  <w:abstractNum w:abstractNumId="7">
    <w:lvl w:ilvl="0">
      <w:start w:val="1"/>
      <w:numFmt w:val="bullet"/>
      <w:lvlText w:val=""/>
      <w:lvlJc w:val="left"/>
      <w:pPr>
        <w:ind w:left="720" w:hanging="360"/>
      </w:pPr>
      <w:rPr>
        <w:rFonts w:ascii="Symbol" w:hAnsi="Symbol" w:cs="Symbol" w:hint="default"/>
        <w:sz w:val="22"/>
        <w:szCs w:val="22"/>
        <w:rFonts w:cs="Symbol"/>
      </w:rPr>
    </w:lvl>
  </w:abstractNum>
  <w:abstractNum w:abstractNumId="8">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9">
    <w:lvl w:ilvl="0">
      <w:start w:val="1"/>
      <w:numFmt w:val="decimal"/>
      <w:lvlText w:val="%1."/>
      <w:lvlJc w:val="left"/>
      <w:pPr>
        <w:tabs>
          <w:tab w:val="num" w:pos="720"/>
        </w:tabs>
        <w:ind w:left="720" w:hanging="360"/>
      </w:pPr>
      <w:rPr>
        <w:sz w:val="24"/>
        <w:szCs w:val="22"/>
        <w:rFonts w:ascii="Calibri" w:hAnsi="Calibri" w:cs="Calibri"/>
      </w:rPr>
    </w:lvl>
  </w:abstractNum>
  <w:abstractNum w:abstractNumId="10">
    <w:lvl w:ilvl="0">
      <w:start w:val="1"/>
      <w:numFmt w:val="bullet"/>
      <w:lvlText w:val=""/>
      <w:lvlJc w:val="left"/>
      <w:pPr>
        <w:ind w:left="1080" w:hanging="360"/>
      </w:pPr>
      <w:rPr>
        <w:rFonts w:ascii="Symbol" w:hAnsi="Symbol" w:cs="Symbol" w:hint="default"/>
        <w:rFonts w:cs="Symbol"/>
      </w:rPr>
    </w:lvl>
  </w:abstractNum>
  <w:abstractNum w:abstractNumId="11">
    <w:lvl w:ilvl="0">
      <w:start w:val="1"/>
      <w:numFmt w:val="decimal"/>
      <w:lvlText w:val="%1."/>
      <w:lvlJc w:val="left"/>
      <w:pPr>
        <w:tabs>
          <w:tab w:val="num" w:pos="720"/>
        </w:tabs>
        <w:ind w:left="720" w:hanging="360"/>
      </w:pPr>
      <w:rPr>
        <w:dstrike w:val="false"/>
        <w:strike w:val="false"/>
        <w:sz w:val="22"/>
        <w:szCs w:val="22"/>
        <w:rFonts w:ascii="Calibri" w:hAnsi="Calibri" w:cs="Tahoma"/>
      </w:rPr>
    </w:lvl>
  </w:abstractNum>
  <w:abstractNum w:abstractNumId="12">
    <w:lvl w:ilvl="0">
      <w:start w:val="1"/>
      <w:numFmt w:val="decimal"/>
      <w:lvlText w:val="%1."/>
      <w:lvlJc w:val="left"/>
      <w:pPr>
        <w:tabs>
          <w:tab w:val="num" w:pos="720"/>
        </w:tabs>
        <w:ind w:left="720" w:hanging="360"/>
      </w:pPr>
      <w:rPr>
        <w:sz w:val="22"/>
        <w:szCs w:val="22"/>
        <w:iCs/>
        <w:rFonts w:ascii="Calibri" w:hAnsi="Calibri" w:cs="Tahom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tabs>
        <w:tab w:val="left" w:pos="1080" w:leader="none"/>
      </w:tabs>
      <w:spacing w:before="480" w:after="240"/>
      <w:jc w:val="both"/>
      <w:outlineLvl w:val="0"/>
      <w:outlineLvl w:val="0"/>
    </w:pPr>
    <w:rPr>
      <w:rFonts w:ascii="Arial Black" w:hAnsi="Arial Black" w:cs="Arial"/>
      <w:bCs/>
      <w:color w:val="333399"/>
      <w:sz w:val="22"/>
      <w:szCs w:val="32"/>
    </w:rPr>
  </w:style>
  <w:style w:type="paragraph" w:styleId="Heading2">
    <w:name w:val="Heading 2"/>
    <w:basedOn w:val="Normal"/>
    <w:next w:val="Normal"/>
    <w:qFormat/>
    <w:pPr>
      <w:keepNext/>
      <w:ind w:left="360" w:hanging="0"/>
      <w:jc w:val="right"/>
      <w:outlineLvl w:val="1"/>
    </w:pPr>
    <w:rPr>
      <w:rFonts w:ascii="Arial" w:hAnsi="Arial" w:cs="Arial"/>
      <w:b/>
      <w:color w:val="993366"/>
      <w:spacing w:val="60"/>
      <w:sz w:val="22"/>
      <w:szCs w:val="24"/>
    </w:rPr>
  </w:style>
  <w:style w:type="paragraph" w:styleId="Heading3">
    <w:name w:val="Heading 3"/>
    <w:basedOn w:val="Normal"/>
    <w:next w:val="Normal"/>
    <w:qFormat/>
    <w:pPr>
      <w:keepNext/>
      <w:numPr>
        <w:ilvl w:val="0"/>
        <w:numId w:val="8"/>
      </w:numPr>
      <w:jc w:val="both"/>
      <w:outlineLvl w:val="2"/>
    </w:pPr>
    <w:rPr>
      <w:rFonts w:ascii="Arial" w:hAnsi="Arial" w:cs="Arial"/>
      <w:b/>
      <w:bCs/>
      <w:sz w:val="22"/>
      <w:u w:val="single"/>
    </w:rPr>
  </w:style>
  <w:style w:type="character" w:styleId="WW8Num1z0">
    <w:name w:val="WW8Num1z0"/>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Calibri" w:hAnsi="Calibri" w:cs="Tahoma"/>
      <w:bCs/>
      <w:sz w:val="22"/>
      <w:szCs w:val="22"/>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Calibri" w:hAnsi="Calibri" w:cs="Tahoma"/>
      <w:b w:val="false"/>
      <w:bCs/>
      <w:color w:val="000000"/>
      <w:sz w:val="22"/>
      <w:szCs w:val="22"/>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Calibri" w:hAnsi="Calibri" w:cs="Tahoma"/>
      <w:iCs/>
      <w:sz w:val="22"/>
      <w:szCs w:val="22"/>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ascii="Arial" w:hAnsi="Arial"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sz w:val="22"/>
      <w:szCs w:val="22"/>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Wingdings" w:hAnsi="Wingdings" w:cs="Wingdings"/>
    </w:rPr>
  </w:style>
  <w:style w:type="character" w:styleId="WW8Num28z1">
    <w:name w:val="WW8Num28z1"/>
    <w:qFormat/>
    <w:rPr>
      <w:rFonts w:ascii="Courier New" w:hAnsi="Courier New" w:cs="Courier New"/>
    </w:rPr>
  </w:style>
  <w:style w:type="character" w:styleId="WW8Num28z3">
    <w:name w:val="WW8Num28z3"/>
    <w:qFormat/>
    <w:rPr>
      <w:rFonts w:ascii="Symbol" w:hAnsi="Symbol" w:cs="Symbol"/>
    </w:rPr>
  </w:style>
  <w:style w:type="character" w:styleId="WW8Num29z0">
    <w:name w:val="WW8Num29z0"/>
    <w:qFormat/>
    <w:rPr>
      <w:rFonts w:ascii="Wingdings" w:hAnsi="Wingdings" w:eastAsia="Calibri"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cs="Wingdings"/>
      <w:sz w:val="20"/>
    </w:rPr>
  </w:style>
  <w:style w:type="character" w:styleId="WW8Num31z0">
    <w:name w:val="WW8Num31z0"/>
    <w:qFormat/>
    <w:rPr>
      <w:rFonts w:ascii="Calibri" w:hAnsi="Calibri" w:cs="Calibri"/>
      <w:sz w:val="24"/>
      <w:szCs w:val="22"/>
    </w:rPr>
  </w:style>
  <w:style w:type="character" w:styleId="WW8Num31z1">
    <w:name w:val="WW8Num31z1"/>
    <w:qFormat/>
    <w:rPr>
      <w:rFonts w:ascii="Symbol" w:hAnsi="Symbol" w:cs="Symbol"/>
    </w:rPr>
  </w:style>
  <w:style w:type="character" w:styleId="WW8Num31z2">
    <w:name w:val="WW8Num31z2"/>
    <w:qFormat/>
    <w:rPr>
      <w:rFonts w:ascii="Wingdings" w:hAnsi="Wingdings" w:cs="Wingdings"/>
    </w:rPr>
  </w:style>
  <w:style w:type="character" w:styleId="WW8Num31z4">
    <w:name w:val="WW8Num31z4"/>
    <w:qFormat/>
    <w:rPr>
      <w:rFonts w:ascii="Courier New" w:hAnsi="Courier New" w:cs="Courier New"/>
    </w:rPr>
  </w:style>
  <w:style w:type="character" w:styleId="WW8Num32z0">
    <w:name w:val="WW8Num32z0"/>
    <w:qFormat/>
    <w:rPr>
      <w:rFonts w:ascii="Calibri" w:hAnsi="Calibri" w:eastAsia="Times New Roman" w:cs="Calibri"/>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Wingdings" w:hAnsi="Wingdings" w:cs="Wingdings"/>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Calibri" w:hAnsi="Calibri" w:cs="Tahoma"/>
      <w:strike w:val="false"/>
      <w:dstrike w:val="false"/>
      <w:sz w:val="22"/>
      <w:szCs w:val="22"/>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rFonts w:ascii="Calibri" w:hAnsi="Calibri" w:cs="Tahoma"/>
      <w:iCs/>
      <w:sz w:val="22"/>
      <w:szCs w:val="22"/>
    </w:rPr>
  </w:style>
  <w:style w:type="character" w:styleId="WW8Num39z1">
    <w:name w:val="WW8Num39z1"/>
    <w:qFormat/>
    <w:rPr>
      <w:rFonts w:ascii="Symbol" w:hAnsi="Symbol" w:cs="Symbol"/>
    </w:rPr>
  </w:style>
  <w:style w:type="character" w:styleId="WW8Num39z2">
    <w:name w:val="WW8Num39z2"/>
    <w:qFormat/>
    <w:rPr>
      <w:rFonts w:ascii="Wingdings" w:hAnsi="Wingdings" w:cs="Wingdings"/>
    </w:rPr>
  </w:style>
  <w:style w:type="character" w:styleId="WW8Num39z4">
    <w:name w:val="WW8Num39z4"/>
    <w:qFormat/>
    <w:rPr>
      <w:rFonts w:ascii="Courier New" w:hAnsi="Courier New" w:cs="Courier New"/>
    </w:rPr>
  </w:style>
  <w:style w:type="character" w:styleId="WW8Num40z0">
    <w:name w:val="WW8Num40z0"/>
    <w:qFormat/>
    <w:rPr>
      <w:rFonts w:ascii="Wingdings" w:hAnsi="Wingdings" w:cs="Wingdings"/>
    </w:rPr>
  </w:style>
  <w:style w:type="character" w:styleId="WW8Num40z1">
    <w:name w:val="WW8Num40z1"/>
    <w:qFormat/>
    <w:rPr>
      <w:rFonts w:ascii="Arial" w:hAnsi="Arial" w:eastAsia="Times New Roman" w:cs="Arial"/>
    </w:rPr>
  </w:style>
  <w:style w:type="character" w:styleId="WW8Num40z3">
    <w:name w:val="WW8Num40z3"/>
    <w:qFormat/>
    <w:rPr>
      <w:rFonts w:ascii="Symbol" w:hAnsi="Symbol" w:cs="Symbol"/>
    </w:rPr>
  </w:style>
  <w:style w:type="character" w:styleId="WW8Num40z4">
    <w:name w:val="WW8Num40z4"/>
    <w:qFormat/>
    <w:rPr>
      <w:rFonts w:ascii="Courier New" w:hAnsi="Courier New" w:cs="Courier New"/>
    </w:rPr>
  </w:style>
  <w:style w:type="character" w:styleId="WW8Num41z0">
    <w:name w:val="WW8Num41z0"/>
    <w:qFormat/>
    <w:rPr>
      <w:rFonts w:ascii="Wingdings" w:hAnsi="Wingdings" w:cs="Wingdings"/>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Wingdings" w:hAnsi="Wingdings" w:cs="Wingdings"/>
    </w:rPr>
  </w:style>
  <w:style w:type="character" w:styleId="WW8Num43z1">
    <w:name w:val="WW8Num43z1"/>
    <w:qFormat/>
    <w:rPr>
      <w:rFonts w:ascii="Courier New" w:hAnsi="Courier New" w:cs="Courier New"/>
    </w:rPr>
  </w:style>
  <w:style w:type="character" w:styleId="WW8Num43z3">
    <w:name w:val="WW8Num43z3"/>
    <w:qFormat/>
    <w:rPr>
      <w:rFonts w:ascii="Symbol" w:hAnsi="Symbol" w:cs="Symbol"/>
    </w:rPr>
  </w:style>
  <w:style w:type="character" w:styleId="WW8Num44z0">
    <w:name w:val="WW8Num44z0"/>
    <w:qFormat/>
    <w:rPr>
      <w:rFonts w:ascii="Wingdings" w:hAnsi="Wingdings" w:cs="Wingdings"/>
    </w:rPr>
  </w:style>
  <w:style w:type="character" w:styleId="WW8Num44z1">
    <w:name w:val="WW8Num44z1"/>
    <w:qFormat/>
    <w:rPr>
      <w:rFonts w:ascii="Courier New" w:hAnsi="Courier New" w:cs="Courier New"/>
    </w:rPr>
  </w:style>
  <w:style w:type="character" w:styleId="WW8Num44z3">
    <w:name w:val="WW8Num44z3"/>
    <w:qFormat/>
    <w:rPr>
      <w:rFonts w:ascii="Symbol" w:hAnsi="Symbol" w:cs="Symbol"/>
    </w:rPr>
  </w:style>
  <w:style w:type="character" w:styleId="WW8Num45z0">
    <w:name w:val="WW8Num45z0"/>
    <w:qFormat/>
    <w:rPr>
      <w:rFonts w:ascii="Wingdings" w:hAnsi="Wingdings" w:cs="Wingdings"/>
    </w:rPr>
  </w:style>
  <w:style w:type="character" w:styleId="WW8Num45z1">
    <w:name w:val="WW8Num45z1"/>
    <w:qFormat/>
    <w:rPr>
      <w:rFonts w:ascii="Courier New" w:hAnsi="Courier New" w:cs="Courier New"/>
    </w:rPr>
  </w:style>
  <w:style w:type="character" w:styleId="WW8Num45z3">
    <w:name w:val="WW8Num45z3"/>
    <w:qFormat/>
    <w:rPr>
      <w:rFonts w:ascii="Symbol" w:hAnsi="Symbol" w:cs="Symbol"/>
    </w:rPr>
  </w:style>
  <w:style w:type="character" w:styleId="WW8Num46z0">
    <w:name w:val="WW8Num46z0"/>
    <w:qFormat/>
    <w:rPr>
      <w:rFonts w:ascii="Arial" w:hAnsi="Arial" w:eastAsia="Times New Roman" w:cs="Aria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Wingdings" w:hAnsi="Wingdings" w:cs="Wingdings"/>
    </w:rPr>
  </w:style>
  <w:style w:type="character" w:styleId="WW8Num47z1">
    <w:name w:val="WW8Num47z1"/>
    <w:qFormat/>
    <w:rPr>
      <w:rFonts w:ascii="Courier New" w:hAnsi="Courier New" w:cs="Courier New"/>
    </w:rPr>
  </w:style>
  <w:style w:type="character" w:styleId="WW8Num47z3">
    <w:name w:val="WW8Num47z3"/>
    <w:qFormat/>
    <w:rPr>
      <w:rFonts w:ascii="Symbol" w:hAnsi="Symbol" w:cs="Symbol"/>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Policepardfaut">
    <w:name w:val="Police par défaut"/>
    <w:qFormat/>
    <w:rPr/>
  </w:style>
  <w:style w:type="character" w:styleId="EntteCar">
    <w:name w:val="En-tête Car"/>
    <w:qFormat/>
    <w:rPr>
      <w:lang w:val="fr-FR" w:bidi="ar-SA"/>
    </w:rPr>
  </w:style>
  <w:style w:type="character" w:styleId="PieddepageCar">
    <w:name w:val="Pied de page Car"/>
    <w:qFormat/>
    <w:rPr>
      <w:sz w:val="24"/>
      <w:szCs w:val="24"/>
      <w:lang w:val="fr-FR" w:bidi="ar-SA"/>
    </w:rPr>
  </w:style>
  <w:style w:type="character" w:styleId="EndnoteCharacters">
    <w:name w:val="Endnote Characters"/>
    <w:qFormat/>
    <w:rPr>
      <w:vertAlign w:val="superscript"/>
    </w:rPr>
  </w:style>
  <w:style w:type="character" w:styleId="InternetLink">
    <w:name w:val="Internet Link"/>
    <w:rPr>
      <w:color w:val="0000FF"/>
      <w:u w:val="single"/>
    </w:rPr>
  </w:style>
  <w:style w:type="character" w:styleId="Titre3Car">
    <w:name w:val="Titre 3 Car"/>
    <w:qFormat/>
    <w:rPr>
      <w:rFonts w:ascii="Arial" w:hAnsi="Arial" w:cs="Arial"/>
      <w:b/>
      <w:bCs/>
      <w:sz w:val="22"/>
      <w:u w:val="single"/>
      <w:lang w:val="fr-FR" w:bidi="ar-SA"/>
    </w:rPr>
  </w:style>
  <w:style w:type="character" w:styleId="S2">
    <w:name w:val="s2"/>
    <w:qFormat/>
    <w:rPr>
      <w:rFonts w:ascii="Helvetica" w:hAnsi="Helvetica" w:cs="Helvetica"/>
      <w:color w:val="000000"/>
      <w:sz w:val="24"/>
      <w:szCs w:val="24"/>
    </w:rPr>
  </w:style>
  <w:style w:type="character" w:styleId="TextedebullesCar">
    <w:name w:val="Texte de bulles Car"/>
    <w:qFormat/>
    <w:rPr>
      <w:rFonts w:ascii="Tahoma" w:hAnsi="Tahoma" w:cs="Tahoma"/>
      <w:sz w:val="16"/>
      <w:szCs w:val="16"/>
    </w:rPr>
  </w:style>
  <w:style w:type="character" w:styleId="NotedebasdepageCar">
    <w:name w:val="Note de bas de page Car"/>
    <w:basedOn w:val="Policepardfaut"/>
    <w:qFormat/>
    <w:rPr/>
  </w:style>
  <w:style w:type="character" w:styleId="FootnoteCharacters">
    <w:name w:val="Footnote Characters"/>
    <w:qFormat/>
    <w:rPr>
      <w:vertAlign w:val="superscrip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z w:val="20"/>
      <w:szCs w:val="20"/>
    </w:rPr>
  </w:style>
  <w:style w:type="paragraph" w:styleId="Footer">
    <w:name w:val="Footer"/>
    <w:basedOn w:val="Normal"/>
    <w:pPr>
      <w:tabs>
        <w:tab w:val="center" w:pos="4536" w:leader="none"/>
        <w:tab w:val="right" w:pos="9072" w:leader="none"/>
      </w:tabs>
    </w:pPr>
    <w:rPr/>
  </w:style>
  <w:style w:type="paragraph" w:styleId="CarCarCar">
    <w:name w:val=" Car Car Car"/>
    <w:basedOn w:val="Normal"/>
    <w:qFormat/>
    <w:pPr>
      <w:spacing w:lineRule="exact" w:line="240" w:before="0" w:after="160"/>
    </w:pPr>
    <w:rPr>
      <w:rFonts w:ascii="Book Antiqua" w:hAnsi="Book Antiqua" w:cs="Book Antiqua"/>
      <w:sz w:val="20"/>
      <w:szCs w:val="20"/>
      <w:lang w:val="en-US"/>
    </w:rPr>
  </w:style>
  <w:style w:type="paragraph" w:styleId="Endnote">
    <w:name w:val="Endnote"/>
    <w:basedOn w:val="Normal"/>
    <w:pPr/>
    <w:rPr/>
  </w:style>
  <w:style w:type="paragraph" w:styleId="Contents1">
    <w:name w:val="Contents 1"/>
    <w:basedOn w:val="Normal"/>
    <w:next w:val="Normal"/>
    <w:pPr>
      <w:spacing w:before="120" w:after="120"/>
    </w:pPr>
    <w:rPr>
      <w:rFonts w:ascii="Arial" w:hAnsi="Arial" w:cs="Arial"/>
      <w:sz w:val="24"/>
    </w:rPr>
  </w:style>
  <w:style w:type="paragraph" w:styleId="Contents2">
    <w:name w:val="Contents 2"/>
    <w:basedOn w:val="Normal"/>
    <w:next w:val="Normal"/>
    <w:pPr>
      <w:ind w:left="200" w:hanging="0"/>
    </w:pPr>
    <w:rPr>
      <w:rFonts w:ascii="Arial" w:hAnsi="Arial" w:cs="Arial"/>
      <w:sz w:val="22"/>
    </w:rPr>
  </w:style>
  <w:style w:type="paragraph" w:styleId="Contents3">
    <w:name w:val="Contents 3"/>
    <w:basedOn w:val="Normal"/>
    <w:next w:val="Normal"/>
    <w:pPr>
      <w:ind w:left="400" w:hanging="0"/>
    </w:pPr>
    <w:rPr>
      <w:rFonts w:ascii="Arial" w:hAnsi="Arial" w:cs="Arial"/>
      <w:sz w:val="22"/>
    </w:rPr>
  </w:style>
  <w:style w:type="paragraph" w:styleId="CarCarCar1">
    <w:name w:val="Car Car Car"/>
    <w:basedOn w:val="Normal"/>
    <w:qFormat/>
    <w:pPr>
      <w:spacing w:lineRule="exact" w:line="240" w:before="0" w:after="160"/>
    </w:pPr>
    <w:rPr>
      <w:rFonts w:ascii="Book Antiqua" w:hAnsi="Book Antiqua" w:cs="Book Antiqua"/>
      <w:lang w:val="en-US"/>
    </w:rPr>
  </w:style>
  <w:style w:type="paragraph" w:styleId="TextBodyIndent">
    <w:name w:val="Text Body Indent"/>
    <w:basedOn w:val="Normal"/>
    <w:pPr>
      <w:ind w:left="1758" w:hanging="0"/>
      <w:jc w:val="both"/>
    </w:pPr>
    <w:rPr>
      <w:rFonts w:ascii="Arial" w:hAnsi="Arial" w:cs="Arial"/>
      <w:sz w:val="22"/>
      <w:szCs w:val="24"/>
    </w:rPr>
  </w:style>
  <w:style w:type="paragraph" w:styleId="Textedebulles">
    <w:name w:val="Texte de bulles"/>
    <w:basedOn w:val="Normal"/>
    <w:qFormat/>
    <w:pPr/>
    <w:rPr>
      <w:rFonts w:ascii="Tahoma" w:hAnsi="Tahoma" w:cs="Tahoma"/>
      <w:sz w:val="16"/>
      <w:szCs w:val="16"/>
    </w:rPr>
  </w:style>
  <w:style w:type="paragraph" w:styleId="Footnote">
    <w:name w:val="Footnote"/>
    <w:basedOn w:val="Normal"/>
    <w:pPr/>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 w:type="numbering" w:styleId="WW8Num48">
    <w:name w:val="WW8Num4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2019-12-17T09:16:00Z</dcterms:created>
  <dc:language>en-GB</dc:language>
  <cp:lastPrinted>2019-12-03T14:40:00Z</cp:lastPrinted>
  <dcterms:modified xsi:type="dcterms:W3CDTF">2019-12-17T09:16:00Z</dcterms:modified>
  <cp:revision>2</cp:revision>
  <dc:title>KUID SOCIAL TTIU</dc:title>
</cp:coreProperties>
</file>