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33" w:rsidRPr="00D718D6" w:rsidRDefault="00FE4D0D">
      <w:pPr>
        <w:contextualSpacing/>
        <w:jc w:val="center"/>
        <w:rPr>
          <w:b/>
          <w:u w:val="single"/>
        </w:rPr>
      </w:pPr>
      <w:bookmarkStart w:id="0" w:name="_GoBack"/>
      <w:bookmarkEnd w:id="0"/>
      <w:r w:rsidRPr="00D718D6">
        <w:rPr>
          <w:b/>
          <w:noProof/>
          <w:u w:val="single"/>
          <w:lang w:eastAsia="fr-FR"/>
        </w:rPr>
        <w:drawing>
          <wp:anchor distT="0" distB="0" distL="114300" distR="114300" simplePos="0" relativeHeight="15" behindDoc="0" locked="0" layoutInCell="1" allowOverlap="1" wp14:anchorId="70B6D49C" wp14:editId="310764BA">
            <wp:simplePos x="0" y="0"/>
            <wp:positionH relativeFrom="column">
              <wp:posOffset>1682750</wp:posOffset>
            </wp:positionH>
            <wp:positionV relativeFrom="paragraph">
              <wp:posOffset>2540</wp:posOffset>
            </wp:positionV>
            <wp:extent cx="2510790" cy="953135"/>
            <wp:effectExtent l="0" t="0" r="0" b="0"/>
            <wp:wrapSquare wrapText="bothSides"/>
            <wp:docPr id="1" name="Image 1" descr="D:\DOCUMENTS DE CDEVEVEY\Mes Images\Logos\LOGO-INGELIANCE-2017-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DOCUMENTS DE CDEVEVEY\Mes Images\Logos\LOGO-INGELIANCE-2017-COULEURS.png"/>
                    <pic:cNvPicPr>
                      <a:picLocks noChangeAspect="1" noChangeArrowheads="1"/>
                    </pic:cNvPicPr>
                  </pic:nvPicPr>
                  <pic:blipFill>
                    <a:blip r:embed="rId8"/>
                    <a:srcRect t="23307" b="23307"/>
                    <a:stretch>
                      <a:fillRect/>
                    </a:stretch>
                  </pic:blipFill>
                  <pic:spPr bwMode="auto">
                    <a:xfrm>
                      <a:off x="0" y="0"/>
                      <a:ext cx="2510790" cy="953135"/>
                    </a:xfrm>
                    <a:prstGeom prst="rect">
                      <a:avLst/>
                    </a:prstGeom>
                  </pic:spPr>
                </pic:pic>
              </a:graphicData>
            </a:graphic>
          </wp:anchor>
        </w:drawing>
      </w:r>
    </w:p>
    <w:p w:rsidR="00075E33" w:rsidRPr="00D718D6" w:rsidRDefault="00075E33">
      <w:pPr>
        <w:contextualSpacing/>
        <w:jc w:val="center"/>
        <w:rPr>
          <w:b/>
        </w:rPr>
      </w:pPr>
    </w:p>
    <w:p w:rsidR="00075E33" w:rsidRPr="00D718D6" w:rsidRDefault="00FE4D0D">
      <w:pPr>
        <w:tabs>
          <w:tab w:val="left" w:pos="1290"/>
        </w:tabs>
        <w:contextualSpacing/>
        <w:jc w:val="both"/>
        <w:rPr>
          <w:b/>
        </w:rPr>
      </w:pPr>
      <w:r w:rsidRPr="00D718D6">
        <w:rPr>
          <w:b/>
        </w:rPr>
        <w:tab/>
      </w:r>
    </w:p>
    <w:p w:rsidR="00075E33" w:rsidRPr="00D718D6" w:rsidRDefault="00075E33">
      <w:pPr>
        <w:contextualSpacing/>
        <w:jc w:val="center"/>
        <w:rPr>
          <w:b/>
        </w:rPr>
      </w:pPr>
    </w:p>
    <w:p w:rsidR="00075E33" w:rsidRPr="00D718D6" w:rsidRDefault="00075E33">
      <w:pPr>
        <w:contextualSpacing/>
        <w:jc w:val="center"/>
        <w:rPr>
          <w:b/>
        </w:rPr>
      </w:pPr>
    </w:p>
    <w:p w:rsidR="00075E33" w:rsidRPr="00D718D6" w:rsidRDefault="00075E33">
      <w:pPr>
        <w:spacing w:after="0" w:line="240" w:lineRule="auto"/>
        <w:contextualSpacing/>
        <w:jc w:val="center"/>
        <w:rPr>
          <w:b/>
          <w:sz w:val="28"/>
          <w:szCs w:val="28"/>
          <w:u w:val="single"/>
        </w:rPr>
      </w:pPr>
    </w:p>
    <w:p w:rsidR="00075E33" w:rsidRPr="00D718D6" w:rsidRDefault="00075E33">
      <w:pPr>
        <w:spacing w:after="0" w:line="240" w:lineRule="auto"/>
        <w:contextualSpacing/>
        <w:jc w:val="center"/>
        <w:rPr>
          <w:b/>
          <w:sz w:val="28"/>
          <w:szCs w:val="28"/>
          <w:u w:val="single"/>
        </w:rPr>
      </w:pPr>
    </w:p>
    <w:p w:rsidR="00075E33" w:rsidRPr="00D718D6" w:rsidRDefault="00075E33">
      <w:pPr>
        <w:spacing w:after="0" w:line="240" w:lineRule="auto"/>
        <w:contextualSpacing/>
        <w:jc w:val="center"/>
        <w:rPr>
          <w:b/>
          <w:sz w:val="28"/>
          <w:szCs w:val="28"/>
          <w:u w:val="single"/>
        </w:rPr>
      </w:pPr>
    </w:p>
    <w:p w:rsidR="00520787" w:rsidRPr="00D718D6" w:rsidRDefault="00520787">
      <w:pPr>
        <w:spacing w:after="0" w:line="240" w:lineRule="auto"/>
        <w:contextualSpacing/>
        <w:jc w:val="center"/>
        <w:rPr>
          <w:b/>
          <w:sz w:val="28"/>
          <w:szCs w:val="28"/>
          <w:u w:val="single"/>
        </w:rPr>
      </w:pPr>
    </w:p>
    <w:p w:rsidR="00075E33" w:rsidRPr="00D718D6" w:rsidRDefault="00075E33">
      <w:pPr>
        <w:spacing w:after="0" w:line="240" w:lineRule="auto"/>
        <w:contextualSpacing/>
        <w:jc w:val="center"/>
        <w:rPr>
          <w:b/>
          <w:sz w:val="28"/>
          <w:szCs w:val="28"/>
          <w:u w:val="single"/>
        </w:rPr>
      </w:pPr>
    </w:p>
    <w:p w:rsidR="00075E33" w:rsidRPr="00D718D6" w:rsidRDefault="00FE4D0D" w:rsidP="007066B3">
      <w:pPr>
        <w:spacing w:after="0" w:line="240" w:lineRule="auto"/>
        <w:contextualSpacing/>
        <w:jc w:val="center"/>
        <w:rPr>
          <w:b/>
          <w:color w:val="4F81BD" w:themeColor="accent1"/>
          <w:sz w:val="56"/>
          <w:szCs w:val="28"/>
        </w:rPr>
      </w:pPr>
      <w:r w:rsidRPr="00D718D6">
        <w:rPr>
          <w:b/>
          <w:color w:val="4F81BD" w:themeColor="accent1"/>
          <w:sz w:val="56"/>
          <w:szCs w:val="28"/>
        </w:rPr>
        <w:t xml:space="preserve">ACCORD D’ENTREPRISE RELATIF </w:t>
      </w:r>
      <w:r w:rsidR="00372558" w:rsidRPr="00D718D6">
        <w:rPr>
          <w:b/>
          <w:color w:val="4F81BD" w:themeColor="accent1"/>
          <w:sz w:val="56"/>
          <w:szCs w:val="28"/>
        </w:rPr>
        <w:br/>
      </w:r>
      <w:r w:rsidR="00E0215A" w:rsidRPr="00D718D6">
        <w:rPr>
          <w:b/>
          <w:color w:val="4F81BD" w:themeColor="accent1"/>
          <w:sz w:val="56"/>
          <w:szCs w:val="28"/>
        </w:rPr>
        <w:t xml:space="preserve">AUX GARANTIES COMPLEMENTAIRES </w:t>
      </w:r>
      <w:r w:rsidR="007066B3" w:rsidRPr="00D718D6">
        <w:rPr>
          <w:b/>
          <w:color w:val="4F81BD" w:themeColor="accent1"/>
          <w:sz w:val="56"/>
          <w:szCs w:val="28"/>
        </w:rPr>
        <w:t>I</w:t>
      </w:r>
      <w:r w:rsidR="00E0215A" w:rsidRPr="00D718D6">
        <w:rPr>
          <w:b/>
          <w:color w:val="4F81BD" w:themeColor="accent1"/>
          <w:sz w:val="56"/>
          <w:szCs w:val="28"/>
        </w:rPr>
        <w:t>NCAPACITE, INVALIDITE ET DECES </w:t>
      </w:r>
    </w:p>
    <w:p w:rsidR="00075E33" w:rsidRPr="00D718D6" w:rsidRDefault="00E0215A" w:rsidP="00E0215A">
      <w:pPr>
        <w:spacing w:after="0" w:line="240" w:lineRule="auto"/>
        <w:contextualSpacing/>
        <w:jc w:val="center"/>
        <w:rPr>
          <w:b/>
          <w:color w:val="4F81BD" w:themeColor="accent1"/>
          <w:sz w:val="32"/>
          <w:szCs w:val="28"/>
        </w:rPr>
      </w:pPr>
      <w:r w:rsidRPr="00D718D6">
        <w:rPr>
          <w:b/>
          <w:i/>
          <w:color w:val="4F81BD" w:themeColor="accent1"/>
          <w:sz w:val="32"/>
          <w:szCs w:val="28"/>
        </w:rPr>
        <w:t>/</w:t>
      </w:r>
      <w:r w:rsidRPr="00D718D6">
        <w:rPr>
          <w:b/>
          <w:color w:val="4F81BD" w:themeColor="accent1"/>
          <w:sz w:val="32"/>
          <w:szCs w:val="28"/>
        </w:rPr>
        <w:t>articles 4, 4 bis et 36 de la CCN de 1947/</w:t>
      </w:r>
    </w:p>
    <w:p w:rsidR="004575D9" w:rsidRPr="00D718D6" w:rsidRDefault="004575D9">
      <w:pPr>
        <w:spacing w:after="0" w:line="240" w:lineRule="auto"/>
        <w:contextualSpacing/>
        <w:jc w:val="center"/>
        <w:rPr>
          <w:b/>
          <w:color w:val="1F497D" w:themeColor="text2"/>
          <w:sz w:val="28"/>
          <w:szCs w:val="28"/>
        </w:rPr>
      </w:pPr>
    </w:p>
    <w:p w:rsidR="00501C80" w:rsidRPr="00D718D6" w:rsidRDefault="00501C80">
      <w:pPr>
        <w:spacing w:after="0" w:line="240" w:lineRule="auto"/>
        <w:contextualSpacing/>
        <w:jc w:val="center"/>
        <w:rPr>
          <w:b/>
          <w:color w:val="1F497D" w:themeColor="text2"/>
          <w:sz w:val="28"/>
          <w:szCs w:val="28"/>
        </w:rPr>
      </w:pPr>
    </w:p>
    <w:p w:rsidR="004575D9" w:rsidRPr="00D718D6" w:rsidRDefault="004575D9">
      <w:pPr>
        <w:spacing w:after="0" w:line="240" w:lineRule="auto"/>
        <w:contextualSpacing/>
        <w:jc w:val="center"/>
        <w:rPr>
          <w:b/>
          <w:color w:val="1F497D" w:themeColor="text2"/>
          <w:sz w:val="28"/>
          <w:szCs w:val="28"/>
        </w:rPr>
      </w:pPr>
    </w:p>
    <w:p w:rsidR="004575D9" w:rsidRPr="00D718D6" w:rsidRDefault="00501C80">
      <w:pPr>
        <w:spacing w:after="0" w:line="240" w:lineRule="auto"/>
        <w:contextualSpacing/>
        <w:jc w:val="center"/>
        <w:rPr>
          <w:b/>
          <w:color w:val="1F497D" w:themeColor="text2"/>
          <w:sz w:val="28"/>
          <w:szCs w:val="28"/>
        </w:rPr>
      </w:pPr>
      <w:r w:rsidRPr="00D718D6">
        <w:rPr>
          <w:noProof/>
          <w:lang w:eastAsia="fr-FR"/>
        </w:rPr>
        <w:drawing>
          <wp:inline distT="0" distB="0" distL="0" distR="0" wp14:anchorId="03AFF762" wp14:editId="10B22CD7">
            <wp:extent cx="4278702" cy="2139351"/>
            <wp:effectExtent l="0" t="0" r="7620" b="0"/>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422" cy="2138711"/>
                    </a:xfrm>
                    <a:prstGeom prst="rect">
                      <a:avLst/>
                    </a:prstGeom>
                    <a:noFill/>
                    <a:ln>
                      <a:noFill/>
                    </a:ln>
                  </pic:spPr>
                </pic:pic>
              </a:graphicData>
            </a:graphic>
          </wp:inline>
        </w:drawing>
      </w:r>
    </w:p>
    <w:p w:rsidR="004575D9" w:rsidRPr="00D718D6" w:rsidRDefault="004575D9">
      <w:pPr>
        <w:spacing w:after="0" w:line="240" w:lineRule="auto"/>
        <w:contextualSpacing/>
        <w:jc w:val="center"/>
        <w:rPr>
          <w:b/>
          <w:color w:val="1F497D" w:themeColor="text2"/>
          <w:sz w:val="28"/>
          <w:szCs w:val="28"/>
        </w:rPr>
      </w:pPr>
    </w:p>
    <w:p w:rsidR="004575D9" w:rsidRPr="00D718D6" w:rsidRDefault="004575D9">
      <w:pPr>
        <w:spacing w:after="0" w:line="240" w:lineRule="auto"/>
        <w:contextualSpacing/>
        <w:jc w:val="center"/>
        <w:rPr>
          <w:b/>
          <w:color w:val="1F497D" w:themeColor="text2"/>
          <w:sz w:val="28"/>
          <w:szCs w:val="28"/>
        </w:rPr>
      </w:pPr>
    </w:p>
    <w:p w:rsidR="00075E33" w:rsidRPr="00D718D6" w:rsidRDefault="00075E33">
      <w:pPr>
        <w:spacing w:after="0" w:line="240" w:lineRule="auto"/>
        <w:contextualSpacing/>
        <w:jc w:val="center"/>
        <w:rPr>
          <w:b/>
          <w:color w:val="1F497D" w:themeColor="text2"/>
          <w:sz w:val="28"/>
          <w:szCs w:val="28"/>
        </w:rPr>
      </w:pPr>
    </w:p>
    <w:p w:rsidR="00075E33" w:rsidRPr="00D718D6" w:rsidRDefault="00075E33">
      <w:pPr>
        <w:spacing w:after="0" w:line="240" w:lineRule="auto"/>
        <w:contextualSpacing/>
        <w:jc w:val="center"/>
        <w:rPr>
          <w:b/>
          <w:color w:val="1F497D" w:themeColor="text2"/>
          <w:sz w:val="28"/>
          <w:szCs w:val="28"/>
        </w:rPr>
      </w:pPr>
    </w:p>
    <w:p w:rsidR="00520787" w:rsidRPr="00D718D6" w:rsidRDefault="00520787">
      <w:pPr>
        <w:spacing w:after="0" w:line="240" w:lineRule="auto"/>
        <w:contextualSpacing/>
        <w:jc w:val="center"/>
        <w:rPr>
          <w:b/>
          <w:color w:val="1F497D" w:themeColor="text2"/>
          <w:sz w:val="56"/>
          <w:szCs w:val="28"/>
        </w:rPr>
      </w:pPr>
    </w:p>
    <w:p w:rsidR="00075E33" w:rsidRPr="00D718D6" w:rsidRDefault="00FE4D0D">
      <w:pPr>
        <w:spacing w:after="0" w:line="240" w:lineRule="auto"/>
        <w:contextualSpacing/>
        <w:jc w:val="center"/>
        <w:rPr>
          <w:b/>
          <w:color w:val="1F497D" w:themeColor="text2"/>
          <w:sz w:val="56"/>
          <w:szCs w:val="28"/>
        </w:rPr>
      </w:pPr>
      <w:r w:rsidRPr="00D718D6">
        <w:rPr>
          <w:b/>
          <w:color w:val="1F497D" w:themeColor="text2"/>
          <w:sz w:val="56"/>
          <w:szCs w:val="28"/>
        </w:rPr>
        <w:t>INGELIANCE TECHNOLOGIES</w:t>
      </w:r>
    </w:p>
    <w:p w:rsidR="00075E33" w:rsidRPr="00D718D6" w:rsidRDefault="00FE4D0D">
      <w:pPr>
        <w:contextualSpacing/>
        <w:rPr>
          <w:b/>
          <w:color w:val="1F497D" w:themeColor="text2"/>
          <w:sz w:val="56"/>
          <w:szCs w:val="28"/>
        </w:rPr>
      </w:pPr>
      <w:r w:rsidRPr="00D718D6">
        <w:br w:type="page"/>
      </w:r>
    </w:p>
    <w:p w:rsidR="00075E33" w:rsidRPr="00D718D6" w:rsidRDefault="00075E33">
      <w:pPr>
        <w:spacing w:after="0" w:line="240" w:lineRule="auto"/>
        <w:contextualSpacing/>
        <w:rPr>
          <w:rFonts w:ascii="Calibri" w:eastAsia="Times New Roman" w:hAnsi="Calibri" w:cs="Garamond"/>
          <w:sz w:val="22"/>
          <w:szCs w:val="22"/>
          <w:lang w:bidi="hi-IN"/>
        </w:rPr>
      </w:pPr>
    </w:p>
    <w:p w:rsidR="00075E33" w:rsidRPr="00D718D6" w:rsidRDefault="00075E33">
      <w:pPr>
        <w:spacing w:after="0" w:line="240" w:lineRule="auto"/>
        <w:contextualSpacing/>
        <w:rPr>
          <w:rFonts w:ascii="Calibri" w:eastAsia="Times New Roman" w:hAnsi="Calibri" w:cs="Garamond"/>
          <w:sz w:val="22"/>
          <w:szCs w:val="22"/>
          <w:lang w:bidi="hi-IN"/>
        </w:rPr>
      </w:pPr>
    </w:p>
    <w:p w:rsidR="00075E33" w:rsidRPr="00D718D6" w:rsidRDefault="00FE4D0D">
      <w:pPr>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ENTRE LES SOUSSIGNEES :</w:t>
      </w:r>
    </w:p>
    <w:p w:rsidR="00075E33" w:rsidRPr="00D718D6" w:rsidRDefault="00075E33">
      <w:pPr>
        <w:spacing w:after="240" w:line="240" w:lineRule="atLeast"/>
        <w:ind w:firstLine="360"/>
        <w:contextualSpacing/>
        <w:jc w:val="both"/>
        <w:rPr>
          <w:rFonts w:ascii="Calibri" w:eastAsia="Times New Roman" w:hAnsi="Calibri" w:cs="Garamond"/>
          <w:sz w:val="22"/>
          <w:szCs w:val="22"/>
          <w:lang w:bidi="hi-IN"/>
        </w:rPr>
      </w:pPr>
    </w:p>
    <w:p w:rsidR="00075E33" w:rsidRPr="00D718D6" w:rsidRDefault="00075E33">
      <w:pPr>
        <w:spacing w:after="240" w:line="240" w:lineRule="atLeast"/>
        <w:ind w:firstLine="360"/>
        <w:contextualSpacing/>
        <w:jc w:val="both"/>
        <w:rPr>
          <w:rFonts w:ascii="Calibri" w:eastAsia="Times New Roman" w:hAnsi="Calibri" w:cs="Garamond"/>
          <w:sz w:val="22"/>
          <w:szCs w:val="22"/>
          <w:lang w:bidi="hi-IN"/>
        </w:rPr>
      </w:pPr>
    </w:p>
    <w:p w:rsidR="00075E33" w:rsidRPr="00D718D6" w:rsidRDefault="00FE4D0D">
      <w:pPr>
        <w:tabs>
          <w:tab w:val="left" w:pos="3119"/>
        </w:tabs>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LA SOCIETE :</w:t>
      </w:r>
      <w:r w:rsidRPr="00D718D6">
        <w:rPr>
          <w:rFonts w:eastAsia="Times New Roman" w:cs="Garamond"/>
          <w:sz w:val="22"/>
          <w:szCs w:val="22"/>
          <w:lang w:bidi="hi-IN"/>
        </w:rPr>
        <w:tab/>
      </w:r>
      <w:r w:rsidRPr="00D718D6">
        <w:rPr>
          <w:rFonts w:eastAsia="Times New Roman" w:cs="Garamond"/>
          <w:b/>
          <w:bCs/>
          <w:sz w:val="22"/>
          <w:szCs w:val="22"/>
          <w:lang w:bidi="hi-IN"/>
        </w:rPr>
        <w:t>INGELIANCE Technologies</w:t>
      </w: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FE4D0D">
      <w:pPr>
        <w:tabs>
          <w:tab w:val="left" w:pos="3119"/>
        </w:tabs>
        <w:spacing w:after="0" w:line="240" w:lineRule="auto"/>
        <w:contextualSpacing/>
        <w:rPr>
          <w:rFonts w:ascii="Calibri" w:eastAsia="Times New Roman" w:hAnsi="Calibri" w:cs="Garamond"/>
          <w:b/>
          <w:bCs/>
          <w:sz w:val="22"/>
          <w:szCs w:val="22"/>
          <w:lang w:bidi="hi-IN"/>
        </w:rPr>
      </w:pPr>
      <w:r w:rsidRPr="00D718D6">
        <w:rPr>
          <w:rFonts w:eastAsia="Times New Roman" w:cs="Garamond"/>
          <w:sz w:val="22"/>
          <w:szCs w:val="22"/>
          <w:lang w:bidi="hi-IN"/>
        </w:rPr>
        <w:t xml:space="preserve">DONT LE SIEGE EST SITUE : </w:t>
      </w:r>
      <w:r w:rsidRPr="00D718D6">
        <w:rPr>
          <w:rFonts w:eastAsia="Times New Roman" w:cs="Garamond"/>
          <w:sz w:val="22"/>
          <w:szCs w:val="22"/>
          <w:lang w:bidi="hi-IN"/>
        </w:rPr>
        <w:tab/>
      </w:r>
      <w:r w:rsidRPr="00D718D6">
        <w:rPr>
          <w:rFonts w:eastAsia="Times New Roman" w:cs="Garamond"/>
          <w:b/>
          <w:bCs/>
          <w:sz w:val="22"/>
          <w:szCs w:val="22"/>
          <w:lang w:bidi="hi-IN"/>
        </w:rPr>
        <w:t>6 Rue Nicolas Leblanc, ZA Saint-Exupéry 2,</w:t>
      </w:r>
    </w:p>
    <w:p w:rsidR="00075E33" w:rsidRPr="00D718D6" w:rsidRDefault="00FE4D0D">
      <w:pPr>
        <w:tabs>
          <w:tab w:val="left" w:pos="3119"/>
        </w:tabs>
        <w:spacing w:after="0" w:line="240" w:lineRule="auto"/>
        <w:contextualSpacing/>
        <w:rPr>
          <w:rFonts w:ascii="Calibri" w:eastAsia="Times New Roman" w:hAnsi="Calibri" w:cs="Garamond"/>
          <w:b/>
          <w:sz w:val="22"/>
          <w:szCs w:val="22"/>
          <w:lang w:bidi="hi-IN"/>
        </w:rPr>
      </w:pPr>
      <w:r w:rsidRPr="00D718D6">
        <w:rPr>
          <w:rFonts w:eastAsia="Times New Roman" w:cs="Garamond"/>
          <w:b/>
          <w:bCs/>
          <w:sz w:val="22"/>
          <w:szCs w:val="22"/>
          <w:lang w:bidi="hi-IN"/>
        </w:rPr>
        <w:tab/>
        <w:t xml:space="preserve"> 33700 Mérignac, France</w:t>
      </w:r>
    </w:p>
    <w:p w:rsidR="00075E33" w:rsidRPr="00D718D6" w:rsidRDefault="00075E33">
      <w:pPr>
        <w:tabs>
          <w:tab w:val="left" w:pos="3119"/>
        </w:tabs>
        <w:spacing w:after="0" w:line="240" w:lineRule="auto"/>
        <w:contextualSpacing/>
        <w:rPr>
          <w:rFonts w:ascii="Calibri" w:eastAsia="Times New Roman" w:hAnsi="Calibri" w:cs="Garamond"/>
          <w:b/>
          <w:sz w:val="22"/>
          <w:szCs w:val="22"/>
          <w:lang w:bidi="hi-IN"/>
        </w:rPr>
      </w:pPr>
    </w:p>
    <w:p w:rsidR="00075E33" w:rsidRPr="00D718D6" w:rsidRDefault="00FE4D0D" w:rsidP="00F0094C">
      <w:pPr>
        <w:tabs>
          <w:tab w:val="left" w:pos="3119"/>
        </w:tabs>
        <w:spacing w:after="0" w:line="240" w:lineRule="auto"/>
        <w:contextualSpacing/>
        <w:rPr>
          <w:rFonts w:ascii="Calibri" w:eastAsia="Times New Roman" w:hAnsi="Calibri" w:cs="Garamond"/>
          <w:b/>
          <w:sz w:val="22"/>
          <w:szCs w:val="22"/>
          <w:lang w:bidi="hi-IN"/>
        </w:rPr>
      </w:pPr>
      <w:r w:rsidRPr="00D718D6">
        <w:rPr>
          <w:rFonts w:eastAsia="Times New Roman" w:cs="Garamond"/>
          <w:sz w:val="22"/>
          <w:szCs w:val="22"/>
          <w:lang w:bidi="hi-IN"/>
        </w:rPr>
        <w:t>REPRESENTEE PAR :</w:t>
      </w:r>
      <w:r w:rsidRPr="00D718D6">
        <w:rPr>
          <w:rFonts w:eastAsia="Times New Roman" w:cs="Garamond"/>
          <w:sz w:val="22"/>
          <w:szCs w:val="22"/>
          <w:lang w:bidi="hi-IN"/>
        </w:rPr>
        <w:tab/>
      </w: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FE4D0D">
      <w:pPr>
        <w:tabs>
          <w:tab w:val="left" w:pos="3119"/>
        </w:tabs>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EN SA QUALITE DE :</w:t>
      </w:r>
      <w:r w:rsidRPr="00D718D6">
        <w:rPr>
          <w:rFonts w:eastAsia="Times New Roman" w:cs="Garamond"/>
          <w:sz w:val="22"/>
          <w:szCs w:val="22"/>
          <w:lang w:bidi="hi-IN"/>
        </w:rPr>
        <w:tab/>
      </w:r>
      <w:r w:rsidRPr="00D718D6">
        <w:rPr>
          <w:rFonts w:eastAsia="Times New Roman" w:cs="Garamond"/>
          <w:b/>
          <w:bCs/>
          <w:sz w:val="22"/>
          <w:szCs w:val="22"/>
          <w:lang w:bidi="hi-IN"/>
        </w:rPr>
        <w:t>Directrice des Ressources Humaines</w:t>
      </w: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FE4D0D">
      <w:pPr>
        <w:spacing w:after="0" w:line="240" w:lineRule="auto"/>
        <w:contextualSpacing/>
        <w:jc w:val="right"/>
        <w:rPr>
          <w:rFonts w:ascii="Calibri" w:eastAsia="Times New Roman" w:hAnsi="Calibri" w:cs="Garamond"/>
          <w:sz w:val="22"/>
          <w:szCs w:val="22"/>
          <w:lang w:bidi="hi-IN"/>
        </w:rPr>
      </w:pPr>
      <w:r w:rsidRPr="00D718D6">
        <w:rPr>
          <w:rFonts w:eastAsia="Times New Roman" w:cs="Garamond"/>
          <w:sz w:val="22"/>
          <w:szCs w:val="22"/>
          <w:lang w:bidi="hi-IN"/>
        </w:rPr>
        <w:t>D’UNE PART</w:t>
      </w:r>
    </w:p>
    <w:p w:rsidR="00075E33" w:rsidRPr="00D718D6" w:rsidRDefault="00075E33">
      <w:pPr>
        <w:tabs>
          <w:tab w:val="left" w:pos="3119"/>
        </w:tabs>
        <w:spacing w:after="0" w:line="240" w:lineRule="auto"/>
        <w:contextualSpacing/>
        <w:jc w:val="right"/>
        <w:rPr>
          <w:rFonts w:ascii="Calibri" w:eastAsia="Times New Roman" w:hAnsi="Calibri" w:cs="Garamond"/>
          <w:sz w:val="22"/>
          <w:szCs w:val="22"/>
          <w:lang w:bidi="hi-IN"/>
        </w:rPr>
      </w:pPr>
    </w:p>
    <w:p w:rsidR="00075E33" w:rsidRPr="00D718D6" w:rsidRDefault="00FE4D0D">
      <w:pPr>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ET</w:t>
      </w: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FE4D0D">
      <w:pPr>
        <w:tabs>
          <w:tab w:val="left" w:pos="3119"/>
        </w:tabs>
        <w:spacing w:after="0" w:line="240" w:lineRule="auto"/>
        <w:contextualSpacing/>
        <w:rPr>
          <w:rFonts w:ascii="Calibri" w:eastAsia="Times New Roman" w:hAnsi="Calibri" w:cs="Garamond"/>
          <w:b/>
          <w:bCs/>
          <w:sz w:val="22"/>
          <w:szCs w:val="22"/>
          <w:lang w:bidi="hi-IN"/>
        </w:rPr>
      </w:pPr>
      <w:r w:rsidRPr="00D718D6">
        <w:rPr>
          <w:rFonts w:eastAsia="Times New Roman" w:cs="Garamond"/>
          <w:b/>
          <w:bCs/>
          <w:sz w:val="22"/>
          <w:szCs w:val="22"/>
          <w:lang w:bidi="hi-IN"/>
        </w:rPr>
        <w:tab/>
        <w:t xml:space="preserve">LES ORGANISATIONS SYNDICALES </w:t>
      </w:r>
    </w:p>
    <w:p w:rsidR="00075E33" w:rsidRPr="00D718D6" w:rsidRDefault="00075E33">
      <w:pPr>
        <w:tabs>
          <w:tab w:val="left" w:pos="3119"/>
        </w:tabs>
        <w:spacing w:after="0" w:line="240" w:lineRule="auto"/>
        <w:contextualSpacing/>
        <w:rPr>
          <w:rFonts w:ascii="Calibri" w:eastAsia="Times New Roman" w:hAnsi="Calibri" w:cs="Garamond"/>
          <w:sz w:val="22"/>
          <w:szCs w:val="22"/>
          <w:lang w:bidi="hi-IN"/>
        </w:rPr>
      </w:pPr>
    </w:p>
    <w:p w:rsidR="00075E33" w:rsidRPr="00D718D6" w:rsidRDefault="00FE4D0D">
      <w:pPr>
        <w:tabs>
          <w:tab w:val="left" w:pos="3119"/>
        </w:tabs>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REPRESENTEES PAR :</w:t>
      </w:r>
      <w:r w:rsidRPr="00D718D6">
        <w:rPr>
          <w:rFonts w:eastAsia="Times New Roman" w:cs="Garamond"/>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sz w:val="22"/>
          <w:szCs w:val="22"/>
          <w:lang w:bidi="hi-IN"/>
        </w:rPr>
      </w:pPr>
      <w:r w:rsidRPr="00D718D6">
        <w:rPr>
          <w:rFonts w:eastAsia="Times New Roman" w:cs="Garamond"/>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b/>
          <w:bCs/>
          <w:sz w:val="22"/>
          <w:szCs w:val="22"/>
          <w:lang w:bidi="hi-IN"/>
        </w:rPr>
      </w:pPr>
      <w:r w:rsidRPr="00D718D6">
        <w:rPr>
          <w:rFonts w:eastAsia="Times New Roman" w:cs="Garamond"/>
          <w:sz w:val="22"/>
          <w:szCs w:val="22"/>
          <w:lang w:bidi="hi-IN"/>
        </w:rPr>
        <w:t>EN SA QUALITE DE :</w:t>
      </w:r>
      <w:r w:rsidRPr="00D718D6">
        <w:rPr>
          <w:rFonts w:eastAsia="Times New Roman" w:cs="Garamond"/>
          <w:sz w:val="22"/>
          <w:szCs w:val="22"/>
          <w:lang w:bidi="hi-IN"/>
        </w:rPr>
        <w:tab/>
      </w:r>
      <w:r w:rsidRPr="00D718D6">
        <w:rPr>
          <w:rFonts w:eastAsia="Times New Roman" w:cs="Garamond"/>
          <w:b/>
          <w:bCs/>
          <w:sz w:val="22"/>
          <w:szCs w:val="22"/>
          <w:lang w:bidi="hi-IN"/>
        </w:rPr>
        <w:t>Délégué Syndical Entreprise (CGT)</w:t>
      </w:r>
    </w:p>
    <w:p w:rsidR="00075E33" w:rsidRPr="00D718D6" w:rsidRDefault="00FE4D0D">
      <w:pPr>
        <w:tabs>
          <w:tab w:val="left" w:pos="3119"/>
        </w:tabs>
        <w:spacing w:after="0" w:line="240" w:lineRule="auto"/>
        <w:contextualSpacing/>
        <w:rPr>
          <w:rFonts w:ascii="Calibri" w:eastAsia="Times New Roman" w:hAnsi="Calibri" w:cs="Garamond"/>
          <w:b/>
          <w:sz w:val="22"/>
          <w:szCs w:val="22"/>
          <w:lang w:bidi="hi-IN"/>
        </w:rPr>
      </w:pPr>
      <w:r w:rsidRPr="00D718D6">
        <w:rPr>
          <w:rFonts w:eastAsia="Times New Roman" w:cs="Garamond"/>
          <w:b/>
          <w:bCs/>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b/>
          <w:bCs/>
          <w:sz w:val="22"/>
          <w:szCs w:val="22"/>
          <w:lang w:bidi="hi-IN"/>
        </w:rPr>
      </w:pPr>
      <w:r w:rsidRPr="00D718D6">
        <w:rPr>
          <w:rFonts w:eastAsia="Times New Roman" w:cs="Garamond"/>
          <w:b/>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b/>
          <w:bCs/>
          <w:sz w:val="22"/>
          <w:szCs w:val="22"/>
          <w:lang w:bidi="hi-IN"/>
        </w:rPr>
      </w:pPr>
      <w:r w:rsidRPr="00D718D6">
        <w:rPr>
          <w:rFonts w:eastAsia="Times New Roman" w:cs="Garamond"/>
          <w:sz w:val="22"/>
          <w:szCs w:val="22"/>
          <w:lang w:bidi="hi-IN"/>
        </w:rPr>
        <w:t>EN SA QUALITE DE :</w:t>
      </w:r>
      <w:r w:rsidRPr="00D718D6">
        <w:rPr>
          <w:rFonts w:eastAsia="Times New Roman" w:cs="Garamond"/>
          <w:sz w:val="22"/>
          <w:szCs w:val="22"/>
          <w:lang w:bidi="hi-IN"/>
        </w:rPr>
        <w:tab/>
      </w:r>
      <w:r w:rsidRPr="00D718D6">
        <w:rPr>
          <w:rFonts w:eastAsia="Times New Roman" w:cs="Garamond"/>
          <w:b/>
          <w:bCs/>
          <w:sz w:val="22"/>
          <w:szCs w:val="22"/>
          <w:lang w:bidi="hi-IN"/>
        </w:rPr>
        <w:t>Délégué Syndical Entreprise (CFE-CGC)</w:t>
      </w:r>
    </w:p>
    <w:p w:rsidR="001E0A20" w:rsidRPr="00D718D6" w:rsidRDefault="001E0A20">
      <w:pPr>
        <w:tabs>
          <w:tab w:val="left" w:pos="3119"/>
        </w:tabs>
        <w:spacing w:after="0" w:line="240" w:lineRule="auto"/>
        <w:contextualSpacing/>
        <w:rPr>
          <w:rFonts w:ascii="Calibri" w:eastAsia="Times New Roman" w:hAnsi="Calibri" w:cs="Garamond"/>
          <w:b/>
          <w:sz w:val="22"/>
          <w:szCs w:val="22"/>
          <w:lang w:bidi="hi-IN"/>
        </w:rPr>
      </w:pPr>
    </w:p>
    <w:p w:rsidR="001E0A20" w:rsidRPr="00D718D6" w:rsidRDefault="001E0A20">
      <w:pPr>
        <w:tabs>
          <w:tab w:val="left" w:pos="3119"/>
        </w:tabs>
        <w:spacing w:after="0" w:line="240" w:lineRule="auto"/>
        <w:contextualSpacing/>
        <w:rPr>
          <w:rFonts w:eastAsia="Times New Roman" w:cs="Garamond"/>
          <w:sz w:val="22"/>
          <w:szCs w:val="22"/>
          <w:lang w:bidi="hi-IN"/>
        </w:rPr>
      </w:pPr>
      <w:r w:rsidRPr="00D718D6">
        <w:rPr>
          <w:rFonts w:eastAsia="Times New Roman" w:cs="Garamond"/>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b/>
          <w:sz w:val="22"/>
          <w:szCs w:val="22"/>
          <w:lang w:bidi="hi-IN"/>
        </w:rPr>
      </w:pPr>
      <w:r w:rsidRPr="00D718D6">
        <w:rPr>
          <w:rFonts w:eastAsia="Times New Roman" w:cs="Garamond"/>
          <w:sz w:val="22"/>
          <w:szCs w:val="22"/>
          <w:lang w:bidi="hi-IN"/>
        </w:rPr>
        <w:t>EN SA QUALITE DE :</w:t>
      </w:r>
      <w:r w:rsidR="001E0A20" w:rsidRPr="00D718D6">
        <w:rPr>
          <w:rFonts w:eastAsia="Times New Roman" w:cs="Garamond"/>
          <w:sz w:val="22"/>
          <w:szCs w:val="22"/>
          <w:lang w:bidi="hi-IN"/>
        </w:rPr>
        <w:tab/>
      </w:r>
      <w:r w:rsidR="001E0A20" w:rsidRPr="00D718D6">
        <w:rPr>
          <w:rFonts w:eastAsia="Times New Roman" w:cs="Garamond"/>
          <w:b/>
          <w:sz w:val="22"/>
          <w:szCs w:val="22"/>
          <w:lang w:bidi="hi-IN"/>
        </w:rPr>
        <w:t>Délégué Syndical Entreprise (CFDT)</w:t>
      </w:r>
      <w:r w:rsidRPr="00D718D6">
        <w:rPr>
          <w:rFonts w:eastAsia="Times New Roman" w:cs="Garamond"/>
          <w:sz w:val="22"/>
          <w:szCs w:val="22"/>
          <w:lang w:bidi="hi-IN"/>
        </w:rPr>
        <w:tab/>
      </w:r>
    </w:p>
    <w:p w:rsidR="00075E33" w:rsidRPr="00D718D6" w:rsidRDefault="00FE4D0D">
      <w:pPr>
        <w:tabs>
          <w:tab w:val="left" w:pos="3119"/>
        </w:tabs>
        <w:spacing w:after="0" w:line="240" w:lineRule="auto"/>
        <w:contextualSpacing/>
        <w:rPr>
          <w:rFonts w:ascii="Calibri" w:eastAsia="Times New Roman" w:hAnsi="Calibri" w:cs="Garamond"/>
          <w:b/>
          <w:sz w:val="22"/>
          <w:szCs w:val="22"/>
          <w:lang w:bidi="hi-IN"/>
        </w:rPr>
      </w:pPr>
      <w:r w:rsidRPr="00D718D6">
        <w:rPr>
          <w:rFonts w:eastAsia="Times New Roman" w:cs="Garamond"/>
          <w:b/>
          <w:sz w:val="22"/>
          <w:szCs w:val="22"/>
          <w:lang w:bidi="hi-IN"/>
        </w:rPr>
        <w:tab/>
      </w:r>
    </w:p>
    <w:p w:rsidR="00075E33" w:rsidRPr="00D718D6" w:rsidRDefault="00075E33">
      <w:pPr>
        <w:tabs>
          <w:tab w:val="left" w:pos="3119"/>
        </w:tabs>
        <w:spacing w:after="0" w:line="240" w:lineRule="auto"/>
        <w:contextualSpacing/>
        <w:rPr>
          <w:rFonts w:ascii="Calibri" w:eastAsia="Times New Roman" w:hAnsi="Calibri" w:cs="Garamond"/>
          <w:b/>
          <w:sz w:val="22"/>
          <w:szCs w:val="22"/>
          <w:lang w:bidi="hi-IN"/>
        </w:rPr>
      </w:pPr>
    </w:p>
    <w:p w:rsidR="00075E33" w:rsidRPr="00D718D6" w:rsidRDefault="00FE4D0D">
      <w:pPr>
        <w:spacing w:after="0" w:line="240" w:lineRule="auto"/>
        <w:contextualSpacing/>
        <w:jc w:val="right"/>
        <w:rPr>
          <w:rFonts w:ascii="Calibri" w:eastAsia="Times New Roman" w:hAnsi="Calibri" w:cs="Garamond"/>
          <w:sz w:val="22"/>
          <w:szCs w:val="22"/>
          <w:lang w:bidi="hi-IN"/>
        </w:rPr>
      </w:pPr>
      <w:r w:rsidRPr="00D718D6">
        <w:rPr>
          <w:rFonts w:eastAsia="Times New Roman" w:cs="Garamond"/>
          <w:sz w:val="22"/>
          <w:szCs w:val="22"/>
          <w:lang w:bidi="hi-IN"/>
        </w:rPr>
        <w:t>D’AUTRE PART</w:t>
      </w:r>
    </w:p>
    <w:p w:rsidR="00075E33" w:rsidRPr="00D718D6" w:rsidRDefault="00075E33">
      <w:pPr>
        <w:contextualSpacing/>
        <w:rPr>
          <w:b/>
          <w:sz w:val="22"/>
          <w:szCs w:val="22"/>
        </w:rPr>
      </w:pPr>
    </w:p>
    <w:p w:rsidR="00075E33" w:rsidRPr="00D718D6" w:rsidRDefault="00075E33">
      <w:pPr>
        <w:contextualSpacing/>
        <w:rPr>
          <w:b/>
          <w:sz w:val="22"/>
          <w:szCs w:val="22"/>
        </w:rPr>
      </w:pPr>
    </w:p>
    <w:p w:rsidR="00075E33" w:rsidRPr="00D718D6" w:rsidRDefault="00075E33">
      <w:pPr>
        <w:contextualSpacing/>
        <w:rPr>
          <w:b/>
          <w:sz w:val="22"/>
          <w:szCs w:val="22"/>
        </w:rPr>
      </w:pPr>
    </w:p>
    <w:p w:rsidR="00075E33" w:rsidRPr="00D718D6" w:rsidRDefault="00075E33">
      <w:pPr>
        <w:contextualSpacing/>
        <w:rPr>
          <w:b/>
          <w:sz w:val="22"/>
          <w:szCs w:val="22"/>
        </w:rPr>
      </w:pPr>
    </w:p>
    <w:p w:rsidR="00075E33" w:rsidRPr="00D718D6" w:rsidRDefault="00075E33">
      <w:pPr>
        <w:contextualSpacing/>
        <w:rPr>
          <w:b/>
          <w:sz w:val="22"/>
          <w:szCs w:val="22"/>
        </w:rPr>
      </w:pPr>
    </w:p>
    <w:p w:rsidR="00075E33" w:rsidRPr="00D718D6" w:rsidRDefault="00075E33">
      <w:pPr>
        <w:pStyle w:val="Paragraphedeliste"/>
        <w:ind w:left="0"/>
        <w:jc w:val="center"/>
        <w:rPr>
          <w:b/>
          <w:sz w:val="22"/>
          <w:szCs w:val="22"/>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32"/>
          <w:szCs w:val="32"/>
        </w:rPr>
      </w:pPr>
    </w:p>
    <w:p w:rsidR="00075E33" w:rsidRPr="00D718D6" w:rsidRDefault="00FE4D0D">
      <w:pPr>
        <w:pStyle w:val="Paragraphedeliste"/>
        <w:ind w:left="0"/>
        <w:jc w:val="center"/>
        <w:rPr>
          <w:b/>
          <w:color w:val="4F81BD" w:themeColor="accent1"/>
          <w:sz w:val="56"/>
          <w:szCs w:val="28"/>
        </w:rPr>
      </w:pPr>
      <w:r w:rsidRPr="00D718D6">
        <w:rPr>
          <w:b/>
          <w:color w:val="4F81BD" w:themeColor="accent1"/>
          <w:sz w:val="56"/>
          <w:szCs w:val="28"/>
        </w:rPr>
        <w:lastRenderedPageBreak/>
        <w:t>SOMMAIRE</w:t>
      </w: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rPr>
          <w:b/>
          <w:sz w:val="24"/>
          <w:szCs w:val="24"/>
        </w:rPr>
      </w:pPr>
    </w:p>
    <w:p w:rsidR="00075E33" w:rsidRPr="00D718D6" w:rsidRDefault="00075E33">
      <w:pPr>
        <w:pStyle w:val="Paragraphedeliste"/>
        <w:ind w:left="0"/>
        <w:jc w:val="center"/>
      </w:pPr>
    </w:p>
    <w:p w:rsidR="00426840" w:rsidRDefault="00FE4D0D">
      <w:pPr>
        <w:pStyle w:val="TM1"/>
        <w:rPr>
          <w:noProof/>
          <w:sz w:val="22"/>
          <w:szCs w:val="22"/>
          <w:lang w:eastAsia="fr-FR"/>
        </w:rPr>
      </w:pPr>
      <w:r w:rsidRPr="00D718D6">
        <w:fldChar w:fldCharType="begin"/>
      </w:r>
      <w:r w:rsidRPr="00D718D6">
        <w:rPr>
          <w:rStyle w:val="Sautdindex"/>
          <w:b/>
          <w:webHidden/>
        </w:rPr>
        <w:instrText>TOC \z \o "1-3" \u \h</w:instrText>
      </w:r>
      <w:r w:rsidRPr="00D718D6">
        <w:rPr>
          <w:rStyle w:val="Sautdindex"/>
          <w:b/>
        </w:rPr>
        <w:fldChar w:fldCharType="separate"/>
      </w:r>
      <w:hyperlink w:anchor="_Toc26446315" w:history="1">
        <w:r w:rsidR="00426840" w:rsidRPr="00FF62B3">
          <w:rPr>
            <w:rStyle w:val="Lienhypertexte"/>
            <w:b/>
            <w:noProof/>
          </w:rPr>
          <w:t>PREAMBULE</w:t>
        </w:r>
        <w:r w:rsidR="00426840">
          <w:rPr>
            <w:noProof/>
            <w:webHidden/>
          </w:rPr>
          <w:tab/>
        </w:r>
        <w:r w:rsidR="00426840">
          <w:rPr>
            <w:noProof/>
            <w:webHidden/>
          </w:rPr>
          <w:fldChar w:fldCharType="begin"/>
        </w:r>
        <w:r w:rsidR="00426840">
          <w:rPr>
            <w:noProof/>
            <w:webHidden/>
          </w:rPr>
          <w:instrText xml:space="preserve"> PAGEREF _Toc26446315 \h </w:instrText>
        </w:r>
        <w:r w:rsidR="00426840">
          <w:rPr>
            <w:noProof/>
            <w:webHidden/>
          </w:rPr>
        </w:r>
        <w:r w:rsidR="00426840">
          <w:rPr>
            <w:noProof/>
            <w:webHidden/>
          </w:rPr>
          <w:fldChar w:fldCharType="separate"/>
        </w:r>
        <w:r w:rsidR="00B26499">
          <w:rPr>
            <w:noProof/>
            <w:webHidden/>
          </w:rPr>
          <w:t>4</w:t>
        </w:r>
        <w:r w:rsidR="00426840">
          <w:rPr>
            <w:noProof/>
            <w:webHidden/>
          </w:rPr>
          <w:fldChar w:fldCharType="end"/>
        </w:r>
      </w:hyperlink>
    </w:p>
    <w:p w:rsidR="00426840" w:rsidRDefault="00AC69BF">
      <w:pPr>
        <w:pStyle w:val="TM2"/>
        <w:rPr>
          <w:noProof/>
          <w:sz w:val="22"/>
          <w:szCs w:val="22"/>
          <w:lang w:eastAsia="fr-FR"/>
        </w:rPr>
      </w:pPr>
      <w:hyperlink w:anchor="_Toc26446316" w:history="1">
        <w:r w:rsidR="00426840" w:rsidRPr="00FF62B3">
          <w:rPr>
            <w:rStyle w:val="Lienhypertexte"/>
            <w:b/>
            <w:noProof/>
          </w:rPr>
          <w:t>ARTICLE 1 – OBJET</w:t>
        </w:r>
        <w:r w:rsidR="00426840">
          <w:rPr>
            <w:noProof/>
            <w:webHidden/>
          </w:rPr>
          <w:tab/>
        </w:r>
        <w:r w:rsidR="00426840">
          <w:rPr>
            <w:noProof/>
            <w:webHidden/>
          </w:rPr>
          <w:fldChar w:fldCharType="begin"/>
        </w:r>
        <w:r w:rsidR="00426840">
          <w:rPr>
            <w:noProof/>
            <w:webHidden/>
          </w:rPr>
          <w:instrText xml:space="preserve"> PAGEREF _Toc26446316 \h </w:instrText>
        </w:r>
        <w:r w:rsidR="00426840">
          <w:rPr>
            <w:noProof/>
            <w:webHidden/>
          </w:rPr>
        </w:r>
        <w:r w:rsidR="00426840">
          <w:rPr>
            <w:noProof/>
            <w:webHidden/>
          </w:rPr>
          <w:fldChar w:fldCharType="separate"/>
        </w:r>
        <w:r w:rsidR="00B26499">
          <w:rPr>
            <w:noProof/>
            <w:webHidden/>
          </w:rPr>
          <w:t>5</w:t>
        </w:r>
        <w:r w:rsidR="00426840">
          <w:rPr>
            <w:noProof/>
            <w:webHidden/>
          </w:rPr>
          <w:fldChar w:fldCharType="end"/>
        </w:r>
      </w:hyperlink>
    </w:p>
    <w:p w:rsidR="00426840" w:rsidRDefault="00AC69BF">
      <w:pPr>
        <w:pStyle w:val="TM2"/>
        <w:rPr>
          <w:noProof/>
          <w:sz w:val="22"/>
          <w:szCs w:val="22"/>
          <w:lang w:eastAsia="fr-FR"/>
        </w:rPr>
      </w:pPr>
      <w:hyperlink w:anchor="_Toc26446317" w:history="1">
        <w:r w:rsidR="00426840" w:rsidRPr="00FF62B3">
          <w:rPr>
            <w:rStyle w:val="Lienhypertexte"/>
            <w:b/>
            <w:noProof/>
          </w:rPr>
          <w:t>ARTICLE 2 – ADHESION DES SALARIES</w:t>
        </w:r>
        <w:r w:rsidR="00426840">
          <w:rPr>
            <w:noProof/>
            <w:webHidden/>
          </w:rPr>
          <w:tab/>
        </w:r>
        <w:r w:rsidR="00426840">
          <w:rPr>
            <w:noProof/>
            <w:webHidden/>
          </w:rPr>
          <w:fldChar w:fldCharType="begin"/>
        </w:r>
        <w:r w:rsidR="00426840">
          <w:rPr>
            <w:noProof/>
            <w:webHidden/>
          </w:rPr>
          <w:instrText xml:space="preserve"> PAGEREF _Toc26446317 \h </w:instrText>
        </w:r>
        <w:r w:rsidR="00426840">
          <w:rPr>
            <w:noProof/>
            <w:webHidden/>
          </w:rPr>
        </w:r>
        <w:r w:rsidR="00426840">
          <w:rPr>
            <w:noProof/>
            <w:webHidden/>
          </w:rPr>
          <w:fldChar w:fldCharType="separate"/>
        </w:r>
        <w:r w:rsidR="00B26499">
          <w:rPr>
            <w:noProof/>
            <w:webHidden/>
          </w:rPr>
          <w:t>5</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18" w:history="1">
        <w:r w:rsidR="00426840" w:rsidRPr="00FF62B3">
          <w:rPr>
            <w:rStyle w:val="Lienhypertexte"/>
            <w:b/>
            <w:noProof/>
          </w:rPr>
          <w:t>Article 2.1 - Salariés bénéficiaires</w:t>
        </w:r>
        <w:r w:rsidR="00426840">
          <w:rPr>
            <w:noProof/>
            <w:webHidden/>
          </w:rPr>
          <w:tab/>
        </w:r>
        <w:r w:rsidR="00426840">
          <w:rPr>
            <w:noProof/>
            <w:webHidden/>
          </w:rPr>
          <w:fldChar w:fldCharType="begin"/>
        </w:r>
        <w:r w:rsidR="00426840">
          <w:rPr>
            <w:noProof/>
            <w:webHidden/>
          </w:rPr>
          <w:instrText xml:space="preserve"> PAGEREF _Toc26446318 \h </w:instrText>
        </w:r>
        <w:r w:rsidR="00426840">
          <w:rPr>
            <w:noProof/>
            <w:webHidden/>
          </w:rPr>
        </w:r>
        <w:r w:rsidR="00426840">
          <w:rPr>
            <w:noProof/>
            <w:webHidden/>
          </w:rPr>
          <w:fldChar w:fldCharType="separate"/>
        </w:r>
        <w:r w:rsidR="00B26499">
          <w:rPr>
            <w:noProof/>
            <w:webHidden/>
          </w:rPr>
          <w:t>5</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19" w:history="1">
        <w:r w:rsidR="00426840" w:rsidRPr="00FF62B3">
          <w:rPr>
            <w:rStyle w:val="Lienhypertexte"/>
            <w:b/>
            <w:noProof/>
          </w:rPr>
          <w:t>Article 2.2 - Caractère obligatoire de l’adhésion</w:t>
        </w:r>
        <w:r w:rsidR="00426840">
          <w:rPr>
            <w:noProof/>
            <w:webHidden/>
          </w:rPr>
          <w:tab/>
        </w:r>
        <w:r w:rsidR="00426840">
          <w:rPr>
            <w:noProof/>
            <w:webHidden/>
          </w:rPr>
          <w:fldChar w:fldCharType="begin"/>
        </w:r>
        <w:r w:rsidR="00426840">
          <w:rPr>
            <w:noProof/>
            <w:webHidden/>
          </w:rPr>
          <w:instrText xml:space="preserve"> PAGEREF _Toc26446319 \h </w:instrText>
        </w:r>
        <w:r w:rsidR="00426840">
          <w:rPr>
            <w:noProof/>
            <w:webHidden/>
          </w:rPr>
        </w:r>
        <w:r w:rsidR="00426840">
          <w:rPr>
            <w:noProof/>
            <w:webHidden/>
          </w:rPr>
          <w:fldChar w:fldCharType="separate"/>
        </w:r>
        <w:r w:rsidR="00B26499">
          <w:rPr>
            <w:noProof/>
            <w:webHidden/>
          </w:rPr>
          <w:t>5</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20" w:history="1">
        <w:r w:rsidR="00426840" w:rsidRPr="00FF62B3">
          <w:rPr>
            <w:rStyle w:val="Lienhypertexte"/>
            <w:b/>
            <w:noProof/>
          </w:rPr>
          <w:t>Article 2.3 - Salariés dont le contrat de travail est suspendu</w:t>
        </w:r>
        <w:r w:rsidR="00426840">
          <w:rPr>
            <w:noProof/>
            <w:webHidden/>
          </w:rPr>
          <w:tab/>
        </w:r>
        <w:r w:rsidR="00426840">
          <w:rPr>
            <w:noProof/>
            <w:webHidden/>
          </w:rPr>
          <w:fldChar w:fldCharType="begin"/>
        </w:r>
        <w:r w:rsidR="00426840">
          <w:rPr>
            <w:noProof/>
            <w:webHidden/>
          </w:rPr>
          <w:instrText xml:space="preserve"> PAGEREF _Toc26446320 \h </w:instrText>
        </w:r>
        <w:r w:rsidR="00426840">
          <w:rPr>
            <w:noProof/>
            <w:webHidden/>
          </w:rPr>
        </w:r>
        <w:r w:rsidR="00426840">
          <w:rPr>
            <w:noProof/>
            <w:webHidden/>
          </w:rPr>
          <w:fldChar w:fldCharType="separate"/>
        </w:r>
        <w:r w:rsidR="00B26499">
          <w:rPr>
            <w:noProof/>
            <w:webHidden/>
          </w:rPr>
          <w:t>5</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21" w:history="1">
        <w:r w:rsidR="00426840" w:rsidRPr="00FF62B3">
          <w:rPr>
            <w:rStyle w:val="Lienhypertexte"/>
            <w:b/>
            <w:noProof/>
          </w:rPr>
          <w:t>Article 2.4 - Salariés dont le contrat de travail est rompu : portabilité</w:t>
        </w:r>
        <w:r w:rsidR="00426840">
          <w:rPr>
            <w:noProof/>
            <w:webHidden/>
          </w:rPr>
          <w:tab/>
        </w:r>
        <w:r w:rsidR="00426840">
          <w:rPr>
            <w:noProof/>
            <w:webHidden/>
          </w:rPr>
          <w:fldChar w:fldCharType="begin"/>
        </w:r>
        <w:r w:rsidR="00426840">
          <w:rPr>
            <w:noProof/>
            <w:webHidden/>
          </w:rPr>
          <w:instrText xml:space="preserve"> PAGEREF _Toc26446321 \h </w:instrText>
        </w:r>
        <w:r w:rsidR="00426840">
          <w:rPr>
            <w:noProof/>
            <w:webHidden/>
          </w:rPr>
        </w:r>
        <w:r w:rsidR="00426840">
          <w:rPr>
            <w:noProof/>
            <w:webHidden/>
          </w:rPr>
          <w:fldChar w:fldCharType="separate"/>
        </w:r>
        <w:r w:rsidR="00B26499">
          <w:rPr>
            <w:noProof/>
            <w:webHidden/>
          </w:rPr>
          <w:t>6</w:t>
        </w:r>
        <w:r w:rsidR="00426840">
          <w:rPr>
            <w:noProof/>
            <w:webHidden/>
          </w:rPr>
          <w:fldChar w:fldCharType="end"/>
        </w:r>
      </w:hyperlink>
    </w:p>
    <w:p w:rsidR="00426840" w:rsidRDefault="00AC69BF">
      <w:pPr>
        <w:pStyle w:val="TM2"/>
        <w:rPr>
          <w:noProof/>
          <w:sz w:val="22"/>
          <w:szCs w:val="22"/>
          <w:lang w:eastAsia="fr-FR"/>
        </w:rPr>
      </w:pPr>
      <w:hyperlink w:anchor="_Toc26446322" w:history="1">
        <w:r w:rsidR="00426840" w:rsidRPr="00FF62B3">
          <w:rPr>
            <w:rStyle w:val="Lienhypertexte"/>
            <w:b/>
            <w:noProof/>
          </w:rPr>
          <w:t>ARTICLE 3 – GARANTIES</w:t>
        </w:r>
        <w:r w:rsidR="00426840">
          <w:rPr>
            <w:noProof/>
            <w:webHidden/>
          </w:rPr>
          <w:tab/>
        </w:r>
        <w:r w:rsidR="00426840">
          <w:rPr>
            <w:noProof/>
            <w:webHidden/>
          </w:rPr>
          <w:fldChar w:fldCharType="begin"/>
        </w:r>
        <w:r w:rsidR="00426840">
          <w:rPr>
            <w:noProof/>
            <w:webHidden/>
          </w:rPr>
          <w:instrText xml:space="preserve"> PAGEREF _Toc26446322 \h </w:instrText>
        </w:r>
        <w:r w:rsidR="00426840">
          <w:rPr>
            <w:noProof/>
            <w:webHidden/>
          </w:rPr>
        </w:r>
        <w:r w:rsidR="00426840">
          <w:rPr>
            <w:noProof/>
            <w:webHidden/>
          </w:rPr>
          <w:fldChar w:fldCharType="separate"/>
        </w:r>
        <w:r w:rsidR="00B26499">
          <w:rPr>
            <w:noProof/>
            <w:webHidden/>
          </w:rPr>
          <w:t>6</w:t>
        </w:r>
        <w:r w:rsidR="00426840">
          <w:rPr>
            <w:noProof/>
            <w:webHidden/>
          </w:rPr>
          <w:fldChar w:fldCharType="end"/>
        </w:r>
      </w:hyperlink>
    </w:p>
    <w:p w:rsidR="00426840" w:rsidRDefault="00AC69BF">
      <w:pPr>
        <w:pStyle w:val="TM2"/>
        <w:rPr>
          <w:noProof/>
          <w:sz w:val="22"/>
          <w:szCs w:val="22"/>
          <w:lang w:eastAsia="fr-FR"/>
        </w:rPr>
      </w:pPr>
      <w:hyperlink w:anchor="_Toc26446323" w:history="1">
        <w:r w:rsidR="00426840" w:rsidRPr="00FF62B3">
          <w:rPr>
            <w:rStyle w:val="Lienhypertexte"/>
            <w:b/>
            <w:noProof/>
          </w:rPr>
          <w:t>ARTICLE 4 – COTISATIONS</w:t>
        </w:r>
        <w:r w:rsidR="00426840">
          <w:rPr>
            <w:noProof/>
            <w:webHidden/>
          </w:rPr>
          <w:tab/>
        </w:r>
        <w:r w:rsidR="00426840">
          <w:rPr>
            <w:noProof/>
            <w:webHidden/>
          </w:rPr>
          <w:fldChar w:fldCharType="begin"/>
        </w:r>
        <w:r w:rsidR="00426840">
          <w:rPr>
            <w:noProof/>
            <w:webHidden/>
          </w:rPr>
          <w:instrText xml:space="preserve"> PAGEREF _Toc26446323 \h </w:instrText>
        </w:r>
        <w:r w:rsidR="00426840">
          <w:rPr>
            <w:noProof/>
            <w:webHidden/>
          </w:rPr>
        </w:r>
        <w:r w:rsidR="00426840">
          <w:rPr>
            <w:noProof/>
            <w:webHidden/>
          </w:rPr>
          <w:fldChar w:fldCharType="separate"/>
        </w:r>
        <w:r w:rsidR="00B26499">
          <w:rPr>
            <w:noProof/>
            <w:webHidden/>
          </w:rPr>
          <w:t>6</w:t>
        </w:r>
        <w:r w:rsidR="00426840">
          <w:rPr>
            <w:noProof/>
            <w:webHidden/>
          </w:rPr>
          <w:fldChar w:fldCharType="end"/>
        </w:r>
      </w:hyperlink>
    </w:p>
    <w:p w:rsidR="00426840" w:rsidRDefault="00AC69BF">
      <w:pPr>
        <w:pStyle w:val="TM2"/>
        <w:rPr>
          <w:noProof/>
          <w:sz w:val="22"/>
          <w:szCs w:val="22"/>
          <w:lang w:eastAsia="fr-FR"/>
        </w:rPr>
      </w:pPr>
      <w:hyperlink w:anchor="_Toc26446324" w:history="1">
        <w:r w:rsidR="00426840" w:rsidRPr="00FF62B3">
          <w:rPr>
            <w:rStyle w:val="Lienhypertexte"/>
            <w:b/>
            <w:noProof/>
          </w:rPr>
          <w:t>ARTICLE 5 – CHANGEMENT D’ORGANISME ASSUREUR</w:t>
        </w:r>
        <w:r w:rsidR="00426840">
          <w:rPr>
            <w:noProof/>
            <w:webHidden/>
          </w:rPr>
          <w:tab/>
        </w:r>
        <w:r w:rsidR="00426840">
          <w:rPr>
            <w:noProof/>
            <w:webHidden/>
          </w:rPr>
          <w:fldChar w:fldCharType="begin"/>
        </w:r>
        <w:r w:rsidR="00426840">
          <w:rPr>
            <w:noProof/>
            <w:webHidden/>
          </w:rPr>
          <w:instrText xml:space="preserve"> PAGEREF _Toc26446324 \h </w:instrText>
        </w:r>
        <w:r w:rsidR="00426840">
          <w:rPr>
            <w:noProof/>
            <w:webHidden/>
          </w:rPr>
        </w:r>
        <w:r w:rsidR="00426840">
          <w:rPr>
            <w:noProof/>
            <w:webHidden/>
          </w:rPr>
          <w:fldChar w:fldCharType="separate"/>
        </w:r>
        <w:r w:rsidR="00B26499">
          <w:rPr>
            <w:noProof/>
            <w:webHidden/>
          </w:rPr>
          <w:t>7</w:t>
        </w:r>
        <w:r w:rsidR="00426840">
          <w:rPr>
            <w:noProof/>
            <w:webHidden/>
          </w:rPr>
          <w:fldChar w:fldCharType="end"/>
        </w:r>
      </w:hyperlink>
    </w:p>
    <w:p w:rsidR="00426840" w:rsidRDefault="00AC69BF">
      <w:pPr>
        <w:pStyle w:val="TM2"/>
        <w:rPr>
          <w:noProof/>
          <w:sz w:val="22"/>
          <w:szCs w:val="22"/>
          <w:lang w:eastAsia="fr-FR"/>
        </w:rPr>
      </w:pPr>
      <w:hyperlink w:anchor="_Toc26446325" w:history="1">
        <w:r w:rsidR="00426840" w:rsidRPr="00FF62B3">
          <w:rPr>
            <w:rStyle w:val="Lienhypertexte"/>
            <w:b/>
            <w:noProof/>
          </w:rPr>
          <w:t>ARTICLE 6 – DUREE, REVISION, DENONCIATION</w:t>
        </w:r>
        <w:r w:rsidR="00426840">
          <w:rPr>
            <w:noProof/>
            <w:webHidden/>
          </w:rPr>
          <w:tab/>
        </w:r>
        <w:r w:rsidR="00426840">
          <w:rPr>
            <w:noProof/>
            <w:webHidden/>
          </w:rPr>
          <w:fldChar w:fldCharType="begin"/>
        </w:r>
        <w:r w:rsidR="00426840">
          <w:rPr>
            <w:noProof/>
            <w:webHidden/>
          </w:rPr>
          <w:instrText xml:space="preserve"> PAGEREF _Toc26446325 \h </w:instrText>
        </w:r>
        <w:r w:rsidR="00426840">
          <w:rPr>
            <w:noProof/>
            <w:webHidden/>
          </w:rPr>
        </w:r>
        <w:r w:rsidR="00426840">
          <w:rPr>
            <w:noProof/>
            <w:webHidden/>
          </w:rPr>
          <w:fldChar w:fldCharType="separate"/>
        </w:r>
        <w:r w:rsidR="00B26499">
          <w:rPr>
            <w:noProof/>
            <w:webHidden/>
          </w:rPr>
          <w:t>7</w:t>
        </w:r>
        <w:r w:rsidR="00426840">
          <w:rPr>
            <w:noProof/>
            <w:webHidden/>
          </w:rPr>
          <w:fldChar w:fldCharType="end"/>
        </w:r>
      </w:hyperlink>
    </w:p>
    <w:p w:rsidR="00426840" w:rsidRDefault="00AC69BF">
      <w:pPr>
        <w:pStyle w:val="TM2"/>
        <w:rPr>
          <w:noProof/>
          <w:sz w:val="22"/>
          <w:szCs w:val="22"/>
          <w:lang w:eastAsia="fr-FR"/>
        </w:rPr>
      </w:pPr>
      <w:hyperlink w:anchor="_Toc26446326" w:history="1">
        <w:r w:rsidR="00426840" w:rsidRPr="00FF62B3">
          <w:rPr>
            <w:rStyle w:val="Lienhypertexte"/>
            <w:b/>
            <w:noProof/>
          </w:rPr>
          <w:t>ARTICLE 7 – INFORMATION</w:t>
        </w:r>
        <w:r w:rsidR="00426840">
          <w:rPr>
            <w:noProof/>
            <w:webHidden/>
          </w:rPr>
          <w:tab/>
        </w:r>
        <w:r w:rsidR="00426840">
          <w:rPr>
            <w:noProof/>
            <w:webHidden/>
          </w:rPr>
          <w:fldChar w:fldCharType="begin"/>
        </w:r>
        <w:r w:rsidR="00426840">
          <w:rPr>
            <w:noProof/>
            <w:webHidden/>
          </w:rPr>
          <w:instrText xml:space="preserve"> PAGEREF _Toc26446326 \h </w:instrText>
        </w:r>
        <w:r w:rsidR="00426840">
          <w:rPr>
            <w:noProof/>
            <w:webHidden/>
          </w:rPr>
        </w:r>
        <w:r w:rsidR="00426840">
          <w:rPr>
            <w:noProof/>
            <w:webHidden/>
          </w:rPr>
          <w:fldChar w:fldCharType="separate"/>
        </w:r>
        <w:r w:rsidR="00B26499">
          <w:rPr>
            <w:noProof/>
            <w:webHidden/>
          </w:rPr>
          <w:t>8</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27" w:history="1">
        <w:r w:rsidR="00426840" w:rsidRPr="00FF62B3">
          <w:rPr>
            <w:rStyle w:val="Lienhypertexte"/>
            <w:rFonts w:eastAsiaTheme="majorEastAsia" w:cstheme="majorBidi"/>
            <w:b/>
            <w:noProof/>
          </w:rPr>
          <w:t>Article 7.1 - Information individuelle</w:t>
        </w:r>
        <w:r w:rsidR="00426840">
          <w:rPr>
            <w:noProof/>
            <w:webHidden/>
          </w:rPr>
          <w:tab/>
        </w:r>
        <w:r w:rsidR="00426840">
          <w:rPr>
            <w:noProof/>
            <w:webHidden/>
          </w:rPr>
          <w:fldChar w:fldCharType="begin"/>
        </w:r>
        <w:r w:rsidR="00426840">
          <w:rPr>
            <w:noProof/>
            <w:webHidden/>
          </w:rPr>
          <w:instrText xml:space="preserve"> PAGEREF _Toc26446327 \h </w:instrText>
        </w:r>
        <w:r w:rsidR="00426840">
          <w:rPr>
            <w:noProof/>
            <w:webHidden/>
          </w:rPr>
        </w:r>
        <w:r w:rsidR="00426840">
          <w:rPr>
            <w:noProof/>
            <w:webHidden/>
          </w:rPr>
          <w:fldChar w:fldCharType="separate"/>
        </w:r>
        <w:r w:rsidR="00B26499">
          <w:rPr>
            <w:noProof/>
            <w:webHidden/>
          </w:rPr>
          <w:t>8</w:t>
        </w:r>
        <w:r w:rsidR="00426840">
          <w:rPr>
            <w:noProof/>
            <w:webHidden/>
          </w:rPr>
          <w:fldChar w:fldCharType="end"/>
        </w:r>
      </w:hyperlink>
    </w:p>
    <w:p w:rsidR="00426840" w:rsidRDefault="00AC69BF">
      <w:pPr>
        <w:pStyle w:val="TM3"/>
        <w:tabs>
          <w:tab w:val="right" w:leader="dot" w:pos="9062"/>
        </w:tabs>
        <w:rPr>
          <w:noProof/>
          <w:sz w:val="22"/>
          <w:szCs w:val="22"/>
          <w:lang w:eastAsia="fr-FR"/>
        </w:rPr>
      </w:pPr>
      <w:hyperlink w:anchor="_Toc26446328" w:history="1">
        <w:r w:rsidR="00426840" w:rsidRPr="00FF62B3">
          <w:rPr>
            <w:rStyle w:val="Lienhypertexte"/>
            <w:rFonts w:eastAsiaTheme="majorEastAsia" w:cstheme="majorBidi"/>
            <w:b/>
            <w:noProof/>
          </w:rPr>
          <w:t>Article 7.2 - Information collective</w:t>
        </w:r>
        <w:r w:rsidR="00426840">
          <w:rPr>
            <w:noProof/>
            <w:webHidden/>
          </w:rPr>
          <w:tab/>
        </w:r>
        <w:r w:rsidR="00426840">
          <w:rPr>
            <w:noProof/>
            <w:webHidden/>
          </w:rPr>
          <w:fldChar w:fldCharType="begin"/>
        </w:r>
        <w:r w:rsidR="00426840">
          <w:rPr>
            <w:noProof/>
            <w:webHidden/>
          </w:rPr>
          <w:instrText xml:space="preserve"> PAGEREF _Toc26446328 \h </w:instrText>
        </w:r>
        <w:r w:rsidR="00426840">
          <w:rPr>
            <w:noProof/>
            <w:webHidden/>
          </w:rPr>
        </w:r>
        <w:r w:rsidR="00426840">
          <w:rPr>
            <w:noProof/>
            <w:webHidden/>
          </w:rPr>
          <w:fldChar w:fldCharType="separate"/>
        </w:r>
        <w:r w:rsidR="00B26499">
          <w:rPr>
            <w:noProof/>
            <w:webHidden/>
          </w:rPr>
          <w:t>8</w:t>
        </w:r>
        <w:r w:rsidR="00426840">
          <w:rPr>
            <w:noProof/>
            <w:webHidden/>
          </w:rPr>
          <w:fldChar w:fldCharType="end"/>
        </w:r>
      </w:hyperlink>
    </w:p>
    <w:p w:rsidR="00426840" w:rsidRDefault="00AC69BF">
      <w:pPr>
        <w:pStyle w:val="TM2"/>
        <w:rPr>
          <w:noProof/>
          <w:sz w:val="22"/>
          <w:szCs w:val="22"/>
          <w:lang w:eastAsia="fr-FR"/>
        </w:rPr>
      </w:pPr>
      <w:hyperlink w:anchor="_Toc26446329" w:history="1">
        <w:r w:rsidR="00426840" w:rsidRPr="00FF62B3">
          <w:rPr>
            <w:rStyle w:val="Lienhypertexte"/>
            <w:b/>
            <w:noProof/>
          </w:rPr>
          <w:t>ARTICLE 8 – PUBLICITE</w:t>
        </w:r>
        <w:r w:rsidR="00426840">
          <w:rPr>
            <w:noProof/>
            <w:webHidden/>
          </w:rPr>
          <w:tab/>
        </w:r>
        <w:r w:rsidR="00426840">
          <w:rPr>
            <w:noProof/>
            <w:webHidden/>
          </w:rPr>
          <w:fldChar w:fldCharType="begin"/>
        </w:r>
        <w:r w:rsidR="00426840">
          <w:rPr>
            <w:noProof/>
            <w:webHidden/>
          </w:rPr>
          <w:instrText xml:space="preserve"> PAGEREF _Toc26446329 \h </w:instrText>
        </w:r>
        <w:r w:rsidR="00426840">
          <w:rPr>
            <w:noProof/>
            <w:webHidden/>
          </w:rPr>
        </w:r>
        <w:r w:rsidR="00426840">
          <w:rPr>
            <w:noProof/>
            <w:webHidden/>
          </w:rPr>
          <w:fldChar w:fldCharType="separate"/>
        </w:r>
        <w:r w:rsidR="00B26499">
          <w:rPr>
            <w:noProof/>
            <w:webHidden/>
          </w:rPr>
          <w:t>8</w:t>
        </w:r>
        <w:r w:rsidR="00426840">
          <w:rPr>
            <w:noProof/>
            <w:webHidden/>
          </w:rPr>
          <w:fldChar w:fldCharType="end"/>
        </w:r>
      </w:hyperlink>
    </w:p>
    <w:p w:rsidR="00075E33" w:rsidRPr="00D718D6" w:rsidRDefault="00FE4D0D">
      <w:pPr>
        <w:pStyle w:val="Titre1"/>
        <w:contextualSpacing/>
      </w:pPr>
      <w:r w:rsidRPr="00D718D6">
        <w:fldChar w:fldCharType="end"/>
      </w: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075E33" w:rsidRPr="00D718D6" w:rsidRDefault="00075E33">
      <w:pPr>
        <w:contextualSpacing/>
      </w:pPr>
    </w:p>
    <w:p w:rsidR="003D6110" w:rsidRPr="00D718D6" w:rsidRDefault="003D6110">
      <w:pPr>
        <w:contextualSpacing/>
      </w:pPr>
    </w:p>
    <w:p w:rsidR="003D6110" w:rsidRPr="00D718D6" w:rsidRDefault="003D6110">
      <w:pPr>
        <w:contextualSpacing/>
      </w:pPr>
    </w:p>
    <w:p w:rsidR="003D6110" w:rsidRPr="00D718D6" w:rsidRDefault="003D6110">
      <w:pPr>
        <w:contextualSpacing/>
      </w:pPr>
    </w:p>
    <w:p w:rsidR="003D6110" w:rsidRPr="00D718D6" w:rsidRDefault="003D6110">
      <w:pPr>
        <w:contextualSpacing/>
      </w:pPr>
    </w:p>
    <w:p w:rsidR="003D6110" w:rsidRPr="00D718D6" w:rsidRDefault="003D6110">
      <w:pPr>
        <w:contextualSpacing/>
      </w:pPr>
    </w:p>
    <w:p w:rsidR="003D6110" w:rsidRPr="00D718D6" w:rsidRDefault="003D6110">
      <w:pPr>
        <w:contextualSpacing/>
      </w:pPr>
    </w:p>
    <w:p w:rsidR="003D6110" w:rsidRPr="00D718D6" w:rsidRDefault="003D6110">
      <w:pPr>
        <w:contextualSpacing/>
      </w:pPr>
    </w:p>
    <w:p w:rsidR="00AC411D" w:rsidRPr="00D718D6" w:rsidRDefault="00AC411D">
      <w:pPr>
        <w:contextualSpacing/>
      </w:pPr>
    </w:p>
    <w:p w:rsidR="00AC411D" w:rsidRPr="00D718D6" w:rsidRDefault="00AC411D">
      <w:pPr>
        <w:contextualSpacing/>
      </w:pPr>
    </w:p>
    <w:p w:rsidR="00EF66AD" w:rsidRPr="00D718D6" w:rsidRDefault="00EF66AD">
      <w:pPr>
        <w:contextualSpacing/>
      </w:pPr>
    </w:p>
    <w:p w:rsidR="00075E33" w:rsidRPr="00D718D6" w:rsidRDefault="00FE4D0D">
      <w:pPr>
        <w:pStyle w:val="Titre1"/>
        <w:contextualSpacing/>
        <w:jc w:val="center"/>
        <w:rPr>
          <w:rFonts w:asciiTheme="minorHAnsi" w:eastAsiaTheme="minorEastAsia" w:hAnsiTheme="minorHAnsi" w:cstheme="minorBidi"/>
          <w:b/>
          <w:color w:val="4F81BD" w:themeColor="accent1"/>
          <w:sz w:val="56"/>
          <w:szCs w:val="28"/>
        </w:rPr>
      </w:pPr>
      <w:bookmarkStart w:id="1" w:name="_Toc26446315"/>
      <w:r w:rsidRPr="00D718D6">
        <w:rPr>
          <w:rFonts w:asciiTheme="minorHAnsi" w:eastAsiaTheme="minorEastAsia" w:hAnsiTheme="minorHAnsi" w:cstheme="minorBidi"/>
          <w:b/>
          <w:color w:val="4F81BD" w:themeColor="accent1"/>
          <w:sz w:val="56"/>
          <w:szCs w:val="28"/>
        </w:rPr>
        <w:t>PREAMBULE</w:t>
      </w:r>
      <w:bookmarkEnd w:id="1"/>
    </w:p>
    <w:p w:rsidR="00075E33" w:rsidRPr="00D718D6" w:rsidRDefault="00075E33">
      <w:pPr>
        <w:spacing w:after="200" w:line="276" w:lineRule="auto"/>
        <w:contextualSpacing/>
        <w:jc w:val="both"/>
        <w:rPr>
          <w:sz w:val="22"/>
          <w:szCs w:val="22"/>
        </w:rPr>
      </w:pPr>
    </w:p>
    <w:p w:rsidR="004139D4" w:rsidRPr="00D718D6" w:rsidRDefault="004139D4" w:rsidP="006723C2">
      <w:pPr>
        <w:spacing w:after="200" w:line="276" w:lineRule="auto"/>
        <w:contextualSpacing/>
        <w:jc w:val="both"/>
        <w:rPr>
          <w:iCs/>
          <w:sz w:val="22"/>
          <w:szCs w:val="22"/>
        </w:rPr>
      </w:pPr>
    </w:p>
    <w:p w:rsidR="006723C2" w:rsidRPr="00D718D6" w:rsidRDefault="007066B3" w:rsidP="006723C2">
      <w:pPr>
        <w:spacing w:after="200" w:line="276" w:lineRule="auto"/>
        <w:contextualSpacing/>
        <w:jc w:val="both"/>
        <w:rPr>
          <w:iCs/>
          <w:sz w:val="22"/>
          <w:szCs w:val="22"/>
        </w:rPr>
      </w:pPr>
      <w:r w:rsidRPr="00D718D6">
        <w:rPr>
          <w:iCs/>
          <w:sz w:val="22"/>
          <w:szCs w:val="22"/>
        </w:rPr>
        <w:t>L</w:t>
      </w:r>
      <w:r w:rsidR="006723C2" w:rsidRPr="00D718D6">
        <w:rPr>
          <w:iCs/>
          <w:sz w:val="22"/>
          <w:szCs w:val="22"/>
        </w:rPr>
        <w:t xml:space="preserve">es salariés de </w:t>
      </w:r>
      <w:r w:rsidR="00D35938" w:rsidRPr="00D718D6">
        <w:rPr>
          <w:iCs/>
          <w:sz w:val="22"/>
          <w:szCs w:val="22"/>
        </w:rPr>
        <w:t>l’entreprise</w:t>
      </w:r>
      <w:r w:rsidR="006723C2" w:rsidRPr="00D718D6">
        <w:rPr>
          <w:iCs/>
          <w:sz w:val="22"/>
          <w:szCs w:val="22"/>
        </w:rPr>
        <w:t xml:space="preserve"> </w:t>
      </w:r>
      <w:r w:rsidR="0097332B" w:rsidRPr="00D718D6">
        <w:rPr>
          <w:iCs/>
          <w:sz w:val="22"/>
          <w:szCs w:val="22"/>
        </w:rPr>
        <w:t>INGELIANCE TECHNOLOGIES</w:t>
      </w:r>
      <w:r w:rsidRPr="00D718D6">
        <w:rPr>
          <w:iCs/>
          <w:sz w:val="22"/>
          <w:szCs w:val="22"/>
        </w:rPr>
        <w:t xml:space="preserve"> bénéficient depuis de nombreux années</w:t>
      </w:r>
      <w:r w:rsidR="006723C2" w:rsidRPr="00D718D6">
        <w:rPr>
          <w:iCs/>
          <w:sz w:val="22"/>
          <w:szCs w:val="22"/>
        </w:rPr>
        <w:t xml:space="preserve"> d’un régime complémentaire </w:t>
      </w:r>
      <w:r w:rsidRPr="00D718D6">
        <w:rPr>
          <w:iCs/>
          <w:sz w:val="22"/>
          <w:szCs w:val="22"/>
        </w:rPr>
        <w:t xml:space="preserve">de garanties collectives « </w:t>
      </w:r>
      <w:r w:rsidR="00F24560" w:rsidRPr="00D718D6">
        <w:rPr>
          <w:iCs/>
          <w:sz w:val="22"/>
          <w:szCs w:val="22"/>
        </w:rPr>
        <w:t>incapacité-invalidité-décès</w:t>
      </w:r>
      <w:r w:rsidRPr="00D718D6">
        <w:rPr>
          <w:iCs/>
          <w:sz w:val="22"/>
          <w:szCs w:val="22"/>
        </w:rPr>
        <w:t xml:space="preserve">». </w:t>
      </w:r>
    </w:p>
    <w:p w:rsidR="007066B3" w:rsidRPr="00D718D6" w:rsidRDefault="007066B3" w:rsidP="006723C2">
      <w:pPr>
        <w:spacing w:after="200" w:line="276" w:lineRule="auto"/>
        <w:contextualSpacing/>
        <w:jc w:val="both"/>
        <w:rPr>
          <w:iCs/>
          <w:sz w:val="22"/>
          <w:szCs w:val="22"/>
        </w:rPr>
      </w:pPr>
    </w:p>
    <w:p w:rsidR="00D35938" w:rsidRPr="00D718D6" w:rsidRDefault="00D35938" w:rsidP="00D35938">
      <w:pPr>
        <w:spacing w:after="200" w:line="276" w:lineRule="auto"/>
        <w:contextualSpacing/>
        <w:jc w:val="both"/>
        <w:rPr>
          <w:sz w:val="22"/>
          <w:szCs w:val="22"/>
        </w:rPr>
      </w:pPr>
      <w:r w:rsidRPr="00D718D6">
        <w:rPr>
          <w:sz w:val="22"/>
          <w:szCs w:val="22"/>
        </w:rPr>
        <w:t>Afin de sécuriser le</w:t>
      </w:r>
      <w:r w:rsidR="007066B3" w:rsidRPr="00D718D6">
        <w:rPr>
          <w:sz w:val="22"/>
          <w:szCs w:val="22"/>
        </w:rPr>
        <w:t>dit</w:t>
      </w:r>
      <w:r w:rsidRPr="00D718D6">
        <w:rPr>
          <w:sz w:val="22"/>
          <w:szCs w:val="22"/>
        </w:rPr>
        <w:t xml:space="preserve"> régime,</w:t>
      </w:r>
      <w:r w:rsidR="006641D0" w:rsidRPr="00D718D6">
        <w:rPr>
          <w:sz w:val="22"/>
          <w:szCs w:val="22"/>
        </w:rPr>
        <w:t xml:space="preserve"> </w:t>
      </w:r>
      <w:r w:rsidRPr="00D718D6">
        <w:rPr>
          <w:sz w:val="22"/>
          <w:szCs w:val="22"/>
        </w:rPr>
        <w:t>la Direction et les Organisations S</w:t>
      </w:r>
      <w:r w:rsidR="006723C2" w:rsidRPr="00D718D6">
        <w:rPr>
          <w:sz w:val="22"/>
          <w:szCs w:val="22"/>
        </w:rPr>
        <w:t>yndicales représent</w:t>
      </w:r>
      <w:r w:rsidRPr="00D718D6">
        <w:rPr>
          <w:sz w:val="22"/>
          <w:szCs w:val="22"/>
        </w:rPr>
        <w:t xml:space="preserve">atives se sont réunies le </w:t>
      </w:r>
      <w:r w:rsidR="004C2298">
        <w:rPr>
          <w:sz w:val="22"/>
          <w:szCs w:val="22"/>
        </w:rPr>
        <w:t xml:space="preserve">26 novembre </w:t>
      </w:r>
      <w:r w:rsidRPr="00D718D6">
        <w:rPr>
          <w:sz w:val="22"/>
          <w:szCs w:val="22"/>
        </w:rPr>
        <w:t>et le</w:t>
      </w:r>
      <w:r w:rsidR="004C2298">
        <w:rPr>
          <w:sz w:val="22"/>
          <w:szCs w:val="22"/>
        </w:rPr>
        <w:t xml:space="preserve"> 5 décembre 2019</w:t>
      </w:r>
      <w:r w:rsidRPr="00D718D6">
        <w:rPr>
          <w:sz w:val="22"/>
          <w:szCs w:val="22"/>
        </w:rPr>
        <w:t>,</w:t>
      </w:r>
      <w:r w:rsidR="007712BF" w:rsidRPr="00D718D6">
        <w:rPr>
          <w:sz w:val="22"/>
          <w:szCs w:val="22"/>
        </w:rPr>
        <w:t xml:space="preserve"> </w:t>
      </w:r>
      <w:r w:rsidRPr="00D718D6">
        <w:rPr>
          <w:sz w:val="22"/>
          <w:szCs w:val="22"/>
        </w:rPr>
        <w:t>afin de formaliser par accord d’entreprise</w:t>
      </w:r>
      <w:r w:rsidR="00EF66AD" w:rsidRPr="00D718D6">
        <w:rPr>
          <w:sz w:val="22"/>
          <w:szCs w:val="22"/>
        </w:rPr>
        <w:t xml:space="preserve"> </w:t>
      </w:r>
      <w:r w:rsidR="007066B3" w:rsidRPr="00D718D6">
        <w:rPr>
          <w:sz w:val="22"/>
          <w:szCs w:val="22"/>
        </w:rPr>
        <w:t>s</w:t>
      </w:r>
      <w:r w:rsidRPr="00D718D6">
        <w:rPr>
          <w:sz w:val="22"/>
          <w:szCs w:val="22"/>
        </w:rPr>
        <w:t xml:space="preserve">es </w:t>
      </w:r>
      <w:r w:rsidR="007066B3" w:rsidRPr="00D718D6">
        <w:rPr>
          <w:sz w:val="22"/>
          <w:szCs w:val="22"/>
        </w:rPr>
        <w:t xml:space="preserve">récentes </w:t>
      </w:r>
      <w:r w:rsidRPr="00D718D6">
        <w:rPr>
          <w:sz w:val="22"/>
          <w:szCs w:val="22"/>
        </w:rPr>
        <w:t>modifications</w:t>
      </w:r>
      <w:r w:rsidR="004C2298">
        <w:rPr>
          <w:sz w:val="22"/>
          <w:szCs w:val="22"/>
        </w:rPr>
        <w:t>, liées à l’amélioration</w:t>
      </w:r>
      <w:r w:rsidR="00EF66AD" w:rsidRPr="00D718D6">
        <w:rPr>
          <w:sz w:val="22"/>
          <w:szCs w:val="22"/>
        </w:rPr>
        <w:t xml:space="preserve"> du régime conventionnel obligatoire mis en place au sein de l’entreprise</w:t>
      </w:r>
      <w:r w:rsidR="007066B3" w:rsidRPr="00D718D6">
        <w:rPr>
          <w:sz w:val="22"/>
          <w:szCs w:val="22"/>
        </w:rPr>
        <w:t>.</w:t>
      </w:r>
      <w:r w:rsidRPr="00D718D6">
        <w:rPr>
          <w:sz w:val="22"/>
          <w:szCs w:val="22"/>
        </w:rPr>
        <w:t xml:space="preserve"> </w:t>
      </w:r>
    </w:p>
    <w:p w:rsidR="007066B3" w:rsidRPr="00D718D6" w:rsidRDefault="007066B3" w:rsidP="00D35938">
      <w:pPr>
        <w:spacing w:after="200" w:line="276" w:lineRule="auto"/>
        <w:contextualSpacing/>
        <w:jc w:val="both"/>
        <w:rPr>
          <w:sz w:val="22"/>
          <w:szCs w:val="22"/>
        </w:rPr>
      </w:pPr>
    </w:p>
    <w:p w:rsidR="006723C2" w:rsidRPr="00D718D6" w:rsidRDefault="006723C2" w:rsidP="006723C2">
      <w:pPr>
        <w:spacing w:after="200" w:line="276" w:lineRule="auto"/>
        <w:contextualSpacing/>
        <w:jc w:val="both"/>
        <w:rPr>
          <w:sz w:val="22"/>
          <w:szCs w:val="22"/>
        </w:rPr>
      </w:pPr>
      <w:r w:rsidRPr="00D718D6">
        <w:rPr>
          <w:sz w:val="22"/>
          <w:szCs w:val="22"/>
        </w:rPr>
        <w:t>Il a donc été décidé ce qui suit en application des articles L. 911-1 et suivants du Code de la sécurité sociale</w:t>
      </w:r>
      <w:r w:rsidR="00710863" w:rsidRPr="00D718D6">
        <w:rPr>
          <w:sz w:val="22"/>
          <w:szCs w:val="22"/>
        </w:rPr>
        <w:t xml:space="preserve">. </w:t>
      </w:r>
      <w:r w:rsidRPr="00D718D6">
        <w:rPr>
          <w:sz w:val="22"/>
          <w:szCs w:val="22"/>
        </w:rPr>
        <w:t xml:space="preserve"> </w:t>
      </w:r>
      <w:r w:rsidR="00710863" w:rsidRPr="00D718D6">
        <w:rPr>
          <w:sz w:val="22"/>
          <w:szCs w:val="22"/>
        </w:rPr>
        <w:t xml:space="preserve">Le présent accord </w:t>
      </w:r>
      <w:r w:rsidRPr="00D718D6">
        <w:rPr>
          <w:sz w:val="22"/>
          <w:szCs w:val="22"/>
        </w:rPr>
        <w:t xml:space="preserve">se substitue à toutes les dispositions issues </w:t>
      </w:r>
      <w:r w:rsidR="00EF66AD" w:rsidRPr="00D718D6">
        <w:rPr>
          <w:sz w:val="22"/>
          <w:szCs w:val="22"/>
        </w:rPr>
        <w:t xml:space="preserve">des </w:t>
      </w:r>
      <w:r w:rsidRPr="00D718D6">
        <w:rPr>
          <w:sz w:val="22"/>
          <w:szCs w:val="22"/>
        </w:rPr>
        <w:t>pratique</w:t>
      </w:r>
      <w:r w:rsidR="00EF66AD" w:rsidRPr="00D718D6">
        <w:rPr>
          <w:sz w:val="22"/>
          <w:szCs w:val="22"/>
        </w:rPr>
        <w:t>s</w:t>
      </w:r>
      <w:r w:rsidRPr="00D718D6">
        <w:rPr>
          <w:sz w:val="22"/>
          <w:szCs w:val="22"/>
        </w:rPr>
        <w:t xml:space="preserve"> en vigueur dans l’entreprise et portant sur le même objet que celui prévu par le présent accord.</w:t>
      </w:r>
    </w:p>
    <w:p w:rsidR="002C7974" w:rsidRPr="00D718D6" w:rsidRDefault="002C7974" w:rsidP="006723C2">
      <w:pPr>
        <w:spacing w:after="200" w:line="276" w:lineRule="auto"/>
        <w:contextualSpacing/>
        <w:jc w:val="both"/>
        <w:rPr>
          <w:sz w:val="22"/>
          <w:szCs w:val="22"/>
        </w:rPr>
      </w:pPr>
    </w:p>
    <w:p w:rsidR="002C7974" w:rsidRPr="00D718D6" w:rsidRDefault="002C7974" w:rsidP="006723C2">
      <w:pPr>
        <w:spacing w:after="200" w:line="276" w:lineRule="auto"/>
        <w:contextualSpacing/>
        <w:jc w:val="both"/>
        <w:rPr>
          <w:sz w:val="22"/>
          <w:szCs w:val="22"/>
        </w:rPr>
      </w:pPr>
    </w:p>
    <w:p w:rsidR="002C7974" w:rsidRPr="00D718D6" w:rsidRDefault="002C7974" w:rsidP="006723C2">
      <w:pPr>
        <w:spacing w:after="200" w:line="276" w:lineRule="auto"/>
        <w:contextualSpacing/>
        <w:jc w:val="both"/>
        <w:rPr>
          <w:sz w:val="22"/>
          <w:szCs w:val="22"/>
        </w:rPr>
      </w:pPr>
    </w:p>
    <w:p w:rsidR="00717E34" w:rsidRPr="00D718D6" w:rsidRDefault="00AC411D">
      <w:pPr>
        <w:spacing w:after="0" w:line="240" w:lineRule="auto"/>
        <w:contextualSpacing/>
        <w:jc w:val="both"/>
        <w:rPr>
          <w:rFonts w:cs="Arial"/>
          <w:sz w:val="22"/>
          <w:szCs w:val="22"/>
        </w:rPr>
      </w:pPr>
      <w:r w:rsidRPr="00D718D6">
        <w:rPr>
          <w:rFonts w:cs="Arial"/>
          <w:bCs/>
          <w:noProof/>
          <w:sz w:val="22"/>
          <w:szCs w:val="22"/>
          <w:lang w:eastAsia="fr-FR"/>
        </w:rPr>
        <w:drawing>
          <wp:anchor distT="0" distB="0" distL="114300" distR="114300" simplePos="0" relativeHeight="17" behindDoc="0" locked="0" layoutInCell="1" allowOverlap="1" wp14:anchorId="1E6EFD76" wp14:editId="22FE6B0A">
            <wp:simplePos x="0" y="0"/>
            <wp:positionH relativeFrom="column">
              <wp:posOffset>670560</wp:posOffset>
            </wp:positionH>
            <wp:positionV relativeFrom="paragraph">
              <wp:posOffset>179070</wp:posOffset>
            </wp:positionV>
            <wp:extent cx="4213860" cy="288290"/>
            <wp:effectExtent l="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10"/>
                    <a:stretch>
                      <a:fillRect/>
                    </a:stretch>
                  </pic:blipFill>
                  <pic:spPr bwMode="auto">
                    <a:xfrm>
                      <a:off x="0" y="0"/>
                      <a:ext cx="4213860" cy="288290"/>
                    </a:xfrm>
                    <a:prstGeom prst="rect">
                      <a:avLst/>
                    </a:prstGeom>
                  </pic:spPr>
                </pic:pic>
              </a:graphicData>
            </a:graphic>
          </wp:anchor>
        </w:drawing>
      </w:r>
    </w:p>
    <w:p w:rsidR="00075E33" w:rsidRPr="00D718D6" w:rsidRDefault="00075E33">
      <w:pPr>
        <w:spacing w:after="0" w:line="240" w:lineRule="auto"/>
        <w:contextualSpacing/>
        <w:jc w:val="both"/>
        <w:rPr>
          <w:rFonts w:cs="Arial"/>
          <w:sz w:val="22"/>
          <w:szCs w:val="22"/>
        </w:rPr>
      </w:pPr>
    </w:p>
    <w:p w:rsidR="00717E34" w:rsidRPr="00D718D6" w:rsidRDefault="00717E34">
      <w:pPr>
        <w:contextualSpacing/>
        <w:rPr>
          <w:rFonts w:cs="Arial"/>
          <w:bCs/>
          <w:sz w:val="22"/>
          <w:szCs w:val="22"/>
        </w:rPr>
      </w:pPr>
    </w:p>
    <w:p w:rsidR="00717E34" w:rsidRPr="00D718D6" w:rsidRDefault="00717E3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2C7974" w:rsidRPr="00D718D6" w:rsidRDefault="002C7974">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Pr="00D718D6" w:rsidRDefault="007712BF">
      <w:pPr>
        <w:contextualSpacing/>
        <w:rPr>
          <w:rFonts w:cs="Arial"/>
          <w:bCs/>
          <w:sz w:val="22"/>
          <w:szCs w:val="22"/>
        </w:rPr>
      </w:pPr>
    </w:p>
    <w:p w:rsidR="007712BF" w:rsidRDefault="007712BF">
      <w:pPr>
        <w:contextualSpacing/>
        <w:rPr>
          <w:rFonts w:cs="Arial"/>
          <w:bCs/>
          <w:sz w:val="22"/>
          <w:szCs w:val="22"/>
        </w:rPr>
      </w:pPr>
    </w:p>
    <w:p w:rsidR="00F0094C" w:rsidRDefault="00F0094C">
      <w:pPr>
        <w:contextualSpacing/>
        <w:rPr>
          <w:rFonts w:cs="Arial"/>
          <w:bCs/>
          <w:sz w:val="22"/>
          <w:szCs w:val="22"/>
        </w:rPr>
      </w:pPr>
    </w:p>
    <w:p w:rsidR="00F0094C" w:rsidRDefault="00F0094C">
      <w:pPr>
        <w:contextualSpacing/>
        <w:rPr>
          <w:rFonts w:cs="Arial"/>
          <w:bCs/>
          <w:sz w:val="22"/>
          <w:szCs w:val="22"/>
        </w:rPr>
      </w:pPr>
    </w:p>
    <w:p w:rsidR="00F0094C" w:rsidRPr="00D718D6" w:rsidRDefault="00F0094C">
      <w:pPr>
        <w:contextualSpacing/>
        <w:rPr>
          <w:rFonts w:cs="Arial"/>
          <w:bCs/>
          <w:sz w:val="22"/>
          <w:szCs w:val="22"/>
        </w:rPr>
      </w:pPr>
    </w:p>
    <w:p w:rsidR="00FD092E" w:rsidRPr="00D718D6" w:rsidRDefault="00FD092E">
      <w:pPr>
        <w:pStyle w:val="Titre2"/>
        <w:contextualSpacing/>
        <w:rPr>
          <w:rFonts w:asciiTheme="minorHAnsi" w:hAnsiTheme="minorHAnsi"/>
          <w:b/>
          <w:color w:val="808080" w:themeColor="background1" w:themeShade="80"/>
        </w:rPr>
      </w:pPr>
    </w:p>
    <w:p w:rsidR="00075E33" w:rsidRPr="00D718D6" w:rsidRDefault="00FE4D0D">
      <w:pPr>
        <w:pStyle w:val="Titre2"/>
        <w:contextualSpacing/>
        <w:rPr>
          <w:rFonts w:asciiTheme="minorHAnsi" w:hAnsiTheme="minorHAnsi"/>
          <w:b/>
          <w:color w:val="808080" w:themeColor="background1" w:themeShade="80"/>
        </w:rPr>
      </w:pPr>
      <w:bookmarkStart w:id="2" w:name="_Toc26446316"/>
      <w:r w:rsidRPr="00D718D6">
        <w:rPr>
          <w:rFonts w:asciiTheme="minorHAnsi" w:hAnsiTheme="minorHAnsi"/>
          <w:b/>
          <w:color w:val="808080" w:themeColor="background1" w:themeShade="80"/>
        </w:rPr>
        <w:t xml:space="preserve">ARTICLE 1 – </w:t>
      </w:r>
      <w:r w:rsidR="00C30799" w:rsidRPr="00D718D6">
        <w:rPr>
          <w:rFonts w:asciiTheme="minorHAnsi" w:hAnsiTheme="minorHAnsi"/>
          <w:b/>
          <w:color w:val="808080" w:themeColor="background1" w:themeShade="80"/>
        </w:rPr>
        <w:t>OBJET</w:t>
      </w:r>
      <w:bookmarkEnd w:id="2"/>
    </w:p>
    <w:p w:rsidR="00075E33" w:rsidRPr="00D718D6" w:rsidRDefault="00075E33">
      <w:pPr>
        <w:spacing w:after="0" w:line="240" w:lineRule="auto"/>
        <w:contextualSpacing/>
        <w:jc w:val="both"/>
        <w:rPr>
          <w:rFonts w:cs="Arial"/>
          <w:sz w:val="22"/>
          <w:szCs w:val="22"/>
        </w:rPr>
      </w:pPr>
    </w:p>
    <w:p w:rsidR="00C30799" w:rsidRPr="00D718D6" w:rsidRDefault="00C30799" w:rsidP="00C30799">
      <w:pPr>
        <w:contextualSpacing/>
        <w:jc w:val="both"/>
        <w:rPr>
          <w:rFonts w:cs="Arial"/>
          <w:sz w:val="22"/>
          <w:szCs w:val="22"/>
        </w:rPr>
      </w:pPr>
      <w:r w:rsidRPr="00D718D6">
        <w:rPr>
          <w:rFonts w:cs="Arial"/>
          <w:sz w:val="22"/>
          <w:szCs w:val="22"/>
        </w:rPr>
        <w:t>Le présent accord a pour objet l'adhésion des salariés visés à l’article 2.1. ci-</w:t>
      </w:r>
      <w:r w:rsidR="00FD5711">
        <w:rPr>
          <w:rFonts w:cs="Arial"/>
          <w:sz w:val="22"/>
          <w:szCs w:val="22"/>
        </w:rPr>
        <w:t xml:space="preserve"> </w:t>
      </w:r>
      <w:r w:rsidRPr="00D718D6">
        <w:rPr>
          <w:rFonts w:cs="Arial"/>
          <w:sz w:val="22"/>
          <w:szCs w:val="22"/>
        </w:rPr>
        <w:t>après, au contrat collectif d’assurance souscrit à cet effet par la société auprès d’un organisme habilité</w:t>
      </w:r>
      <w:r w:rsidRPr="00D718D6">
        <w:rPr>
          <w:rFonts w:cs="Arial"/>
          <w:i/>
          <w:sz w:val="22"/>
          <w:szCs w:val="22"/>
        </w:rPr>
        <w:t>,</w:t>
      </w:r>
      <w:r w:rsidRPr="00D718D6">
        <w:rPr>
          <w:rFonts w:cs="Arial"/>
          <w:sz w:val="22"/>
          <w:szCs w:val="22"/>
        </w:rPr>
        <w:t xml:space="preserve"> sur la base des garanties et de leurs modalités d’application ci-après annexées à titre informatif.</w:t>
      </w:r>
    </w:p>
    <w:p w:rsidR="007712BF" w:rsidRPr="00D718D6" w:rsidRDefault="007712BF" w:rsidP="00C30799">
      <w:pPr>
        <w:contextualSpacing/>
        <w:jc w:val="both"/>
        <w:rPr>
          <w:rFonts w:cs="Arial"/>
          <w:sz w:val="22"/>
          <w:szCs w:val="22"/>
        </w:rPr>
      </w:pPr>
    </w:p>
    <w:p w:rsidR="007712BF" w:rsidRPr="00D718D6" w:rsidRDefault="007712BF" w:rsidP="00C30799">
      <w:pPr>
        <w:contextualSpacing/>
        <w:jc w:val="both"/>
        <w:rPr>
          <w:rFonts w:cs="Arial"/>
          <w:sz w:val="22"/>
          <w:szCs w:val="22"/>
        </w:rPr>
      </w:pPr>
      <w:r w:rsidRPr="00D718D6">
        <w:rPr>
          <w:rFonts w:cs="Arial"/>
          <w:sz w:val="22"/>
          <w:szCs w:val="22"/>
        </w:rPr>
        <w:t>Conformément à l'article L.912-2 du Code de la sécurité sociale, les parties signataires devront, dans un délai qui ne pourra excéder cinq ans à compter de la date d'effet du présent accord, réexaminer le choix de l'organisme assureur. A cet effet, elles se réuniront six mois avant l’échéance à l’initiative de la partie la plus diligente. Ces dispositions n'interdisent pas, avant cette date, la modification, la résiliation ou le non-renouvellement du contrat de garanties collectives accompagné, le cas échéant, d’un avenant au présent accord.</w:t>
      </w:r>
    </w:p>
    <w:p w:rsidR="00075E33" w:rsidRPr="00D718D6" w:rsidRDefault="00075E33">
      <w:pPr>
        <w:contextualSpacing/>
      </w:pPr>
    </w:p>
    <w:p w:rsidR="00075E33" w:rsidRPr="00D718D6" w:rsidRDefault="00FE4D0D">
      <w:pPr>
        <w:pStyle w:val="Titre2"/>
        <w:contextualSpacing/>
        <w:rPr>
          <w:rFonts w:asciiTheme="minorHAnsi" w:hAnsiTheme="minorHAnsi"/>
          <w:b/>
          <w:color w:val="808080" w:themeColor="background1" w:themeShade="80"/>
        </w:rPr>
      </w:pPr>
      <w:bookmarkStart w:id="3" w:name="_Toc26446317"/>
      <w:r w:rsidRPr="00D718D6">
        <w:rPr>
          <w:rFonts w:asciiTheme="minorHAnsi" w:hAnsiTheme="minorHAnsi"/>
          <w:b/>
          <w:color w:val="808080" w:themeColor="background1" w:themeShade="80"/>
        </w:rPr>
        <w:t>ARTICLE 2 –</w:t>
      </w:r>
      <w:r w:rsidR="00717E34" w:rsidRPr="00D718D6">
        <w:rPr>
          <w:rFonts w:asciiTheme="minorHAnsi" w:hAnsiTheme="minorHAnsi"/>
          <w:b/>
          <w:color w:val="808080" w:themeColor="background1" w:themeShade="80"/>
        </w:rPr>
        <w:t xml:space="preserve"> </w:t>
      </w:r>
      <w:r w:rsidR="00C30799" w:rsidRPr="00D718D6">
        <w:rPr>
          <w:rFonts w:asciiTheme="minorHAnsi" w:hAnsiTheme="minorHAnsi"/>
          <w:b/>
          <w:color w:val="808080" w:themeColor="background1" w:themeShade="80"/>
        </w:rPr>
        <w:t>ADHESION DES SALARIES</w:t>
      </w:r>
      <w:bookmarkEnd w:id="3"/>
    </w:p>
    <w:p w:rsidR="00075E33" w:rsidRPr="00D718D6" w:rsidRDefault="00075E33">
      <w:pPr>
        <w:spacing w:after="0" w:line="240" w:lineRule="auto"/>
        <w:contextualSpacing/>
        <w:rPr>
          <w:rFonts w:cs="Arial"/>
          <w:b/>
          <w:bCs/>
          <w:i/>
          <w:iCs/>
          <w:sz w:val="22"/>
          <w:szCs w:val="22"/>
        </w:rPr>
      </w:pPr>
    </w:p>
    <w:p w:rsidR="00075E33" w:rsidRPr="00D718D6" w:rsidRDefault="00FE4D0D">
      <w:pPr>
        <w:pStyle w:val="Titre3"/>
        <w:contextualSpacing/>
        <w:rPr>
          <w:rFonts w:asciiTheme="minorHAnsi" w:hAnsiTheme="minorHAnsi"/>
          <w:b/>
          <w:color w:val="4F81BD" w:themeColor="accent1"/>
        </w:rPr>
      </w:pPr>
      <w:bookmarkStart w:id="4" w:name="_Toc26446318"/>
      <w:r w:rsidRPr="00D718D6">
        <w:rPr>
          <w:rFonts w:asciiTheme="minorHAnsi" w:hAnsiTheme="minorHAnsi"/>
          <w:b/>
          <w:color w:val="4F81BD" w:themeColor="accent1"/>
        </w:rPr>
        <w:t>Article 2.1</w:t>
      </w:r>
      <w:r w:rsidR="00F83594" w:rsidRPr="00D718D6">
        <w:rPr>
          <w:rFonts w:asciiTheme="minorHAnsi" w:hAnsiTheme="minorHAnsi"/>
          <w:b/>
          <w:color w:val="4F81BD" w:themeColor="accent1"/>
        </w:rPr>
        <w:t xml:space="preserve"> </w:t>
      </w:r>
      <w:r w:rsidRPr="00D718D6">
        <w:rPr>
          <w:rFonts w:asciiTheme="minorHAnsi" w:hAnsiTheme="minorHAnsi"/>
          <w:b/>
          <w:color w:val="4F81BD" w:themeColor="accent1"/>
        </w:rPr>
        <w:t xml:space="preserve">- </w:t>
      </w:r>
      <w:r w:rsidR="006930DC" w:rsidRPr="00D718D6">
        <w:rPr>
          <w:rFonts w:asciiTheme="minorHAnsi" w:hAnsiTheme="minorHAnsi"/>
          <w:b/>
          <w:color w:val="4F81BD" w:themeColor="accent1"/>
        </w:rPr>
        <w:t>Salariés bénéficiaires</w:t>
      </w:r>
      <w:bookmarkEnd w:id="4"/>
    </w:p>
    <w:p w:rsidR="00075E33" w:rsidRPr="00D718D6" w:rsidRDefault="00075E33">
      <w:pPr>
        <w:spacing w:after="0" w:line="240" w:lineRule="auto"/>
        <w:contextualSpacing/>
        <w:rPr>
          <w:rFonts w:cs="Arial"/>
          <w:b/>
          <w:color w:val="4F81BD" w:themeColor="accent1"/>
          <w:sz w:val="22"/>
          <w:szCs w:val="22"/>
        </w:rPr>
      </w:pPr>
    </w:p>
    <w:p w:rsidR="007712BF" w:rsidRPr="00D718D6" w:rsidRDefault="007712BF" w:rsidP="007712BF">
      <w:pPr>
        <w:spacing w:after="0" w:line="240" w:lineRule="auto"/>
        <w:contextualSpacing/>
        <w:jc w:val="both"/>
        <w:rPr>
          <w:rFonts w:cs="Arial"/>
          <w:iCs/>
          <w:sz w:val="22"/>
          <w:szCs w:val="22"/>
        </w:rPr>
      </w:pPr>
      <w:r w:rsidRPr="00D718D6">
        <w:rPr>
          <w:rFonts w:cs="Arial"/>
          <w:sz w:val="22"/>
          <w:szCs w:val="22"/>
        </w:rPr>
        <w:t xml:space="preserve">Le régime bénéficie, </w:t>
      </w:r>
      <w:bookmarkStart w:id="5" w:name="_Hlk529888912"/>
      <w:r w:rsidRPr="00D718D6">
        <w:rPr>
          <w:rFonts w:cs="Arial"/>
          <w:sz w:val="22"/>
          <w:szCs w:val="22"/>
        </w:rPr>
        <w:t xml:space="preserve">conformément aux dispositions de l’article R. 242-1-1 1° du Code de la sécurité sociale, </w:t>
      </w:r>
      <w:bookmarkEnd w:id="5"/>
      <w:r w:rsidRPr="00D718D6">
        <w:rPr>
          <w:rFonts w:cs="Arial"/>
          <w:iCs/>
          <w:sz w:val="22"/>
          <w:szCs w:val="22"/>
        </w:rPr>
        <w:t>aux :</w:t>
      </w:r>
    </w:p>
    <w:p w:rsidR="001C142C" w:rsidRPr="00D718D6" w:rsidRDefault="001C142C" w:rsidP="007712BF">
      <w:pPr>
        <w:spacing w:after="0" w:line="240" w:lineRule="auto"/>
        <w:contextualSpacing/>
        <w:jc w:val="both"/>
        <w:rPr>
          <w:rFonts w:cs="Arial"/>
          <w:iCs/>
          <w:sz w:val="22"/>
          <w:szCs w:val="22"/>
        </w:rPr>
      </w:pPr>
    </w:p>
    <w:p w:rsidR="00B5016C" w:rsidRPr="00D718D6" w:rsidRDefault="001C142C">
      <w:pPr>
        <w:spacing w:after="0" w:line="240" w:lineRule="auto"/>
        <w:contextualSpacing/>
        <w:jc w:val="both"/>
        <w:rPr>
          <w:rFonts w:cs="Arial"/>
          <w:sz w:val="22"/>
          <w:szCs w:val="22"/>
        </w:rPr>
      </w:pPr>
      <w:r w:rsidRPr="00D718D6">
        <w:rPr>
          <w:rFonts w:cs="Arial"/>
          <w:sz w:val="22"/>
          <w:szCs w:val="22"/>
        </w:rPr>
        <w:t xml:space="preserve">- </w:t>
      </w:r>
      <w:r w:rsidR="007712BF" w:rsidRPr="00D718D6">
        <w:rPr>
          <w:rFonts w:cs="Arial"/>
          <w:sz w:val="22"/>
          <w:szCs w:val="22"/>
        </w:rPr>
        <w:t>salariés relevant des articles 4, 4 bis et 36 de l’Annexe I de la Convention collective nationale de retraite et de prévoyance des cadres du 14 mars 1947 qui peuvent être affiliés à l’AGIRC ;</w:t>
      </w:r>
    </w:p>
    <w:p w:rsidR="007712BF" w:rsidRPr="00D718D6" w:rsidRDefault="007712BF">
      <w:pPr>
        <w:spacing w:after="0" w:line="240" w:lineRule="auto"/>
        <w:contextualSpacing/>
        <w:jc w:val="both"/>
        <w:rPr>
          <w:rFonts w:cs="Arial"/>
          <w:sz w:val="22"/>
          <w:szCs w:val="22"/>
        </w:rPr>
      </w:pPr>
    </w:p>
    <w:p w:rsidR="00075E33" w:rsidRPr="00D718D6" w:rsidRDefault="00FE4D0D">
      <w:pPr>
        <w:pStyle w:val="Titre3"/>
        <w:contextualSpacing/>
        <w:rPr>
          <w:rFonts w:asciiTheme="minorHAnsi" w:hAnsiTheme="minorHAnsi"/>
          <w:b/>
          <w:color w:val="4F81BD" w:themeColor="accent1"/>
        </w:rPr>
      </w:pPr>
      <w:bookmarkStart w:id="6" w:name="_Toc26446319"/>
      <w:r w:rsidRPr="00D718D6">
        <w:rPr>
          <w:rFonts w:asciiTheme="minorHAnsi" w:hAnsiTheme="minorHAnsi"/>
          <w:b/>
          <w:color w:val="4F81BD" w:themeColor="accent1"/>
        </w:rPr>
        <w:t>Article 2.2</w:t>
      </w:r>
      <w:r w:rsidR="00F83594" w:rsidRPr="00D718D6">
        <w:rPr>
          <w:rFonts w:asciiTheme="minorHAnsi" w:hAnsiTheme="minorHAnsi"/>
          <w:b/>
          <w:color w:val="4F81BD" w:themeColor="accent1"/>
        </w:rPr>
        <w:t xml:space="preserve"> </w:t>
      </w:r>
      <w:r w:rsidRPr="00D718D6">
        <w:rPr>
          <w:rFonts w:asciiTheme="minorHAnsi" w:hAnsiTheme="minorHAnsi"/>
          <w:b/>
          <w:color w:val="4F81BD" w:themeColor="accent1"/>
        </w:rPr>
        <w:t xml:space="preserve">- </w:t>
      </w:r>
      <w:r w:rsidR="006930DC" w:rsidRPr="00D718D6">
        <w:rPr>
          <w:rFonts w:asciiTheme="minorHAnsi" w:hAnsiTheme="minorHAnsi"/>
          <w:b/>
          <w:color w:val="4F81BD" w:themeColor="accent1"/>
        </w:rPr>
        <w:t>Caractère obligatoire de l’adhésion</w:t>
      </w:r>
      <w:bookmarkEnd w:id="6"/>
      <w:r w:rsidR="006930DC" w:rsidRPr="00D718D6">
        <w:rPr>
          <w:rFonts w:asciiTheme="minorHAnsi" w:hAnsiTheme="minorHAnsi"/>
          <w:b/>
          <w:color w:val="4F81BD" w:themeColor="accent1"/>
        </w:rPr>
        <w:t xml:space="preserve"> </w:t>
      </w:r>
    </w:p>
    <w:p w:rsidR="00075E33" w:rsidRPr="00D718D6" w:rsidRDefault="00075E33">
      <w:pPr>
        <w:spacing w:after="0" w:line="240" w:lineRule="auto"/>
        <w:contextualSpacing/>
        <w:rPr>
          <w:rFonts w:cs="Arial"/>
          <w:sz w:val="22"/>
          <w:szCs w:val="22"/>
        </w:rPr>
      </w:pPr>
    </w:p>
    <w:p w:rsidR="00075E33" w:rsidRPr="00D718D6" w:rsidRDefault="00B45A0E" w:rsidP="002C7974">
      <w:pPr>
        <w:spacing w:after="0" w:line="240" w:lineRule="auto"/>
        <w:contextualSpacing/>
        <w:jc w:val="both"/>
        <w:rPr>
          <w:rFonts w:cs="Arial"/>
          <w:sz w:val="22"/>
          <w:szCs w:val="22"/>
        </w:rPr>
      </w:pPr>
      <w:r w:rsidRPr="00D718D6">
        <w:rPr>
          <w:rFonts w:cs="Arial"/>
          <w:sz w:val="22"/>
          <w:szCs w:val="22"/>
        </w:rPr>
        <w:t>L'adhésion au régime des salariés visés à l’article 2.1. est obligatoire. Elle résulte de la signature du présent accord par les organisations syndicales représentatives des salariés dans l’entreprise. Elle s'impose donc dans les relations individuelles de travail et les salariés concernés ne pourront s'opposer au précompte de leur quote-part de cotisations.</w:t>
      </w:r>
    </w:p>
    <w:p w:rsidR="00F83594" w:rsidRPr="00D718D6" w:rsidRDefault="00F83594" w:rsidP="00F83594">
      <w:pPr>
        <w:pStyle w:val="Titre3"/>
        <w:contextualSpacing/>
        <w:rPr>
          <w:rFonts w:asciiTheme="minorHAnsi" w:hAnsiTheme="minorHAnsi"/>
          <w:b/>
          <w:color w:val="4F81BD" w:themeColor="accent1"/>
        </w:rPr>
      </w:pPr>
    </w:p>
    <w:p w:rsidR="00F83594" w:rsidRPr="00D718D6" w:rsidRDefault="00F83594" w:rsidP="00F83594">
      <w:pPr>
        <w:pStyle w:val="Titre3"/>
        <w:contextualSpacing/>
        <w:rPr>
          <w:rFonts w:asciiTheme="minorHAnsi" w:hAnsiTheme="minorHAnsi"/>
          <w:b/>
          <w:color w:val="4F81BD" w:themeColor="accent1"/>
        </w:rPr>
      </w:pPr>
      <w:bookmarkStart w:id="7" w:name="_Toc26446320"/>
      <w:r w:rsidRPr="00D718D6">
        <w:rPr>
          <w:rFonts w:asciiTheme="minorHAnsi" w:hAnsiTheme="minorHAnsi"/>
          <w:b/>
          <w:color w:val="4F81BD" w:themeColor="accent1"/>
        </w:rPr>
        <w:t>Article 2.3 - Salariés dont le contrat de travail est suspendu</w:t>
      </w:r>
      <w:bookmarkEnd w:id="7"/>
    </w:p>
    <w:p w:rsidR="001E5825"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 xml:space="preserve">L’adhésion des salariés est maintenue en cas de suspension de leur contrat de travail, quelle qu’en soit la cause, dès lors qu’ils bénéficient, pendant cette période, d’un maintien de salaire, total ou partiel, ou d’indemnités journalières complémentaires financées au moins en partie par la société. </w:t>
      </w:r>
    </w:p>
    <w:p w:rsidR="001E5825"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a)</w:t>
      </w:r>
      <w:r w:rsidRPr="00D718D6">
        <w:rPr>
          <w:rFonts w:ascii="Calibri" w:eastAsia="Times New Roman" w:hAnsi="Calibri" w:cs="Arial"/>
          <w:sz w:val="22"/>
          <w:szCs w:val="22"/>
          <w:lang w:eastAsia="fr-FR"/>
        </w:rPr>
        <w:tab/>
        <w:t xml:space="preserve">Salariés bénéficiant d’un maintien de salaire (total ou partiel) </w:t>
      </w:r>
    </w:p>
    <w:p w:rsidR="001E5825"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 xml:space="preserve">Lorsque la suspension intervient pour cause de maternité, paternité, maladie ou accident du travail, accident de trajet ou toute autre cause ouvrant droit, soit à maintien (total ou partiel) de salaire par l’entreprise, soit à indemnités journalières de sécurité sociale et/ou complémentaires, le salarié bénéficie du maintien intégral de ses garanties.  </w:t>
      </w:r>
    </w:p>
    <w:p w:rsidR="001E5825"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Dans ces cas, l’employeur et le salarié continuent de verser la même cotisation qu’avant la suspension du contrat de travail, pendant la durée de ladite suspension.</w:t>
      </w:r>
    </w:p>
    <w:p w:rsidR="00FD5711" w:rsidRDefault="00FD5711" w:rsidP="001E5825">
      <w:pPr>
        <w:spacing w:before="120" w:after="0" w:line="280" w:lineRule="atLeast"/>
        <w:jc w:val="both"/>
        <w:rPr>
          <w:rFonts w:ascii="Calibri" w:eastAsia="Times New Roman" w:hAnsi="Calibri" w:cs="Arial"/>
          <w:sz w:val="22"/>
          <w:szCs w:val="22"/>
          <w:lang w:eastAsia="fr-FR"/>
        </w:rPr>
      </w:pPr>
    </w:p>
    <w:p w:rsidR="00426840" w:rsidRDefault="00426840" w:rsidP="001E5825">
      <w:pPr>
        <w:spacing w:before="120" w:after="0" w:line="280" w:lineRule="atLeast"/>
        <w:jc w:val="both"/>
        <w:rPr>
          <w:rFonts w:ascii="Calibri" w:eastAsia="Times New Roman" w:hAnsi="Calibri" w:cs="Arial"/>
          <w:sz w:val="22"/>
          <w:szCs w:val="22"/>
          <w:lang w:eastAsia="fr-FR"/>
        </w:rPr>
      </w:pPr>
    </w:p>
    <w:p w:rsidR="00426840" w:rsidRDefault="00426840" w:rsidP="001E5825">
      <w:pPr>
        <w:spacing w:before="120" w:after="0" w:line="280" w:lineRule="atLeast"/>
        <w:jc w:val="both"/>
        <w:rPr>
          <w:rFonts w:ascii="Calibri" w:eastAsia="Times New Roman" w:hAnsi="Calibri" w:cs="Arial"/>
          <w:sz w:val="22"/>
          <w:szCs w:val="22"/>
          <w:lang w:eastAsia="fr-FR"/>
        </w:rPr>
      </w:pPr>
    </w:p>
    <w:p w:rsidR="00FD5711" w:rsidRPr="00D718D6" w:rsidRDefault="00FD5711" w:rsidP="001E5825">
      <w:pPr>
        <w:spacing w:before="120" w:after="0" w:line="280" w:lineRule="atLeast"/>
        <w:jc w:val="both"/>
        <w:rPr>
          <w:rFonts w:ascii="Calibri" w:eastAsia="Times New Roman" w:hAnsi="Calibri" w:cs="Arial"/>
          <w:sz w:val="22"/>
          <w:szCs w:val="22"/>
          <w:lang w:eastAsia="fr-FR"/>
        </w:rPr>
      </w:pPr>
    </w:p>
    <w:p w:rsidR="001E5825"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b)</w:t>
      </w:r>
      <w:r w:rsidRPr="00D718D6">
        <w:rPr>
          <w:rFonts w:ascii="Calibri" w:eastAsia="Times New Roman" w:hAnsi="Calibri" w:cs="Arial"/>
          <w:sz w:val="22"/>
          <w:szCs w:val="22"/>
          <w:lang w:eastAsia="fr-FR"/>
        </w:rPr>
        <w:tab/>
        <w:t>Les autres cas de suspension</w:t>
      </w:r>
    </w:p>
    <w:p w:rsidR="001E5825"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 xml:space="preserve">Dans tous les autres cas de suspension du contrat de travail, n’ouvrant pas ou plus droit à maintien de salaire ou indemnisation de la part de l’employeur (y compris versée par l’intermédiaire d’un tiers), l’obligation de cotiser et le versement des prestations sont également suspendus. </w:t>
      </w:r>
    </w:p>
    <w:p w:rsidR="00F83594" w:rsidRPr="00D718D6" w:rsidRDefault="001E5825" w:rsidP="001E5825">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 xml:space="preserve">Les salariés pourront, sur simple demande écrite auprès de l’employeur, toutefois continuer à adhérer au régime pendant la période de suspension de leur contrat de travail sous réserve de s’acquitter de l’intégralité de la cotisation (part patronale et part salariale). La cotisation afférente aux garanties précitées est réglée directement par le salarié auprès de l'organisme </w:t>
      </w:r>
      <w:r w:rsidR="00F24560" w:rsidRPr="00D718D6">
        <w:rPr>
          <w:rFonts w:ascii="Calibri" w:eastAsia="Times New Roman" w:hAnsi="Calibri" w:cs="Arial"/>
          <w:sz w:val="22"/>
          <w:szCs w:val="22"/>
          <w:lang w:eastAsia="fr-FR"/>
        </w:rPr>
        <w:t>gestionnaire</w:t>
      </w:r>
      <w:r w:rsidRPr="00D718D6">
        <w:rPr>
          <w:rFonts w:ascii="Calibri" w:eastAsia="Times New Roman" w:hAnsi="Calibri" w:cs="Arial"/>
          <w:sz w:val="22"/>
          <w:szCs w:val="22"/>
          <w:lang w:eastAsia="fr-FR"/>
        </w:rPr>
        <w:t>.</w:t>
      </w:r>
    </w:p>
    <w:p w:rsidR="001E5825" w:rsidRPr="00D718D6" w:rsidRDefault="001E5825" w:rsidP="001E5825">
      <w:pPr>
        <w:pStyle w:val="Titre3"/>
        <w:contextualSpacing/>
        <w:rPr>
          <w:rFonts w:asciiTheme="minorHAnsi" w:hAnsiTheme="minorHAnsi"/>
          <w:b/>
          <w:color w:val="4F81BD" w:themeColor="accent1"/>
        </w:rPr>
      </w:pPr>
    </w:p>
    <w:p w:rsidR="001E5825" w:rsidRPr="00D718D6" w:rsidRDefault="001E5825" w:rsidP="001E5825">
      <w:pPr>
        <w:pStyle w:val="Titre3"/>
        <w:contextualSpacing/>
        <w:rPr>
          <w:rFonts w:asciiTheme="minorHAnsi" w:hAnsiTheme="minorHAnsi"/>
          <w:b/>
          <w:color w:val="4F81BD" w:themeColor="accent1"/>
        </w:rPr>
      </w:pPr>
      <w:bookmarkStart w:id="8" w:name="_Toc26446321"/>
      <w:r w:rsidRPr="00D718D6">
        <w:rPr>
          <w:rFonts w:asciiTheme="minorHAnsi" w:hAnsiTheme="minorHAnsi"/>
          <w:b/>
          <w:color w:val="4F81BD" w:themeColor="accent1"/>
        </w:rPr>
        <w:t>Article 2.4 - Salariés dont le contrat de travail est rompu : portabilité</w:t>
      </w:r>
      <w:bookmarkEnd w:id="8"/>
    </w:p>
    <w:p w:rsidR="000F2A89" w:rsidRPr="00D718D6" w:rsidRDefault="000F2A89" w:rsidP="000F2A89">
      <w:pPr>
        <w:spacing w:before="120" w:after="0" w:line="280" w:lineRule="atLeast"/>
        <w:jc w:val="both"/>
        <w:rPr>
          <w:rFonts w:ascii="Calibri" w:eastAsia="Times New Roman" w:hAnsi="Calibri" w:cs="Arial"/>
          <w:iCs/>
          <w:sz w:val="22"/>
          <w:szCs w:val="22"/>
          <w:lang w:eastAsia="fr-FR"/>
        </w:rPr>
      </w:pPr>
      <w:r w:rsidRPr="00D718D6">
        <w:rPr>
          <w:rFonts w:ascii="Calibri" w:eastAsia="Times New Roman" w:hAnsi="Calibri" w:cs="Arial"/>
          <w:iCs/>
          <w:sz w:val="22"/>
          <w:szCs w:val="22"/>
          <w:lang w:eastAsia="fr-FR"/>
        </w:rPr>
        <w:t>En application de l’article L.911-8 du Code de la sécurité sociale, les salariés bénéficient, dans les mêmes conditions que les salariés en activité, d'un maintien du régime de prévoyance (« incapacité-invalidité-décès ») dont ils bénéficiaient au sein de l’entreprise, en cas de rupture de leur contrat de travail ouvrant droit à une prise en charge par le régime d’assurance chômage (à l'exception du licenciement pour faute lourde).</w:t>
      </w:r>
    </w:p>
    <w:p w:rsidR="000F2A89" w:rsidRPr="00D718D6" w:rsidRDefault="000F2A89" w:rsidP="000F2A89">
      <w:pPr>
        <w:spacing w:before="120" w:after="0" w:line="280" w:lineRule="atLeast"/>
        <w:jc w:val="both"/>
        <w:rPr>
          <w:rFonts w:ascii="Calibri" w:eastAsia="Times New Roman" w:hAnsi="Calibri" w:cs="Arial"/>
          <w:iCs/>
          <w:sz w:val="22"/>
          <w:szCs w:val="22"/>
          <w:lang w:eastAsia="fr-FR"/>
        </w:rPr>
      </w:pPr>
      <w:r w:rsidRPr="00D718D6">
        <w:rPr>
          <w:rFonts w:ascii="Calibri" w:eastAsia="Times New Roman" w:hAnsi="Calibri" w:cs="Arial"/>
          <w:iCs/>
          <w:sz w:val="22"/>
          <w:szCs w:val="22"/>
          <w:lang w:eastAsia="fr-FR"/>
        </w:rPr>
        <w:t>Le droit à portabilité est ainsi subordonné au respect de l’ensemble des conditions fixées par ce texte. Notamment, la durée de la portabilité est égale à la durée du dernier contrat de travail, ou des derniers contrats de travail lorsqu’ils sont consécutifs chez le même employeur, appréciée en mois, le cas échéant arrondie au nombre supérieur, dans la limite de douze mois.</w:t>
      </w:r>
    </w:p>
    <w:p w:rsidR="000F2A89" w:rsidRPr="00D718D6" w:rsidRDefault="000F2A89" w:rsidP="000F2A89">
      <w:pPr>
        <w:spacing w:before="120" w:after="0" w:line="280" w:lineRule="atLeast"/>
        <w:jc w:val="both"/>
        <w:rPr>
          <w:rFonts w:ascii="Calibri" w:eastAsia="Times New Roman" w:hAnsi="Calibri" w:cs="Arial"/>
          <w:iCs/>
          <w:sz w:val="22"/>
          <w:szCs w:val="22"/>
          <w:lang w:eastAsia="fr-FR"/>
        </w:rPr>
      </w:pPr>
      <w:r w:rsidRPr="00D718D6">
        <w:rPr>
          <w:rFonts w:ascii="Calibri" w:eastAsia="Times New Roman" w:hAnsi="Calibri" w:cs="Arial"/>
          <w:iCs/>
          <w:sz w:val="22"/>
          <w:szCs w:val="22"/>
          <w:lang w:eastAsia="fr-FR"/>
        </w:rPr>
        <w:t>Les anciens salariés bénéficiaires du dispositif ne devront acquitter aucune cotisation supplémentaire à ce titre. Ce maintien de garanties sera financé par un système de mutualisation intégré aux cotisations du régime de prévoyance « incapacité-invalidité-décès » des salariés en activité.</w:t>
      </w:r>
    </w:p>
    <w:p w:rsidR="001E5825" w:rsidRPr="00D718D6" w:rsidRDefault="000F2A89" w:rsidP="000F2A89">
      <w:pPr>
        <w:spacing w:before="120" w:after="0" w:line="280" w:lineRule="atLeast"/>
        <w:jc w:val="both"/>
        <w:rPr>
          <w:rFonts w:ascii="Calibri" w:eastAsia="Times New Roman" w:hAnsi="Calibri" w:cs="Arial"/>
          <w:iCs/>
          <w:sz w:val="22"/>
          <w:szCs w:val="22"/>
          <w:lang w:eastAsia="fr-FR"/>
        </w:rPr>
      </w:pPr>
      <w:r w:rsidRPr="00D718D6">
        <w:rPr>
          <w:rFonts w:ascii="Calibri" w:eastAsia="Times New Roman" w:hAnsi="Calibri" w:cs="Arial"/>
          <w:iCs/>
          <w:sz w:val="22"/>
          <w:szCs w:val="22"/>
          <w:lang w:eastAsia="fr-FR"/>
        </w:rPr>
        <w:t>A défaut de communication des justificatifs de sa prise en charge par le régime d’assurance chômage, l’ancien salarié perd le bénéfice du régime et, par conséquent, le droit aux prestations correspondantes.</w:t>
      </w:r>
    </w:p>
    <w:p w:rsidR="00F24560" w:rsidRPr="00D718D6" w:rsidRDefault="00F24560" w:rsidP="00F24560">
      <w:pPr>
        <w:pStyle w:val="Titre2"/>
        <w:spacing w:before="0"/>
        <w:contextualSpacing/>
        <w:rPr>
          <w:rFonts w:asciiTheme="minorHAnsi" w:hAnsiTheme="minorHAnsi"/>
          <w:b/>
          <w:color w:val="808080" w:themeColor="background1" w:themeShade="80"/>
        </w:rPr>
      </w:pPr>
    </w:p>
    <w:p w:rsidR="00075E33" w:rsidRPr="00D718D6" w:rsidRDefault="00FE4D0D" w:rsidP="00F24560">
      <w:pPr>
        <w:pStyle w:val="Titre2"/>
        <w:spacing w:before="0"/>
        <w:contextualSpacing/>
        <w:rPr>
          <w:rFonts w:asciiTheme="minorHAnsi" w:hAnsiTheme="minorHAnsi"/>
          <w:b/>
          <w:color w:val="808080" w:themeColor="background1" w:themeShade="80"/>
          <w:vertAlign w:val="subscript"/>
        </w:rPr>
      </w:pPr>
      <w:bookmarkStart w:id="9" w:name="_Toc26446322"/>
      <w:r w:rsidRPr="00D718D6">
        <w:rPr>
          <w:rFonts w:asciiTheme="minorHAnsi" w:hAnsiTheme="minorHAnsi"/>
          <w:b/>
          <w:color w:val="808080" w:themeColor="background1" w:themeShade="80"/>
        </w:rPr>
        <w:t xml:space="preserve">ARTICLE 3 – </w:t>
      </w:r>
      <w:r w:rsidR="00087C94" w:rsidRPr="00D718D6">
        <w:rPr>
          <w:rFonts w:asciiTheme="minorHAnsi" w:hAnsiTheme="minorHAnsi"/>
          <w:b/>
          <w:color w:val="808080" w:themeColor="background1" w:themeShade="80"/>
        </w:rPr>
        <w:t>GARANTIES</w:t>
      </w:r>
      <w:bookmarkEnd w:id="9"/>
    </w:p>
    <w:p w:rsidR="00087C94" w:rsidRPr="00D718D6" w:rsidRDefault="00087C94" w:rsidP="00087C94">
      <w:pPr>
        <w:spacing w:before="120" w:after="0" w:line="280" w:lineRule="atLeast"/>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Les garanties souscrites, qui sont résumées dans le document joint à titre informatif, ne constituent, en aucun cas, un engagement pour la société qui n’est tenue, à l’égard de ses salariés, qu’au seul paiement des cotisations et à la couverture, a minima, des garanties imposées par le régime issu de la convention collective de branche applicable. Par conséquent, les garanties figurant en annexe relèvent de la seule responsabilité de l’organisme assureur, au même titre que les modalités, limitations et exclusions de garanties.</w:t>
      </w:r>
    </w:p>
    <w:p w:rsidR="002D194C" w:rsidRPr="00D718D6" w:rsidRDefault="002D194C">
      <w:pPr>
        <w:spacing w:after="0" w:line="240" w:lineRule="auto"/>
        <w:contextualSpacing/>
        <w:jc w:val="both"/>
        <w:rPr>
          <w:rFonts w:ascii="Calibri" w:eastAsia="Times New Roman" w:hAnsi="Calibri" w:cs="Arial"/>
          <w:sz w:val="22"/>
          <w:szCs w:val="22"/>
          <w:lang w:eastAsia="fr-FR"/>
        </w:rPr>
      </w:pPr>
    </w:p>
    <w:p w:rsidR="001305D9" w:rsidRPr="00D718D6" w:rsidRDefault="002D194C">
      <w:pPr>
        <w:spacing w:after="0" w:line="240" w:lineRule="auto"/>
        <w:contextualSpacing/>
        <w:jc w:val="both"/>
        <w:rPr>
          <w:rFonts w:ascii="Calibri" w:eastAsia="Times New Roman" w:hAnsi="Calibri" w:cs="Arial"/>
          <w:sz w:val="22"/>
          <w:szCs w:val="22"/>
          <w:lang w:eastAsia="fr-FR"/>
        </w:rPr>
      </w:pPr>
      <w:r w:rsidRPr="00D718D6">
        <w:rPr>
          <w:rFonts w:ascii="Calibri" w:eastAsia="Times New Roman" w:hAnsi="Calibri" w:cs="Arial"/>
          <w:sz w:val="22"/>
          <w:szCs w:val="22"/>
          <w:lang w:eastAsia="fr-FR"/>
        </w:rPr>
        <w:t>Le présent régime ainsi que le contrat d’assurance précité sont mis en œuvre conformément aux prescriptions des articles L.242-1, alinéas 6 et 8 du Code de la sécurité sociale et 83, 1° quater du Code général des impôts, et des décrets pris en application de ces dispositions.</w:t>
      </w:r>
    </w:p>
    <w:p w:rsidR="002D194C" w:rsidRPr="00D718D6" w:rsidRDefault="002D194C">
      <w:pPr>
        <w:spacing w:after="0" w:line="240" w:lineRule="auto"/>
        <w:contextualSpacing/>
        <w:jc w:val="both"/>
        <w:rPr>
          <w:rFonts w:cs="Arial"/>
          <w:sz w:val="22"/>
          <w:szCs w:val="22"/>
        </w:rPr>
      </w:pPr>
    </w:p>
    <w:p w:rsidR="00075E33" w:rsidRPr="00D718D6" w:rsidRDefault="00FE4D0D">
      <w:pPr>
        <w:pStyle w:val="Titre2"/>
        <w:contextualSpacing/>
        <w:rPr>
          <w:rFonts w:asciiTheme="minorHAnsi" w:hAnsiTheme="minorHAnsi"/>
          <w:b/>
          <w:color w:val="808080" w:themeColor="background1" w:themeShade="80"/>
        </w:rPr>
      </w:pPr>
      <w:bookmarkStart w:id="10" w:name="_Toc26446323"/>
      <w:r w:rsidRPr="00D718D6">
        <w:rPr>
          <w:rFonts w:asciiTheme="minorHAnsi" w:hAnsiTheme="minorHAnsi"/>
          <w:b/>
          <w:color w:val="808080" w:themeColor="background1" w:themeShade="80"/>
        </w:rPr>
        <w:t xml:space="preserve">ARTICLE 4 – </w:t>
      </w:r>
      <w:r w:rsidR="00197BA0" w:rsidRPr="00D718D6">
        <w:rPr>
          <w:rFonts w:asciiTheme="minorHAnsi" w:hAnsiTheme="minorHAnsi"/>
          <w:b/>
          <w:color w:val="808080" w:themeColor="background1" w:themeShade="80"/>
        </w:rPr>
        <w:t>COTISATIONS</w:t>
      </w:r>
      <w:bookmarkEnd w:id="10"/>
    </w:p>
    <w:p w:rsidR="00075E33" w:rsidRPr="00D718D6" w:rsidRDefault="00075E33">
      <w:pPr>
        <w:spacing w:after="0" w:line="240" w:lineRule="auto"/>
        <w:contextualSpacing/>
        <w:jc w:val="both"/>
        <w:rPr>
          <w:rFonts w:cs="Arial"/>
          <w:sz w:val="22"/>
          <w:szCs w:val="22"/>
        </w:rPr>
      </w:pPr>
    </w:p>
    <w:p w:rsidR="002D194C" w:rsidRPr="00D718D6" w:rsidRDefault="002D194C" w:rsidP="002D194C">
      <w:pPr>
        <w:spacing w:after="0" w:line="240" w:lineRule="auto"/>
        <w:contextualSpacing/>
        <w:jc w:val="both"/>
        <w:rPr>
          <w:rFonts w:cs="Arial"/>
          <w:sz w:val="22"/>
          <w:szCs w:val="22"/>
        </w:rPr>
      </w:pPr>
      <w:r w:rsidRPr="00D718D6">
        <w:rPr>
          <w:rFonts w:cs="Arial"/>
          <w:sz w:val="22"/>
          <w:szCs w:val="22"/>
        </w:rPr>
        <w:t>Les cotisations des salariés relevant des articles 4, 4 bis et 36 de la CCN 1947 servant au financement du contrat d'assurance « incapacité, invalidité, décès » sont fixées en pourcentage du salaire, calculé dans la limite des tranches 1 et 2 et prises en charge en partie par l’employeur selon les modalités suivantes :</w:t>
      </w:r>
    </w:p>
    <w:p w:rsidR="00AB4146" w:rsidRDefault="00AB4146" w:rsidP="002D194C">
      <w:pPr>
        <w:spacing w:after="0" w:line="240" w:lineRule="auto"/>
        <w:contextualSpacing/>
        <w:jc w:val="both"/>
        <w:rPr>
          <w:rFonts w:cs="Arial"/>
          <w:sz w:val="22"/>
          <w:szCs w:val="22"/>
        </w:rPr>
      </w:pPr>
    </w:p>
    <w:p w:rsidR="00FD5711" w:rsidRDefault="00FD5711" w:rsidP="002D194C">
      <w:pPr>
        <w:spacing w:after="0" w:line="240" w:lineRule="auto"/>
        <w:contextualSpacing/>
        <w:jc w:val="both"/>
        <w:rPr>
          <w:rFonts w:cs="Arial"/>
          <w:sz w:val="22"/>
          <w:szCs w:val="22"/>
        </w:rPr>
      </w:pPr>
    </w:p>
    <w:p w:rsidR="00FD5711" w:rsidRPr="00D718D6" w:rsidRDefault="00FD5711" w:rsidP="002D194C">
      <w:pPr>
        <w:spacing w:after="0" w:line="240" w:lineRule="auto"/>
        <w:contextualSpacing/>
        <w:jc w:val="both"/>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3260"/>
        <w:gridCol w:w="3090"/>
      </w:tblGrid>
      <w:tr w:rsidR="00AB4146" w:rsidRPr="00D718D6" w:rsidTr="0064123B">
        <w:tc>
          <w:tcPr>
            <w:tcW w:w="127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Assiette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Cotisation totale</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 xml:space="preserve">Prise en charge par l’employeur : </w:t>
            </w:r>
          </w:p>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Part Patronale</w:t>
            </w:r>
          </w:p>
        </w:tc>
        <w:tc>
          <w:tcPr>
            <w:tcW w:w="3090"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Prise en charge par le salarié : Part salariale</w:t>
            </w:r>
          </w:p>
        </w:tc>
      </w:tr>
      <w:tr w:rsidR="00AB4146" w:rsidRPr="00D718D6" w:rsidTr="0064123B">
        <w:tc>
          <w:tcPr>
            <w:tcW w:w="127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Tranche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1,50% du PMSS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100 %</w:t>
            </w:r>
          </w:p>
        </w:tc>
        <w:tc>
          <w:tcPr>
            <w:tcW w:w="3090" w:type="dxa"/>
            <w:tcBorders>
              <w:top w:val="single" w:sz="4" w:space="0" w:color="auto"/>
              <w:left w:val="single" w:sz="4" w:space="0" w:color="auto"/>
              <w:bottom w:val="single" w:sz="4" w:space="0" w:color="auto"/>
              <w:right w:val="single" w:sz="4" w:space="0" w:color="auto"/>
            </w:tcBorders>
            <w:vAlign w:val="center"/>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0 %</w:t>
            </w:r>
          </w:p>
        </w:tc>
      </w:tr>
      <w:tr w:rsidR="00AB4146" w:rsidRPr="00D718D6" w:rsidTr="0064123B">
        <w:tc>
          <w:tcPr>
            <w:tcW w:w="127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Tranche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1,78%du PMSS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50 %</w:t>
            </w:r>
          </w:p>
        </w:tc>
        <w:tc>
          <w:tcPr>
            <w:tcW w:w="3090" w:type="dxa"/>
            <w:tcBorders>
              <w:top w:val="single" w:sz="4" w:space="0" w:color="auto"/>
              <w:left w:val="single" w:sz="4" w:space="0" w:color="auto"/>
              <w:bottom w:val="single" w:sz="4" w:space="0" w:color="auto"/>
              <w:right w:val="single" w:sz="4" w:space="0" w:color="auto"/>
            </w:tcBorders>
            <w:vAlign w:val="center"/>
          </w:tcPr>
          <w:p w:rsidR="00AB4146" w:rsidRPr="00D718D6" w:rsidRDefault="00AB4146" w:rsidP="00AB4146">
            <w:pPr>
              <w:spacing w:after="0" w:line="240" w:lineRule="auto"/>
              <w:contextualSpacing/>
              <w:jc w:val="both"/>
              <w:rPr>
                <w:rFonts w:cs="Arial"/>
                <w:i/>
                <w:sz w:val="22"/>
                <w:szCs w:val="22"/>
              </w:rPr>
            </w:pPr>
            <w:r w:rsidRPr="00D718D6">
              <w:rPr>
                <w:rFonts w:cs="Arial"/>
                <w:i/>
                <w:sz w:val="22"/>
                <w:szCs w:val="22"/>
              </w:rPr>
              <w:t>50 %</w:t>
            </w:r>
          </w:p>
        </w:tc>
      </w:tr>
    </w:tbl>
    <w:p w:rsidR="00AB4146" w:rsidRPr="00D718D6" w:rsidRDefault="00AB4146" w:rsidP="002D194C">
      <w:pPr>
        <w:spacing w:after="0" w:line="240" w:lineRule="auto"/>
        <w:contextualSpacing/>
        <w:jc w:val="both"/>
        <w:rPr>
          <w:rFonts w:cs="Arial"/>
          <w:i/>
          <w:sz w:val="22"/>
          <w:szCs w:val="22"/>
        </w:rPr>
      </w:pPr>
    </w:p>
    <w:p w:rsidR="002D194C" w:rsidRPr="00D718D6" w:rsidRDefault="002D194C" w:rsidP="002D194C">
      <w:pPr>
        <w:spacing w:after="0" w:line="240" w:lineRule="auto"/>
        <w:contextualSpacing/>
        <w:jc w:val="both"/>
        <w:rPr>
          <w:rFonts w:cs="Arial"/>
          <w:i/>
          <w:sz w:val="22"/>
          <w:szCs w:val="22"/>
        </w:rPr>
      </w:pPr>
      <w:r w:rsidRPr="00D718D6">
        <w:rPr>
          <w:rFonts w:cs="Arial"/>
          <w:i/>
          <w:sz w:val="22"/>
          <w:szCs w:val="22"/>
        </w:rPr>
        <w:t xml:space="preserve">Le salaire est calculé dans la limite des tranches 1 et 2, déterminées de la façon suivante </w:t>
      </w:r>
      <w:bookmarkStart w:id="11" w:name="_Hlk530046690"/>
      <w:r w:rsidRPr="00D718D6">
        <w:rPr>
          <w:rFonts w:cs="Arial"/>
          <w:i/>
          <w:sz w:val="22"/>
          <w:szCs w:val="22"/>
        </w:rPr>
        <w:t>à compter du 1</w:t>
      </w:r>
      <w:r w:rsidRPr="00D718D6">
        <w:rPr>
          <w:rFonts w:cs="Arial"/>
          <w:i/>
          <w:sz w:val="22"/>
          <w:szCs w:val="22"/>
          <w:vertAlign w:val="superscript"/>
        </w:rPr>
        <w:t>er</w:t>
      </w:r>
      <w:r w:rsidRPr="00D718D6">
        <w:rPr>
          <w:rFonts w:cs="Arial"/>
          <w:i/>
          <w:sz w:val="22"/>
          <w:szCs w:val="22"/>
        </w:rPr>
        <w:t xml:space="preserve"> janvier 2019</w:t>
      </w:r>
      <w:bookmarkEnd w:id="11"/>
      <w:r w:rsidRPr="00D718D6">
        <w:rPr>
          <w:rFonts w:cs="Arial"/>
          <w:i/>
          <w:sz w:val="22"/>
          <w:szCs w:val="22"/>
        </w:rPr>
        <w:t> :</w:t>
      </w:r>
    </w:p>
    <w:p w:rsidR="00AB4146" w:rsidRPr="00D718D6" w:rsidRDefault="00AB4146" w:rsidP="002D194C">
      <w:pPr>
        <w:spacing w:after="0" w:line="240" w:lineRule="auto"/>
        <w:contextualSpacing/>
        <w:jc w:val="both"/>
        <w:rPr>
          <w:rFonts w:cs="Arial"/>
          <w:i/>
          <w:sz w:val="22"/>
          <w:szCs w:val="22"/>
        </w:rPr>
      </w:pPr>
    </w:p>
    <w:p w:rsidR="002D194C" w:rsidRPr="00D718D6" w:rsidRDefault="002D194C" w:rsidP="002D194C">
      <w:pPr>
        <w:spacing w:after="0" w:line="240" w:lineRule="auto"/>
        <w:contextualSpacing/>
        <w:jc w:val="both"/>
        <w:rPr>
          <w:rFonts w:cs="Arial"/>
          <w:i/>
          <w:sz w:val="22"/>
          <w:szCs w:val="22"/>
        </w:rPr>
      </w:pPr>
      <w:r w:rsidRPr="00D718D6">
        <w:rPr>
          <w:rFonts w:cs="Arial"/>
          <w:i/>
          <w:sz w:val="22"/>
          <w:szCs w:val="22"/>
        </w:rPr>
        <w:t>T1 = Salaire compris entre 0 et 1 fois le plafond de la Sécurité sociale ;</w:t>
      </w:r>
    </w:p>
    <w:p w:rsidR="002D194C" w:rsidRPr="00D718D6" w:rsidRDefault="002D194C" w:rsidP="002D194C">
      <w:pPr>
        <w:spacing w:after="0" w:line="240" w:lineRule="auto"/>
        <w:contextualSpacing/>
        <w:jc w:val="both"/>
        <w:rPr>
          <w:rFonts w:cs="Arial"/>
          <w:i/>
          <w:sz w:val="22"/>
          <w:szCs w:val="22"/>
        </w:rPr>
      </w:pPr>
      <w:r w:rsidRPr="00D718D6">
        <w:rPr>
          <w:rFonts w:cs="Arial"/>
          <w:i/>
          <w:sz w:val="22"/>
          <w:szCs w:val="22"/>
        </w:rPr>
        <w:t>T2 = Salaire compris entre 1 fois et 8 fois le plafond de la Sécurité sociale.</w:t>
      </w:r>
    </w:p>
    <w:p w:rsidR="002D194C" w:rsidRPr="00D718D6" w:rsidRDefault="002D194C" w:rsidP="002D194C">
      <w:pPr>
        <w:spacing w:after="0" w:line="240" w:lineRule="auto"/>
        <w:contextualSpacing/>
        <w:jc w:val="both"/>
        <w:rPr>
          <w:rFonts w:cs="Arial"/>
          <w:i/>
          <w:sz w:val="22"/>
          <w:szCs w:val="22"/>
        </w:rPr>
      </w:pPr>
      <w:r w:rsidRPr="00D718D6">
        <w:rPr>
          <w:rFonts w:cs="Arial"/>
          <w:i/>
          <w:sz w:val="22"/>
          <w:szCs w:val="22"/>
        </w:rPr>
        <w:t>Pour information, le plafond mensuel de la sécurité sociale est fixé, po</w:t>
      </w:r>
      <w:r w:rsidR="00F24560" w:rsidRPr="00D718D6">
        <w:rPr>
          <w:rFonts w:cs="Arial"/>
          <w:i/>
          <w:sz w:val="22"/>
          <w:szCs w:val="22"/>
        </w:rPr>
        <w:t>ur l’année 2019, à 3.377</w:t>
      </w:r>
      <w:r w:rsidRPr="00D718D6">
        <w:rPr>
          <w:rFonts w:cs="Arial"/>
          <w:i/>
          <w:sz w:val="22"/>
          <w:szCs w:val="22"/>
        </w:rPr>
        <w:t xml:space="preserve"> €. Il est modifié une fois par an (au 1</w:t>
      </w:r>
      <w:r w:rsidRPr="00D718D6">
        <w:rPr>
          <w:rFonts w:cs="Arial"/>
          <w:i/>
          <w:sz w:val="22"/>
          <w:szCs w:val="22"/>
          <w:vertAlign w:val="superscript"/>
        </w:rPr>
        <w:t>er</w:t>
      </w:r>
      <w:r w:rsidRPr="00D718D6">
        <w:rPr>
          <w:rFonts w:cs="Arial"/>
          <w:i/>
          <w:sz w:val="22"/>
          <w:szCs w:val="22"/>
        </w:rPr>
        <w:t xml:space="preserve"> janvier), par voie réglementaire.</w:t>
      </w:r>
    </w:p>
    <w:p w:rsidR="003C3D9C" w:rsidRPr="00D718D6" w:rsidRDefault="003C3D9C" w:rsidP="003C3D9C">
      <w:pPr>
        <w:spacing w:after="0" w:line="240" w:lineRule="auto"/>
        <w:contextualSpacing/>
        <w:jc w:val="both"/>
        <w:rPr>
          <w:rFonts w:cs="Arial"/>
          <w:i/>
          <w:sz w:val="22"/>
          <w:szCs w:val="22"/>
        </w:rPr>
      </w:pPr>
    </w:p>
    <w:p w:rsidR="003C3D9C" w:rsidRPr="00D718D6" w:rsidRDefault="00F91865" w:rsidP="008163F0">
      <w:pPr>
        <w:pStyle w:val="Paragraphedeliste"/>
        <w:numPr>
          <w:ilvl w:val="0"/>
          <w:numId w:val="17"/>
        </w:numPr>
        <w:spacing w:after="0" w:line="240" w:lineRule="auto"/>
        <w:jc w:val="both"/>
        <w:rPr>
          <w:rFonts w:cs="Arial"/>
          <w:i/>
          <w:sz w:val="22"/>
          <w:szCs w:val="22"/>
        </w:rPr>
      </w:pPr>
      <w:r w:rsidRPr="00D718D6">
        <w:rPr>
          <w:rFonts w:eastAsiaTheme="majorEastAsia" w:cstheme="majorBidi"/>
          <w:b/>
          <w:color w:val="4F81BD" w:themeColor="accent1"/>
          <w:sz w:val="24"/>
          <w:szCs w:val="24"/>
        </w:rPr>
        <w:t>Imputation automatique de l'augmentation des cotisations</w:t>
      </w:r>
    </w:p>
    <w:p w:rsidR="003C3D9C" w:rsidRPr="00D718D6" w:rsidRDefault="003C3D9C" w:rsidP="003C3D9C">
      <w:pPr>
        <w:spacing w:after="0" w:line="240" w:lineRule="auto"/>
        <w:contextualSpacing/>
        <w:jc w:val="both"/>
        <w:rPr>
          <w:rFonts w:cs="Arial"/>
          <w:i/>
          <w:sz w:val="22"/>
          <w:szCs w:val="22"/>
        </w:rPr>
      </w:pPr>
    </w:p>
    <w:p w:rsidR="003C3D9C" w:rsidRPr="00D718D6" w:rsidRDefault="000267B9" w:rsidP="000267B9">
      <w:pPr>
        <w:spacing w:after="0" w:line="240" w:lineRule="auto"/>
        <w:contextualSpacing/>
        <w:jc w:val="both"/>
        <w:rPr>
          <w:rFonts w:cs="Arial"/>
          <w:sz w:val="22"/>
          <w:szCs w:val="22"/>
        </w:rPr>
      </w:pPr>
      <w:r w:rsidRPr="00D718D6">
        <w:rPr>
          <w:rFonts w:cs="Arial"/>
          <w:sz w:val="22"/>
          <w:szCs w:val="22"/>
        </w:rPr>
        <w:t>Sauf décision contraire, l</w:t>
      </w:r>
      <w:r w:rsidR="00F91865" w:rsidRPr="00D718D6">
        <w:rPr>
          <w:rFonts w:cs="Arial"/>
          <w:sz w:val="22"/>
          <w:szCs w:val="22"/>
        </w:rPr>
        <w:t xml:space="preserve">es éventuelles augmentations futures des </w:t>
      </w:r>
      <w:r w:rsidR="00FD5711">
        <w:rPr>
          <w:rFonts w:cs="Arial"/>
          <w:sz w:val="22"/>
          <w:szCs w:val="22"/>
        </w:rPr>
        <w:t xml:space="preserve">cotisations </w:t>
      </w:r>
      <w:r w:rsidR="00F91865" w:rsidRPr="00D718D6">
        <w:rPr>
          <w:rFonts w:cs="Arial"/>
          <w:sz w:val="22"/>
          <w:szCs w:val="22"/>
        </w:rPr>
        <w:t>seront réparties entre l'employeur et les salariés dans les mêmes proportions que la répartition des cotisations fixée à l’article 4.1. du présent accord</w:t>
      </w:r>
      <w:r w:rsidRPr="00D718D6">
        <w:rPr>
          <w:rFonts w:cs="Arial"/>
          <w:sz w:val="22"/>
          <w:szCs w:val="22"/>
        </w:rPr>
        <w:t xml:space="preserve">. </w:t>
      </w:r>
      <w:r w:rsidR="00F91865" w:rsidRPr="00D718D6">
        <w:rPr>
          <w:rFonts w:cs="Arial"/>
          <w:sz w:val="22"/>
          <w:szCs w:val="22"/>
        </w:rPr>
        <w:t xml:space="preserve"> </w:t>
      </w:r>
    </w:p>
    <w:p w:rsidR="003C3D9C" w:rsidRPr="00D718D6" w:rsidRDefault="003C3D9C" w:rsidP="003C3D9C">
      <w:pPr>
        <w:spacing w:after="0" w:line="240" w:lineRule="auto"/>
        <w:contextualSpacing/>
        <w:jc w:val="both"/>
        <w:rPr>
          <w:rFonts w:cs="Arial"/>
          <w:sz w:val="22"/>
          <w:szCs w:val="22"/>
        </w:rPr>
      </w:pPr>
    </w:p>
    <w:p w:rsidR="003C3D9C" w:rsidRPr="00D718D6" w:rsidRDefault="003C3D9C" w:rsidP="003C3D9C">
      <w:pPr>
        <w:pStyle w:val="Titre2"/>
        <w:contextualSpacing/>
        <w:rPr>
          <w:rFonts w:asciiTheme="minorHAnsi" w:hAnsiTheme="minorHAnsi"/>
          <w:b/>
          <w:color w:val="808080" w:themeColor="background1" w:themeShade="80"/>
        </w:rPr>
      </w:pPr>
      <w:bookmarkStart w:id="12" w:name="_Toc26446324"/>
      <w:r w:rsidRPr="00D718D6">
        <w:rPr>
          <w:rFonts w:asciiTheme="minorHAnsi" w:hAnsiTheme="minorHAnsi"/>
          <w:b/>
          <w:color w:val="808080" w:themeColor="background1" w:themeShade="80"/>
        </w:rPr>
        <w:t>ARTICLE 5 – CHANGEMENT D’ORGANISME ASSUREUR</w:t>
      </w:r>
      <w:bookmarkEnd w:id="12"/>
    </w:p>
    <w:p w:rsidR="003C3D9C" w:rsidRPr="00D718D6" w:rsidRDefault="003C3D9C" w:rsidP="003C3D9C">
      <w:pPr>
        <w:spacing w:after="0" w:line="240" w:lineRule="auto"/>
        <w:contextualSpacing/>
        <w:jc w:val="both"/>
        <w:rPr>
          <w:rFonts w:cs="Arial"/>
          <w:sz w:val="22"/>
          <w:szCs w:val="22"/>
        </w:rPr>
      </w:pPr>
    </w:p>
    <w:p w:rsidR="003C3D9C" w:rsidRPr="00D718D6" w:rsidRDefault="003C3D9C" w:rsidP="003C3D9C">
      <w:pPr>
        <w:spacing w:after="0" w:line="240" w:lineRule="auto"/>
        <w:contextualSpacing/>
        <w:jc w:val="both"/>
        <w:rPr>
          <w:rFonts w:cs="Arial"/>
          <w:sz w:val="22"/>
          <w:szCs w:val="22"/>
        </w:rPr>
      </w:pPr>
      <w:r w:rsidRPr="00D718D6">
        <w:rPr>
          <w:rFonts w:cs="Arial"/>
          <w:sz w:val="22"/>
          <w:szCs w:val="22"/>
        </w:rPr>
        <w:t>Conformément à l'article L.912-3 du Code de la sécurité sociale, les rentes en cours de service à la date de changement d'organisme assureur (y compris les prestations décès prenant la forme de rente), continueront à être revalorisées.</w:t>
      </w:r>
    </w:p>
    <w:p w:rsidR="003C3D9C" w:rsidRPr="00D718D6" w:rsidRDefault="003C3D9C" w:rsidP="003C3D9C">
      <w:pPr>
        <w:spacing w:after="0" w:line="240" w:lineRule="auto"/>
        <w:contextualSpacing/>
        <w:jc w:val="both"/>
        <w:rPr>
          <w:rFonts w:cs="Arial"/>
          <w:sz w:val="22"/>
          <w:szCs w:val="22"/>
        </w:rPr>
      </w:pPr>
      <w:r w:rsidRPr="00D718D6">
        <w:rPr>
          <w:rFonts w:cs="Arial"/>
          <w:sz w:val="22"/>
          <w:szCs w:val="22"/>
        </w:rPr>
        <w:t>Les garanties décès seront également maintenues au profit des bénéficiaires de rentes d’incapacité de travail ou d’invalidité lors de la résiliation du contrat d'assurance, étant précisé que la revalorisation des bases de calcul des prestations décès devra être au moins égale à celle prévue par le contrat résilié.</w:t>
      </w:r>
    </w:p>
    <w:p w:rsidR="003C3D9C" w:rsidRPr="00D718D6" w:rsidRDefault="003C3D9C" w:rsidP="003C3D9C">
      <w:pPr>
        <w:spacing w:after="0" w:line="240" w:lineRule="auto"/>
        <w:contextualSpacing/>
        <w:jc w:val="both"/>
        <w:rPr>
          <w:rFonts w:cs="Arial"/>
          <w:sz w:val="22"/>
          <w:szCs w:val="22"/>
        </w:rPr>
      </w:pPr>
      <w:r w:rsidRPr="00D718D6">
        <w:rPr>
          <w:rFonts w:cs="Arial"/>
          <w:sz w:val="22"/>
          <w:szCs w:val="22"/>
        </w:rPr>
        <w:t>Lors du changement d’organisme assureur, la société s’engage à organiser la prise en charge des obligations ci-dessus définies, soit par l’organisme dont le contrat a été résilié, soit par le nouvel organisme assureur.</w:t>
      </w:r>
    </w:p>
    <w:p w:rsidR="003C3D9C" w:rsidRPr="00D718D6" w:rsidRDefault="003C3D9C" w:rsidP="003C3D9C">
      <w:pPr>
        <w:keepNext/>
        <w:keepLines/>
        <w:spacing w:before="40" w:after="0" w:line="240" w:lineRule="auto"/>
        <w:contextualSpacing/>
        <w:jc w:val="both"/>
        <w:outlineLvl w:val="2"/>
        <w:rPr>
          <w:rFonts w:cs="Arial"/>
          <w:sz w:val="22"/>
          <w:szCs w:val="22"/>
        </w:rPr>
      </w:pPr>
    </w:p>
    <w:p w:rsidR="00075E33" w:rsidRPr="00D718D6" w:rsidRDefault="003C3D9C">
      <w:pPr>
        <w:pStyle w:val="Titre2"/>
        <w:contextualSpacing/>
      </w:pPr>
      <w:bookmarkStart w:id="13" w:name="_Toc26446325"/>
      <w:r w:rsidRPr="00D718D6">
        <w:rPr>
          <w:rFonts w:asciiTheme="minorHAnsi" w:hAnsiTheme="minorHAnsi"/>
          <w:b/>
          <w:color w:val="808080" w:themeColor="background1" w:themeShade="80"/>
        </w:rPr>
        <w:t>ARTICLE 6</w:t>
      </w:r>
      <w:r w:rsidR="00FE4D0D" w:rsidRPr="00D718D6">
        <w:rPr>
          <w:rFonts w:asciiTheme="minorHAnsi" w:hAnsiTheme="minorHAnsi"/>
          <w:b/>
          <w:color w:val="808080" w:themeColor="background1" w:themeShade="80"/>
        </w:rPr>
        <w:t xml:space="preserve"> –</w:t>
      </w:r>
      <w:r w:rsidR="007B7F4B" w:rsidRPr="00D718D6">
        <w:rPr>
          <w:rFonts w:asciiTheme="minorHAnsi" w:hAnsiTheme="minorHAnsi"/>
          <w:b/>
          <w:color w:val="808080" w:themeColor="background1" w:themeShade="80"/>
        </w:rPr>
        <w:t xml:space="preserve"> </w:t>
      </w:r>
      <w:r w:rsidR="00445EB1" w:rsidRPr="00D718D6">
        <w:rPr>
          <w:rFonts w:asciiTheme="minorHAnsi" w:hAnsiTheme="minorHAnsi"/>
          <w:b/>
          <w:color w:val="808080" w:themeColor="background1" w:themeShade="80"/>
        </w:rPr>
        <w:t>DUREE, REVISION, DENONCIATION</w:t>
      </w:r>
      <w:bookmarkEnd w:id="13"/>
    </w:p>
    <w:p w:rsidR="00075E33" w:rsidRPr="00D718D6" w:rsidRDefault="00075E33">
      <w:pPr>
        <w:spacing w:after="0" w:line="240" w:lineRule="auto"/>
        <w:contextualSpacing/>
        <w:rPr>
          <w:rFonts w:ascii="Arial" w:hAnsi="Arial" w:cs="Arial"/>
          <w:b/>
          <w:bCs/>
        </w:rPr>
      </w:pPr>
    </w:p>
    <w:p w:rsidR="00181015" w:rsidRPr="00D718D6" w:rsidRDefault="00181015" w:rsidP="00181015">
      <w:pPr>
        <w:spacing w:after="0" w:line="240" w:lineRule="auto"/>
        <w:contextualSpacing/>
        <w:jc w:val="both"/>
        <w:rPr>
          <w:rFonts w:cs="Arial"/>
          <w:iCs/>
          <w:sz w:val="22"/>
          <w:szCs w:val="22"/>
        </w:rPr>
      </w:pPr>
      <w:r w:rsidRPr="00D718D6">
        <w:rPr>
          <w:rFonts w:cs="Arial"/>
          <w:iCs/>
          <w:sz w:val="22"/>
          <w:szCs w:val="22"/>
        </w:rPr>
        <w:t>Le</w:t>
      </w:r>
      <w:r w:rsidR="00445EB1" w:rsidRPr="00D718D6">
        <w:rPr>
          <w:rFonts w:cs="Arial"/>
          <w:iCs/>
          <w:sz w:val="22"/>
          <w:szCs w:val="22"/>
        </w:rPr>
        <w:t xml:space="preserve"> présent accord est conclu pour </w:t>
      </w:r>
      <w:r w:rsidRPr="00D718D6">
        <w:rPr>
          <w:rFonts w:cs="Arial"/>
          <w:iCs/>
          <w:sz w:val="22"/>
          <w:szCs w:val="22"/>
        </w:rPr>
        <w:t>une durée indéterminée</w:t>
      </w:r>
      <w:r w:rsidR="00445EB1" w:rsidRPr="00D718D6">
        <w:rPr>
          <w:rFonts w:cs="Arial"/>
          <w:iCs/>
          <w:sz w:val="22"/>
          <w:szCs w:val="22"/>
        </w:rPr>
        <w:t xml:space="preserve"> et prendra effet au 1</w:t>
      </w:r>
      <w:r w:rsidR="00445EB1" w:rsidRPr="00D718D6">
        <w:rPr>
          <w:rFonts w:cs="Arial"/>
          <w:iCs/>
          <w:sz w:val="22"/>
          <w:szCs w:val="22"/>
          <w:vertAlign w:val="superscript"/>
        </w:rPr>
        <w:t>er</w:t>
      </w:r>
      <w:r w:rsidR="00445EB1" w:rsidRPr="00D718D6">
        <w:rPr>
          <w:rFonts w:cs="Arial"/>
          <w:iCs/>
          <w:sz w:val="22"/>
          <w:szCs w:val="22"/>
        </w:rPr>
        <w:t xml:space="preserve"> janvier 2020</w:t>
      </w:r>
      <w:r w:rsidRPr="00D718D6">
        <w:rPr>
          <w:rFonts w:cs="Arial"/>
          <w:iCs/>
          <w:sz w:val="22"/>
          <w:szCs w:val="22"/>
        </w:rPr>
        <w:t xml:space="preserve">. </w:t>
      </w:r>
    </w:p>
    <w:p w:rsidR="000267B9" w:rsidRPr="00D718D6" w:rsidRDefault="000267B9" w:rsidP="00445EB1">
      <w:pPr>
        <w:spacing w:after="0" w:line="240" w:lineRule="auto"/>
        <w:contextualSpacing/>
        <w:jc w:val="both"/>
        <w:rPr>
          <w:rFonts w:cs="Arial"/>
          <w:iCs/>
          <w:sz w:val="22"/>
          <w:szCs w:val="22"/>
        </w:rPr>
      </w:pP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Le présent accord pourra être révisé conformément aux dispositions de l’article L.2261-7-1 du Code du travail.</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La demande de révision doit être notifiée par lettre recommandée avec avis de réception aux autres organisations syndicales représentatives dans l’entreprise.</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L’ensemble des partenaires sociaux se réunira alors dans un délai d</w:t>
      </w:r>
      <w:r w:rsidR="00EF0152" w:rsidRPr="00D718D6">
        <w:rPr>
          <w:rFonts w:cs="Arial"/>
          <w:iCs/>
          <w:sz w:val="22"/>
          <w:szCs w:val="22"/>
        </w:rPr>
        <w:t xml:space="preserve">e trois </w:t>
      </w:r>
      <w:r w:rsidRPr="00D718D6">
        <w:rPr>
          <w:rFonts w:cs="Arial"/>
          <w:iCs/>
          <w:sz w:val="22"/>
          <w:szCs w:val="22"/>
        </w:rPr>
        <w:t>mois à compter de la réception de cette demande afin d’envisager l’éventuelle conclusion d’un avenant de révision.</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L’éventuel avenant de révision se substituera de plein droit aux dispositions du présent accord qu’il modifiera.</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Conformément à l’article L.2261-9 du Code du travail, les parties signataires du présent accord ont également la possibilité de le dénoncer moyennant un préavis de trois mois.</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La dénonciation par l’une des parties signataires doit être notifiée par lettre recommandée avec avis de réception aux autres signataires et faire l’objet d’un dépôt conformément à l’article L.2261-9 du Code du travail.</w:t>
      </w:r>
    </w:p>
    <w:p w:rsidR="00EF0152" w:rsidRPr="00D718D6" w:rsidRDefault="00445EB1" w:rsidP="00445EB1">
      <w:pPr>
        <w:spacing w:after="0" w:line="240" w:lineRule="auto"/>
        <w:contextualSpacing/>
        <w:jc w:val="both"/>
        <w:rPr>
          <w:rFonts w:cs="Arial"/>
          <w:iCs/>
          <w:sz w:val="22"/>
          <w:szCs w:val="22"/>
        </w:rPr>
      </w:pPr>
      <w:r w:rsidRPr="00D718D6">
        <w:rPr>
          <w:rFonts w:cs="Arial"/>
          <w:iCs/>
          <w:sz w:val="22"/>
          <w:szCs w:val="22"/>
        </w:rPr>
        <w:t>L’ensemble des partenaires sociaux se réunit alors dans un délai d</w:t>
      </w:r>
      <w:r w:rsidR="00EF0152" w:rsidRPr="00D718D6">
        <w:rPr>
          <w:rFonts w:cs="Arial"/>
          <w:iCs/>
          <w:sz w:val="22"/>
          <w:szCs w:val="22"/>
        </w:rPr>
        <w:t xml:space="preserve">e trois mois </w:t>
      </w:r>
      <w:r w:rsidRPr="00D718D6">
        <w:rPr>
          <w:rFonts w:cs="Arial"/>
          <w:iCs/>
          <w:sz w:val="22"/>
          <w:szCs w:val="22"/>
        </w:rPr>
        <w:t>à compter de la réception de la notification afin d’envisager l’éventuelle conclusion d’un accord de substitution.</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L’accord dénoncé continue donc à produire effet jusqu’à l’entrée en vigueur du nouvel accord qui lui est substitué ou, à défaut, pendant une durée d’un an à compter de l’expiration du préavis de trois mois.</w:t>
      </w: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En tout état de cause et sauf accord contraire des parties, y compris de l’organisme assureur, la dénonciation ne pourra avoir d’effet qu’à l’échéance du contrat d’assurance collectif.</w:t>
      </w:r>
    </w:p>
    <w:p w:rsidR="00445EB1" w:rsidRPr="00D718D6" w:rsidRDefault="00445EB1" w:rsidP="00445EB1">
      <w:pPr>
        <w:spacing w:after="0" w:line="240" w:lineRule="auto"/>
        <w:contextualSpacing/>
        <w:jc w:val="both"/>
        <w:rPr>
          <w:rFonts w:cs="Arial"/>
          <w:iCs/>
          <w:sz w:val="22"/>
          <w:szCs w:val="22"/>
        </w:rPr>
      </w:pPr>
    </w:p>
    <w:p w:rsidR="00445EB1" w:rsidRPr="00D718D6" w:rsidRDefault="00445EB1" w:rsidP="00445EB1">
      <w:pPr>
        <w:spacing w:after="0" w:line="240" w:lineRule="auto"/>
        <w:contextualSpacing/>
        <w:jc w:val="both"/>
        <w:rPr>
          <w:rFonts w:cs="Arial"/>
          <w:iCs/>
          <w:sz w:val="22"/>
          <w:szCs w:val="22"/>
        </w:rPr>
      </w:pPr>
      <w:r w:rsidRPr="00D718D6">
        <w:rPr>
          <w:rFonts w:cs="Arial"/>
          <w:iCs/>
          <w:sz w:val="22"/>
          <w:szCs w:val="22"/>
        </w:rPr>
        <w:t>La résiliation par l’organisme assureur du contrat d’assurance entraîne de plein droit la caducité du présent accord par disparition de son objet.</w:t>
      </w:r>
    </w:p>
    <w:p w:rsidR="00FD092E" w:rsidRPr="00D718D6" w:rsidRDefault="00FD092E">
      <w:pPr>
        <w:spacing w:after="0" w:line="240" w:lineRule="auto"/>
        <w:contextualSpacing/>
        <w:jc w:val="both"/>
        <w:rPr>
          <w:rFonts w:cs="Arial"/>
          <w:sz w:val="22"/>
          <w:szCs w:val="22"/>
        </w:rPr>
      </w:pPr>
    </w:p>
    <w:p w:rsidR="00075E33" w:rsidRPr="00D718D6" w:rsidRDefault="003C3D9C">
      <w:pPr>
        <w:pStyle w:val="Titre2"/>
        <w:contextualSpacing/>
        <w:rPr>
          <w:rFonts w:asciiTheme="minorHAnsi" w:hAnsiTheme="minorHAnsi"/>
          <w:b/>
          <w:color w:val="808080" w:themeColor="background1" w:themeShade="80"/>
        </w:rPr>
      </w:pPr>
      <w:bookmarkStart w:id="14" w:name="_Toc26446326"/>
      <w:r w:rsidRPr="00D718D6">
        <w:rPr>
          <w:rFonts w:asciiTheme="minorHAnsi" w:hAnsiTheme="minorHAnsi"/>
          <w:b/>
          <w:color w:val="808080" w:themeColor="background1" w:themeShade="80"/>
        </w:rPr>
        <w:t>ARTICLE 7</w:t>
      </w:r>
      <w:r w:rsidR="00FE4D0D" w:rsidRPr="00D718D6">
        <w:rPr>
          <w:rFonts w:asciiTheme="minorHAnsi" w:hAnsiTheme="minorHAnsi"/>
          <w:b/>
          <w:color w:val="808080" w:themeColor="background1" w:themeShade="80"/>
        </w:rPr>
        <w:t xml:space="preserve"> – </w:t>
      </w:r>
      <w:r w:rsidR="004E6D16" w:rsidRPr="00D718D6">
        <w:rPr>
          <w:rFonts w:asciiTheme="minorHAnsi" w:hAnsiTheme="minorHAnsi"/>
          <w:b/>
          <w:color w:val="808080" w:themeColor="background1" w:themeShade="80"/>
        </w:rPr>
        <w:t>INFORMATION</w:t>
      </w:r>
      <w:bookmarkEnd w:id="14"/>
    </w:p>
    <w:p w:rsidR="00075E33" w:rsidRPr="00D718D6" w:rsidRDefault="00075E33"/>
    <w:p w:rsidR="00E50C6D" w:rsidRPr="00D718D6" w:rsidRDefault="003C3D9C" w:rsidP="00E50C6D">
      <w:pPr>
        <w:keepNext/>
        <w:keepLines/>
        <w:spacing w:before="40" w:after="0" w:line="240" w:lineRule="auto"/>
        <w:contextualSpacing/>
        <w:outlineLvl w:val="2"/>
        <w:rPr>
          <w:rFonts w:eastAsiaTheme="majorEastAsia" w:cstheme="majorBidi"/>
          <w:b/>
          <w:color w:val="4F81BD" w:themeColor="accent1"/>
          <w:sz w:val="24"/>
          <w:szCs w:val="24"/>
        </w:rPr>
      </w:pPr>
      <w:bookmarkStart w:id="15" w:name="_Toc26446327"/>
      <w:r w:rsidRPr="00D718D6">
        <w:rPr>
          <w:rFonts w:eastAsiaTheme="majorEastAsia" w:cstheme="majorBidi"/>
          <w:b/>
          <w:color w:val="4F81BD" w:themeColor="accent1"/>
          <w:sz w:val="24"/>
          <w:szCs w:val="24"/>
        </w:rPr>
        <w:t>Article 7</w:t>
      </w:r>
      <w:r w:rsidR="004E6D16" w:rsidRPr="00D718D6">
        <w:rPr>
          <w:rFonts w:eastAsiaTheme="majorEastAsia" w:cstheme="majorBidi"/>
          <w:b/>
          <w:color w:val="4F81BD" w:themeColor="accent1"/>
          <w:sz w:val="24"/>
          <w:szCs w:val="24"/>
        </w:rPr>
        <w:t xml:space="preserve">.1 - </w:t>
      </w:r>
      <w:r w:rsidR="00E50C6D" w:rsidRPr="00D718D6">
        <w:rPr>
          <w:rFonts w:eastAsiaTheme="majorEastAsia" w:cstheme="majorBidi"/>
          <w:b/>
          <w:color w:val="4F81BD" w:themeColor="accent1"/>
          <w:sz w:val="24"/>
          <w:szCs w:val="24"/>
        </w:rPr>
        <w:t>Information individuelle</w:t>
      </w:r>
      <w:bookmarkEnd w:id="15"/>
    </w:p>
    <w:p w:rsidR="004E6D16" w:rsidRPr="00D718D6" w:rsidRDefault="004E6D16" w:rsidP="004E6D16">
      <w:pPr>
        <w:keepNext/>
        <w:keepLines/>
        <w:spacing w:before="40" w:after="0" w:line="240" w:lineRule="auto"/>
        <w:contextualSpacing/>
        <w:outlineLvl w:val="2"/>
        <w:rPr>
          <w:rFonts w:eastAsiaTheme="majorEastAsia" w:cstheme="majorBidi"/>
          <w:b/>
          <w:color w:val="4F81BD" w:themeColor="accent1"/>
          <w:sz w:val="24"/>
          <w:szCs w:val="24"/>
        </w:rPr>
      </w:pPr>
    </w:p>
    <w:p w:rsidR="00E50C6D" w:rsidRPr="003136DD" w:rsidRDefault="00E50C6D" w:rsidP="00E50C6D">
      <w:pPr>
        <w:jc w:val="both"/>
        <w:rPr>
          <w:sz w:val="22"/>
        </w:rPr>
      </w:pPr>
      <w:r w:rsidRPr="003136DD">
        <w:rPr>
          <w:sz w:val="22"/>
        </w:rPr>
        <w:t>En sa qualité de souscripteur, la société remettra à chaque salarié et à tout nouvel embauché, une notice d'information détaillée, établie par l’organisme assureur, résumant notamment les garanties et leurs modalités d'application.</w:t>
      </w:r>
    </w:p>
    <w:p w:rsidR="004E6D16" w:rsidRPr="003136DD" w:rsidRDefault="00E50C6D" w:rsidP="00E50C6D">
      <w:pPr>
        <w:rPr>
          <w:sz w:val="22"/>
        </w:rPr>
      </w:pPr>
      <w:r w:rsidRPr="003136DD">
        <w:rPr>
          <w:sz w:val="22"/>
        </w:rPr>
        <w:t>Les salariés seront informés individuellement, selon la même méthode, de toute modification de leurs droits et obligations.</w:t>
      </w:r>
    </w:p>
    <w:p w:rsidR="00E50C6D" w:rsidRPr="00D718D6" w:rsidRDefault="003C3D9C" w:rsidP="000267B9">
      <w:pPr>
        <w:keepNext/>
        <w:keepLines/>
        <w:spacing w:after="0" w:line="240" w:lineRule="auto"/>
        <w:contextualSpacing/>
        <w:outlineLvl w:val="2"/>
        <w:rPr>
          <w:rFonts w:eastAsiaTheme="majorEastAsia" w:cstheme="majorBidi"/>
          <w:b/>
          <w:color w:val="4F81BD" w:themeColor="accent1"/>
          <w:sz w:val="24"/>
          <w:szCs w:val="24"/>
        </w:rPr>
      </w:pPr>
      <w:bookmarkStart w:id="16" w:name="_Toc26446328"/>
      <w:r w:rsidRPr="00D718D6">
        <w:rPr>
          <w:rFonts w:eastAsiaTheme="majorEastAsia" w:cstheme="majorBidi"/>
          <w:b/>
          <w:color w:val="4F81BD" w:themeColor="accent1"/>
          <w:sz w:val="24"/>
          <w:szCs w:val="24"/>
        </w:rPr>
        <w:t>Article 7</w:t>
      </w:r>
      <w:r w:rsidR="00E50C6D" w:rsidRPr="00D718D6">
        <w:rPr>
          <w:rFonts w:eastAsiaTheme="majorEastAsia" w:cstheme="majorBidi"/>
          <w:b/>
          <w:color w:val="4F81BD" w:themeColor="accent1"/>
          <w:sz w:val="24"/>
          <w:szCs w:val="24"/>
        </w:rPr>
        <w:t>.2 - Information collective</w:t>
      </w:r>
      <w:bookmarkEnd w:id="16"/>
    </w:p>
    <w:p w:rsidR="00E50C6D" w:rsidRPr="00D718D6" w:rsidRDefault="00E50C6D" w:rsidP="000267B9">
      <w:pPr>
        <w:spacing w:after="0" w:line="240" w:lineRule="auto"/>
      </w:pPr>
    </w:p>
    <w:p w:rsidR="00E50C6D" w:rsidRPr="003136DD" w:rsidRDefault="00E50C6D" w:rsidP="000267B9">
      <w:pPr>
        <w:spacing w:after="0" w:line="240" w:lineRule="auto"/>
        <w:jc w:val="both"/>
        <w:rPr>
          <w:sz w:val="22"/>
        </w:rPr>
      </w:pPr>
      <w:r w:rsidRPr="003136DD">
        <w:rPr>
          <w:sz w:val="22"/>
        </w:rPr>
        <w:t>Le comité Social et Economique Central et /ou les</w:t>
      </w:r>
      <w:r w:rsidR="009A5C39" w:rsidRPr="003136DD">
        <w:rPr>
          <w:sz w:val="22"/>
        </w:rPr>
        <w:t xml:space="preserve"> C</w:t>
      </w:r>
      <w:r w:rsidRPr="003136DD">
        <w:rPr>
          <w:sz w:val="22"/>
        </w:rPr>
        <w:t>omités</w:t>
      </w:r>
      <w:r w:rsidR="009A5C39" w:rsidRPr="003136DD">
        <w:rPr>
          <w:sz w:val="22"/>
        </w:rPr>
        <w:t xml:space="preserve"> S</w:t>
      </w:r>
      <w:r w:rsidRPr="003136DD">
        <w:rPr>
          <w:sz w:val="22"/>
        </w:rPr>
        <w:t>ociaux</w:t>
      </w:r>
      <w:r w:rsidR="009A5C39" w:rsidRPr="003136DD">
        <w:rPr>
          <w:sz w:val="22"/>
        </w:rPr>
        <w:t xml:space="preserve"> et E</w:t>
      </w:r>
      <w:r w:rsidRPr="003136DD">
        <w:rPr>
          <w:sz w:val="22"/>
        </w:rPr>
        <w:t xml:space="preserve">conomiques d’établissement seront informés et consultés préalablement à toute modification des garanties collectives de </w:t>
      </w:r>
      <w:r w:rsidR="00C9315E" w:rsidRPr="003136DD">
        <w:rPr>
          <w:sz w:val="22"/>
        </w:rPr>
        <w:t>mutuelle</w:t>
      </w:r>
      <w:r w:rsidRPr="003136DD">
        <w:rPr>
          <w:sz w:val="22"/>
        </w:rPr>
        <w:t>.</w:t>
      </w:r>
    </w:p>
    <w:p w:rsidR="006745C4" w:rsidRPr="003136DD" w:rsidRDefault="00CB2551" w:rsidP="000267B9">
      <w:pPr>
        <w:spacing w:after="0" w:line="240" w:lineRule="auto"/>
        <w:jc w:val="both"/>
        <w:rPr>
          <w:sz w:val="22"/>
        </w:rPr>
      </w:pPr>
      <w:r w:rsidRPr="003136DD">
        <w:rPr>
          <w:sz w:val="22"/>
        </w:rPr>
        <w:t>La C</w:t>
      </w:r>
      <w:r w:rsidR="00E50C6D" w:rsidRPr="003136DD">
        <w:rPr>
          <w:sz w:val="22"/>
        </w:rPr>
        <w:t xml:space="preserve">ommission </w:t>
      </w:r>
      <w:r w:rsidRPr="003136DD">
        <w:rPr>
          <w:sz w:val="22"/>
        </w:rPr>
        <w:t>mutuelle sera chargée du</w:t>
      </w:r>
      <w:r w:rsidR="00E50C6D" w:rsidRPr="003136DD">
        <w:rPr>
          <w:sz w:val="22"/>
        </w:rPr>
        <w:t xml:space="preserve"> suivi d'application de cet accord</w:t>
      </w:r>
      <w:r w:rsidRPr="003136DD">
        <w:rPr>
          <w:sz w:val="22"/>
        </w:rPr>
        <w:t xml:space="preserve">. </w:t>
      </w:r>
      <w:r w:rsidR="00E50C6D" w:rsidRPr="003136DD">
        <w:rPr>
          <w:sz w:val="22"/>
        </w:rPr>
        <w:t xml:space="preserve">Elle se réunira chaque </w:t>
      </w:r>
      <w:r w:rsidRPr="003136DD">
        <w:rPr>
          <w:sz w:val="22"/>
        </w:rPr>
        <w:t xml:space="preserve">année </w:t>
      </w:r>
      <w:r w:rsidR="00E50C6D" w:rsidRPr="003136DD">
        <w:rPr>
          <w:sz w:val="22"/>
        </w:rPr>
        <w:t xml:space="preserve">afin notamment d'examiner les comptes de résultats </w:t>
      </w:r>
      <w:r w:rsidRPr="003136DD">
        <w:rPr>
          <w:sz w:val="22"/>
        </w:rPr>
        <w:t>de l’exercice écoulé</w:t>
      </w:r>
      <w:r w:rsidR="00E50C6D" w:rsidRPr="003136DD">
        <w:rPr>
          <w:sz w:val="22"/>
        </w:rPr>
        <w:t>, cela afin d’assurer un suivi de la consommation méd</w:t>
      </w:r>
      <w:r w:rsidRPr="003136DD">
        <w:rPr>
          <w:sz w:val="22"/>
        </w:rPr>
        <w:t>icale et d’agir préventivement.</w:t>
      </w:r>
    </w:p>
    <w:p w:rsidR="00FD092E" w:rsidRPr="00D718D6" w:rsidRDefault="00FD092E" w:rsidP="000267B9">
      <w:pPr>
        <w:spacing w:after="0" w:line="240" w:lineRule="auto"/>
        <w:jc w:val="both"/>
      </w:pPr>
    </w:p>
    <w:p w:rsidR="00075E33" w:rsidRPr="00D718D6" w:rsidRDefault="003C3D9C" w:rsidP="000267B9">
      <w:pPr>
        <w:pStyle w:val="Titre2"/>
        <w:spacing w:before="0"/>
        <w:contextualSpacing/>
        <w:rPr>
          <w:rFonts w:asciiTheme="minorHAnsi" w:hAnsiTheme="minorHAnsi"/>
          <w:b/>
          <w:color w:val="808080" w:themeColor="background1" w:themeShade="80"/>
        </w:rPr>
      </w:pPr>
      <w:bookmarkStart w:id="17" w:name="_Toc26446329"/>
      <w:r w:rsidRPr="00D718D6">
        <w:rPr>
          <w:rFonts w:asciiTheme="minorHAnsi" w:hAnsiTheme="minorHAnsi"/>
          <w:b/>
          <w:color w:val="808080" w:themeColor="background1" w:themeShade="80"/>
        </w:rPr>
        <w:t>ARTICLE 8</w:t>
      </w:r>
      <w:r w:rsidR="00FE4D0D" w:rsidRPr="00D718D6">
        <w:rPr>
          <w:rFonts w:asciiTheme="minorHAnsi" w:hAnsiTheme="minorHAnsi"/>
          <w:b/>
          <w:color w:val="808080" w:themeColor="background1" w:themeShade="80"/>
        </w:rPr>
        <w:t xml:space="preserve"> – PUBLICITE</w:t>
      </w:r>
      <w:bookmarkEnd w:id="17"/>
    </w:p>
    <w:p w:rsidR="003C3D9C" w:rsidRPr="00D718D6" w:rsidRDefault="003C3D9C">
      <w:pPr>
        <w:pStyle w:val="Paragraphedeliste"/>
        <w:ind w:left="0"/>
        <w:jc w:val="both"/>
        <w:rPr>
          <w:sz w:val="22"/>
          <w:szCs w:val="22"/>
        </w:rPr>
      </w:pPr>
    </w:p>
    <w:p w:rsidR="00075E33" w:rsidRPr="00D718D6" w:rsidRDefault="00FE4D0D">
      <w:pPr>
        <w:pStyle w:val="Paragraphedeliste"/>
        <w:ind w:left="0"/>
        <w:jc w:val="both"/>
        <w:rPr>
          <w:sz w:val="22"/>
          <w:szCs w:val="22"/>
        </w:rPr>
      </w:pPr>
      <w:r w:rsidRPr="00D718D6">
        <w:rPr>
          <w:sz w:val="22"/>
          <w:szCs w:val="22"/>
        </w:rPr>
        <w:t xml:space="preserve">Le présent accord fera l’objet d’une communication auprès de </w:t>
      </w:r>
      <w:r w:rsidRPr="00D718D6">
        <w:rPr>
          <w:rFonts w:cs="Arial"/>
          <w:sz w:val="22"/>
          <w:szCs w:val="22"/>
        </w:rPr>
        <w:t>l’Instance Représentative du Personnel compétente</w:t>
      </w:r>
      <w:r w:rsidR="005D04AC" w:rsidRPr="00D718D6">
        <w:rPr>
          <w:sz w:val="22"/>
          <w:szCs w:val="22"/>
        </w:rPr>
        <w:t xml:space="preserve"> </w:t>
      </w:r>
      <w:r w:rsidRPr="00D718D6">
        <w:rPr>
          <w:sz w:val="22"/>
          <w:szCs w:val="22"/>
        </w:rPr>
        <w:t xml:space="preserve">de la société INGELIANCE TECHNOLOGIES. </w:t>
      </w:r>
    </w:p>
    <w:p w:rsidR="00075E33" w:rsidRPr="00D718D6" w:rsidRDefault="00FE4D0D">
      <w:pPr>
        <w:pStyle w:val="Paragraphedeliste"/>
        <w:ind w:left="0"/>
        <w:jc w:val="both"/>
        <w:rPr>
          <w:sz w:val="22"/>
          <w:szCs w:val="22"/>
        </w:rPr>
      </w:pPr>
      <w:r w:rsidRPr="00D718D6">
        <w:rPr>
          <w:sz w:val="22"/>
          <w:szCs w:val="22"/>
        </w:rPr>
        <w:t>Il donnera lieu à dépôt dans les conditions prévues à l’arti</w:t>
      </w:r>
      <w:r w:rsidR="00D13F44" w:rsidRPr="00D718D6">
        <w:rPr>
          <w:sz w:val="22"/>
          <w:szCs w:val="22"/>
        </w:rPr>
        <w:t xml:space="preserve">cle L 2231-5-1 et aux articles </w:t>
      </w:r>
      <w:r w:rsidRPr="00D718D6">
        <w:rPr>
          <w:sz w:val="22"/>
          <w:szCs w:val="22"/>
        </w:rPr>
        <w:t>R2231-1 à R2231-9</w:t>
      </w:r>
      <w:r w:rsidR="00D13F44" w:rsidRPr="00D718D6">
        <w:rPr>
          <w:sz w:val="22"/>
          <w:szCs w:val="22"/>
        </w:rPr>
        <w:t xml:space="preserve"> et aux articles D2231-2 et suivants</w:t>
      </w:r>
      <w:r w:rsidRPr="00D718D6">
        <w:rPr>
          <w:sz w:val="22"/>
          <w:szCs w:val="22"/>
        </w:rPr>
        <w:t xml:space="preserve"> du Code du travail. </w:t>
      </w:r>
    </w:p>
    <w:p w:rsidR="00075E33" w:rsidRPr="00D718D6" w:rsidRDefault="00075E33">
      <w:pPr>
        <w:pStyle w:val="Paragraphedeliste"/>
        <w:jc w:val="both"/>
        <w:rPr>
          <w:sz w:val="22"/>
          <w:szCs w:val="22"/>
        </w:rPr>
      </w:pPr>
    </w:p>
    <w:p w:rsidR="00D13F44" w:rsidRPr="00D718D6" w:rsidRDefault="00FE4D0D" w:rsidP="000267B9">
      <w:pPr>
        <w:pStyle w:val="Paragraphedeliste"/>
        <w:ind w:left="0"/>
        <w:jc w:val="both"/>
        <w:rPr>
          <w:sz w:val="22"/>
          <w:szCs w:val="22"/>
        </w:rPr>
      </w:pPr>
      <w:r w:rsidRPr="00D718D6">
        <w:rPr>
          <w:sz w:val="22"/>
          <w:szCs w:val="22"/>
        </w:rPr>
        <w:t>Un exemplaire signé de l’accord sera remis à chaque organisation syndicale représentative au niveau de l’entreprise, un exemplaire sera diffusé dans l’ensemble des établissements d’INGELIANCE TECHNOLOGIES.</w:t>
      </w:r>
    </w:p>
    <w:p w:rsidR="00FD5711" w:rsidRDefault="00FD5711">
      <w:pPr>
        <w:spacing w:after="0"/>
        <w:contextualSpacing/>
        <w:jc w:val="both"/>
        <w:rPr>
          <w:sz w:val="22"/>
          <w:szCs w:val="22"/>
        </w:rPr>
      </w:pPr>
    </w:p>
    <w:p w:rsidR="00075E33" w:rsidRPr="00D718D6" w:rsidRDefault="00FE4D0D">
      <w:pPr>
        <w:spacing w:after="0"/>
        <w:contextualSpacing/>
        <w:jc w:val="both"/>
        <w:rPr>
          <w:sz w:val="22"/>
          <w:szCs w:val="22"/>
        </w:rPr>
      </w:pPr>
      <w:r w:rsidRPr="00D718D6">
        <w:rPr>
          <w:sz w:val="22"/>
          <w:szCs w:val="22"/>
        </w:rPr>
        <w:t>Fait à Mérignac</w:t>
      </w:r>
    </w:p>
    <w:p w:rsidR="00075E33" w:rsidRPr="00D718D6" w:rsidRDefault="00FE4D0D">
      <w:pPr>
        <w:spacing w:after="0"/>
        <w:contextualSpacing/>
        <w:jc w:val="both"/>
        <w:rPr>
          <w:sz w:val="22"/>
          <w:szCs w:val="22"/>
        </w:rPr>
      </w:pPr>
      <w:r w:rsidRPr="00D718D6">
        <w:rPr>
          <w:sz w:val="22"/>
          <w:szCs w:val="22"/>
        </w:rPr>
        <w:t xml:space="preserve">Le </w:t>
      </w:r>
      <w:r w:rsidR="00426840">
        <w:rPr>
          <w:sz w:val="22"/>
          <w:szCs w:val="22"/>
        </w:rPr>
        <w:t>5 décembre 2019</w:t>
      </w:r>
    </w:p>
    <w:p w:rsidR="00075E33" w:rsidRPr="00D718D6" w:rsidRDefault="00075E33">
      <w:pPr>
        <w:spacing w:after="0"/>
        <w:contextualSpacing/>
        <w:jc w:val="both"/>
        <w:rPr>
          <w:sz w:val="22"/>
          <w:szCs w:val="22"/>
        </w:rPr>
      </w:pPr>
    </w:p>
    <w:p w:rsidR="00075E33" w:rsidRPr="00D718D6" w:rsidRDefault="00812054">
      <w:pPr>
        <w:spacing w:after="0"/>
        <w:contextualSpacing/>
        <w:jc w:val="both"/>
        <w:rPr>
          <w:sz w:val="22"/>
          <w:szCs w:val="22"/>
        </w:rPr>
      </w:pPr>
      <w:r w:rsidRPr="00D718D6">
        <w:rPr>
          <w:sz w:val="22"/>
          <w:szCs w:val="22"/>
        </w:rPr>
        <w:t>En 5</w:t>
      </w:r>
      <w:r w:rsidR="00FE4D0D" w:rsidRPr="00D718D6">
        <w:rPr>
          <w:sz w:val="22"/>
          <w:szCs w:val="22"/>
        </w:rPr>
        <w:t xml:space="preserve"> exemplaires originaux, dont 1 pour le dépôt.</w:t>
      </w:r>
    </w:p>
    <w:p w:rsidR="00075E33" w:rsidRPr="00D718D6" w:rsidRDefault="00075E33">
      <w:pPr>
        <w:spacing w:after="0"/>
        <w:contextualSpacing/>
        <w:jc w:val="both"/>
        <w:rPr>
          <w:sz w:val="22"/>
          <w:szCs w:val="22"/>
        </w:rPr>
      </w:pPr>
    </w:p>
    <w:p w:rsidR="00075E33" w:rsidRDefault="00075E33">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FD5711" w:rsidRDefault="00FD5711">
      <w:pPr>
        <w:spacing w:after="0"/>
        <w:contextualSpacing/>
        <w:jc w:val="both"/>
        <w:rPr>
          <w:sz w:val="22"/>
          <w:szCs w:val="22"/>
        </w:rPr>
      </w:pPr>
    </w:p>
    <w:p w:rsidR="00426840" w:rsidRDefault="00426840">
      <w:pPr>
        <w:spacing w:after="0"/>
        <w:contextualSpacing/>
        <w:jc w:val="both"/>
        <w:rPr>
          <w:sz w:val="22"/>
          <w:szCs w:val="22"/>
        </w:rPr>
      </w:pPr>
    </w:p>
    <w:p w:rsidR="00426840" w:rsidRDefault="00426840">
      <w:pPr>
        <w:spacing w:after="0"/>
        <w:contextualSpacing/>
        <w:jc w:val="both"/>
        <w:rPr>
          <w:sz w:val="22"/>
          <w:szCs w:val="22"/>
        </w:rPr>
      </w:pPr>
    </w:p>
    <w:p w:rsidR="00426840" w:rsidRDefault="00426840">
      <w:pPr>
        <w:spacing w:after="0"/>
        <w:contextualSpacing/>
        <w:jc w:val="both"/>
        <w:rPr>
          <w:sz w:val="22"/>
          <w:szCs w:val="22"/>
        </w:rPr>
      </w:pPr>
    </w:p>
    <w:p w:rsidR="00426840" w:rsidRDefault="00426840">
      <w:pPr>
        <w:spacing w:after="0"/>
        <w:contextualSpacing/>
        <w:jc w:val="both"/>
        <w:rPr>
          <w:sz w:val="22"/>
          <w:szCs w:val="22"/>
        </w:rPr>
      </w:pPr>
    </w:p>
    <w:p w:rsidR="00426840" w:rsidRPr="00D718D6" w:rsidRDefault="00426840">
      <w:pPr>
        <w:spacing w:after="0"/>
        <w:contextualSpacing/>
        <w:jc w:val="both"/>
        <w:rPr>
          <w:sz w:val="22"/>
          <w:szCs w:val="22"/>
        </w:rPr>
      </w:pPr>
    </w:p>
    <w:p w:rsidR="00075E33" w:rsidRPr="00D718D6" w:rsidRDefault="00075E33">
      <w:pPr>
        <w:spacing w:after="0"/>
        <w:contextualSpacing/>
        <w:rPr>
          <w:sz w:val="22"/>
          <w:szCs w:val="22"/>
        </w:rPr>
      </w:pPr>
    </w:p>
    <w:p w:rsidR="00AC7029" w:rsidRPr="00D718D6" w:rsidRDefault="00FE4D0D" w:rsidP="00AC7029">
      <w:pPr>
        <w:contextualSpacing/>
        <w:rPr>
          <w:b/>
          <w:sz w:val="22"/>
          <w:szCs w:val="22"/>
        </w:rPr>
      </w:pPr>
      <w:r w:rsidRPr="00D718D6">
        <w:t>__</w:t>
      </w:r>
      <w:r w:rsidR="00AC7029" w:rsidRPr="00D718D6">
        <w:t>_____________________________</w:t>
      </w:r>
      <w:r w:rsidR="00AC7029" w:rsidRPr="00D718D6">
        <w:tab/>
      </w:r>
      <w:r w:rsidR="00AC7029" w:rsidRPr="00D718D6">
        <w:tab/>
      </w:r>
      <w:r w:rsidRPr="00D718D6">
        <w:t>_______________________________________</w:t>
      </w:r>
      <w:r w:rsidR="00AC7029" w:rsidRPr="00D718D6">
        <w:t>_______</w:t>
      </w:r>
      <w:r w:rsidRPr="00D718D6">
        <w:rPr>
          <w:sz w:val="22"/>
          <w:szCs w:val="22"/>
        </w:rPr>
        <w:t xml:space="preserve"> </w:t>
      </w:r>
      <w:r w:rsidR="00AC7029" w:rsidRPr="00D718D6">
        <w:rPr>
          <w:b/>
          <w:sz w:val="22"/>
          <w:szCs w:val="22"/>
        </w:rPr>
        <w:t>INGELIANCE T</w:t>
      </w:r>
      <w:r w:rsidR="00AA3810">
        <w:rPr>
          <w:b/>
          <w:sz w:val="22"/>
          <w:szCs w:val="22"/>
        </w:rPr>
        <w:t>echnologies</w:t>
      </w:r>
      <w:r w:rsidR="00AA3810">
        <w:rPr>
          <w:b/>
          <w:sz w:val="22"/>
          <w:szCs w:val="22"/>
        </w:rPr>
        <w:tab/>
      </w:r>
      <w:r w:rsidR="00AA3810">
        <w:rPr>
          <w:b/>
          <w:sz w:val="22"/>
          <w:szCs w:val="22"/>
        </w:rPr>
        <w:tab/>
      </w:r>
      <w:r w:rsidR="00AA3810">
        <w:rPr>
          <w:b/>
          <w:sz w:val="22"/>
          <w:szCs w:val="22"/>
        </w:rPr>
        <w:tab/>
        <w:t>Syndicat CFE-CGC</w:t>
      </w:r>
    </w:p>
    <w:p w:rsidR="00075E33" w:rsidRPr="00D718D6" w:rsidRDefault="00075E33">
      <w:pPr>
        <w:contextualSpacing/>
        <w:rPr>
          <w:rFonts w:ascii="Calibri" w:hAnsi="Calibri"/>
        </w:rPr>
      </w:pPr>
    </w:p>
    <w:p w:rsidR="00075E33" w:rsidRPr="00D718D6" w:rsidRDefault="00075E33">
      <w:pPr>
        <w:contextualSpacing/>
        <w:rPr>
          <w:rFonts w:ascii="Calibri" w:hAnsi="Calibri"/>
        </w:rPr>
      </w:pPr>
    </w:p>
    <w:p w:rsidR="00075E33" w:rsidRPr="00D718D6" w:rsidRDefault="00075E33">
      <w:pPr>
        <w:contextualSpacing/>
        <w:rPr>
          <w:rFonts w:ascii="Calibri" w:hAnsi="Calibri"/>
        </w:rPr>
      </w:pPr>
    </w:p>
    <w:p w:rsidR="00075E33" w:rsidRPr="00D718D6" w:rsidRDefault="00075E33">
      <w:pPr>
        <w:contextualSpacing/>
        <w:rPr>
          <w:rFonts w:ascii="Calibri" w:hAnsi="Calibri"/>
        </w:rPr>
      </w:pPr>
    </w:p>
    <w:p w:rsidR="00075E33" w:rsidRPr="00D718D6" w:rsidRDefault="00075E33">
      <w:pPr>
        <w:contextualSpacing/>
        <w:rPr>
          <w:rFonts w:ascii="Calibri" w:hAnsi="Calibri"/>
          <w:sz w:val="22"/>
          <w:szCs w:val="22"/>
        </w:rPr>
      </w:pPr>
    </w:p>
    <w:p w:rsidR="00075E33" w:rsidRPr="00D718D6" w:rsidRDefault="00FE4D0D">
      <w:pPr>
        <w:contextualSpacing/>
        <w:rPr>
          <w:rFonts w:ascii="Calibri" w:hAnsi="Calibri"/>
          <w:sz w:val="22"/>
          <w:szCs w:val="22"/>
        </w:rPr>
      </w:pPr>
      <w:r w:rsidRPr="00D718D6">
        <w:rPr>
          <w:sz w:val="22"/>
          <w:szCs w:val="22"/>
        </w:rPr>
        <w:t>______________________________</w:t>
      </w:r>
      <w:r w:rsidRPr="00D718D6">
        <w:rPr>
          <w:sz w:val="22"/>
          <w:szCs w:val="22"/>
        </w:rPr>
        <w:tab/>
      </w:r>
      <w:r w:rsidRPr="00D718D6">
        <w:rPr>
          <w:sz w:val="22"/>
          <w:szCs w:val="22"/>
        </w:rPr>
        <w:tab/>
        <w:t xml:space="preserve">    </w:t>
      </w:r>
      <w:r w:rsidR="00AC7029" w:rsidRPr="00D718D6">
        <w:rPr>
          <w:sz w:val="22"/>
          <w:szCs w:val="22"/>
        </w:rPr>
        <w:tab/>
      </w:r>
      <w:r w:rsidRPr="00D718D6">
        <w:rPr>
          <w:sz w:val="22"/>
          <w:szCs w:val="22"/>
        </w:rPr>
        <w:t xml:space="preserve">_____________________________________ </w:t>
      </w:r>
    </w:p>
    <w:p w:rsidR="00075E33" w:rsidRPr="00EE398C" w:rsidRDefault="00FE4D0D">
      <w:pPr>
        <w:contextualSpacing/>
        <w:rPr>
          <w:rFonts w:ascii="Calibri" w:hAnsi="Calibri"/>
          <w:sz w:val="22"/>
          <w:szCs w:val="22"/>
        </w:rPr>
      </w:pPr>
      <w:r w:rsidRPr="00D718D6">
        <w:rPr>
          <w:b/>
          <w:sz w:val="22"/>
          <w:szCs w:val="22"/>
        </w:rPr>
        <w:t>Syndicat CGT</w:t>
      </w:r>
      <w:r w:rsidR="00AA3810">
        <w:rPr>
          <w:b/>
          <w:sz w:val="22"/>
          <w:szCs w:val="22"/>
        </w:rPr>
        <w:tab/>
      </w:r>
      <w:r w:rsidR="00AA3810">
        <w:rPr>
          <w:b/>
          <w:sz w:val="22"/>
          <w:szCs w:val="22"/>
        </w:rPr>
        <w:tab/>
      </w:r>
      <w:r w:rsidR="00AA3810">
        <w:rPr>
          <w:b/>
          <w:sz w:val="22"/>
          <w:szCs w:val="22"/>
        </w:rPr>
        <w:tab/>
      </w:r>
      <w:r w:rsidR="00AA3810">
        <w:rPr>
          <w:b/>
          <w:sz w:val="22"/>
          <w:szCs w:val="22"/>
        </w:rPr>
        <w:tab/>
      </w:r>
      <w:r w:rsidR="00AC7029" w:rsidRPr="00D718D6">
        <w:rPr>
          <w:sz w:val="22"/>
          <w:szCs w:val="22"/>
        </w:rPr>
        <w:tab/>
      </w:r>
      <w:r w:rsidR="00AC7029" w:rsidRPr="00D718D6">
        <w:rPr>
          <w:sz w:val="22"/>
          <w:szCs w:val="22"/>
        </w:rPr>
        <w:tab/>
      </w:r>
      <w:r w:rsidR="00AA3810">
        <w:rPr>
          <w:b/>
          <w:sz w:val="22"/>
          <w:szCs w:val="22"/>
        </w:rPr>
        <w:t>Syndicat CFDT</w:t>
      </w:r>
    </w:p>
    <w:sectPr w:rsidR="00075E33" w:rsidRPr="00EE398C">
      <w:headerReference w:type="default" r:id="rId11"/>
      <w:footerReference w:type="default" r:id="rId12"/>
      <w:pgSz w:w="11906" w:h="16838"/>
      <w:pgMar w:top="765" w:right="1417" w:bottom="1417" w:left="1417"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7D" w:rsidRDefault="00FC4D7D">
      <w:pPr>
        <w:spacing w:after="0" w:line="240" w:lineRule="auto"/>
      </w:pPr>
      <w:r>
        <w:separator/>
      </w:r>
    </w:p>
  </w:endnote>
  <w:endnote w:type="continuationSeparator" w:id="0">
    <w:p w:rsidR="00FC4D7D" w:rsidRDefault="00FC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87082"/>
      <w:docPartObj>
        <w:docPartGallery w:val="Page Numbers (Bottom of Page)"/>
        <w:docPartUnique/>
      </w:docPartObj>
    </w:sdtPr>
    <w:sdtEndPr/>
    <w:sdtContent>
      <w:p w:rsidR="00FC4D7D" w:rsidRDefault="00FC4D7D">
        <w:pPr>
          <w:pStyle w:val="Pieddepage"/>
          <w:jc w:val="right"/>
        </w:pPr>
        <w:r>
          <w:t xml:space="preserve">Page </w:t>
        </w:r>
        <w:r>
          <w:rPr>
            <w:b/>
          </w:rPr>
          <w:fldChar w:fldCharType="begin"/>
        </w:r>
        <w:r>
          <w:rPr>
            <w:b/>
          </w:rPr>
          <w:instrText>PAGE \* ARABIC</w:instrText>
        </w:r>
        <w:r>
          <w:rPr>
            <w:b/>
          </w:rPr>
          <w:fldChar w:fldCharType="separate"/>
        </w:r>
        <w:r w:rsidR="00AC69BF">
          <w:rPr>
            <w:b/>
            <w:noProof/>
          </w:rPr>
          <w:t>1</w:t>
        </w:r>
        <w:r>
          <w:rPr>
            <w:b/>
          </w:rPr>
          <w:fldChar w:fldCharType="end"/>
        </w:r>
        <w:r>
          <w:t xml:space="preserve"> sur </w:t>
        </w:r>
        <w:r>
          <w:rPr>
            <w:b/>
          </w:rPr>
          <w:fldChar w:fldCharType="begin"/>
        </w:r>
        <w:r>
          <w:rPr>
            <w:b/>
          </w:rPr>
          <w:instrText>NUMPAGES \* ARABIC</w:instrText>
        </w:r>
        <w:r>
          <w:rPr>
            <w:b/>
          </w:rPr>
          <w:fldChar w:fldCharType="separate"/>
        </w:r>
        <w:r w:rsidR="00AC69BF">
          <w:rPr>
            <w:b/>
            <w:noProof/>
          </w:rPr>
          <w:t>9</w:t>
        </w:r>
        <w:r>
          <w:rPr>
            <w:b/>
          </w:rPr>
          <w:fldChar w:fldCharType="end"/>
        </w:r>
      </w:p>
    </w:sdtContent>
  </w:sdt>
  <w:p w:rsidR="00FC4D7D" w:rsidRDefault="00FC4D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7D" w:rsidRDefault="00FC4D7D">
      <w:pPr>
        <w:spacing w:after="0" w:line="240" w:lineRule="auto"/>
      </w:pPr>
      <w:r>
        <w:separator/>
      </w:r>
    </w:p>
  </w:footnote>
  <w:footnote w:type="continuationSeparator" w:id="0">
    <w:p w:rsidR="00FC4D7D" w:rsidRDefault="00FC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7D" w:rsidRDefault="00AC69BF">
    <w:pPr>
      <w:pStyle w:val="En-tte"/>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ED7A"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AC1"/>
    <w:multiLevelType w:val="hybridMultilevel"/>
    <w:tmpl w:val="A7B44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10455"/>
    <w:multiLevelType w:val="hybridMultilevel"/>
    <w:tmpl w:val="BD5AC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C1925"/>
    <w:multiLevelType w:val="multilevel"/>
    <w:tmpl w:val="9F7CDDE4"/>
    <w:lvl w:ilvl="0">
      <w:start w:val="1"/>
      <w:numFmt w:val="bullet"/>
      <w:lvlText w:val="-"/>
      <w:lvlJc w:val="left"/>
      <w:pPr>
        <w:ind w:left="720" w:hanging="36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60AF4"/>
    <w:multiLevelType w:val="multilevel"/>
    <w:tmpl w:val="DDBC3962"/>
    <w:lvl w:ilvl="0">
      <w:start w:val="1"/>
      <w:numFmt w:val="bullet"/>
      <w:lvlText w:val=""/>
      <w:lvlJc w:val="left"/>
      <w:pPr>
        <w:ind w:left="720" w:hanging="360"/>
      </w:pPr>
      <w:rPr>
        <w:rFonts w:ascii="Symbol" w:hAnsi="Symbol" w:cs="Symbol" w:hint="default"/>
        <w:sz w:val="22"/>
        <w:szCs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C8123D"/>
    <w:multiLevelType w:val="hybridMultilevel"/>
    <w:tmpl w:val="D8C6B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67708"/>
    <w:multiLevelType w:val="hybridMultilevel"/>
    <w:tmpl w:val="77C41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A055D"/>
    <w:multiLevelType w:val="hybridMultilevel"/>
    <w:tmpl w:val="E7F0A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213352"/>
    <w:multiLevelType w:val="hybridMultilevel"/>
    <w:tmpl w:val="940E5AF6"/>
    <w:lvl w:ilvl="0" w:tplc="D7E628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F57DE2"/>
    <w:multiLevelType w:val="hybridMultilevel"/>
    <w:tmpl w:val="070EFD18"/>
    <w:lvl w:ilvl="0" w:tplc="5C92AC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91742A7"/>
    <w:multiLevelType w:val="hybridMultilevel"/>
    <w:tmpl w:val="6840B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F20C01"/>
    <w:multiLevelType w:val="hybridMultilevel"/>
    <w:tmpl w:val="619A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6369C"/>
    <w:multiLevelType w:val="hybridMultilevel"/>
    <w:tmpl w:val="5660FDE4"/>
    <w:lvl w:ilvl="0" w:tplc="CE728718">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0287D7F"/>
    <w:multiLevelType w:val="hybridMultilevel"/>
    <w:tmpl w:val="5A4A2D2A"/>
    <w:lvl w:ilvl="0" w:tplc="5C92AC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49B395F"/>
    <w:multiLevelType w:val="multilevel"/>
    <w:tmpl w:val="7F346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80F25C3"/>
    <w:multiLevelType w:val="hybridMultilevel"/>
    <w:tmpl w:val="AB76802A"/>
    <w:lvl w:ilvl="0" w:tplc="5720BB40">
      <w:start w:val="1"/>
      <w:numFmt w:val="bullet"/>
      <w:lvlText w:val="&gt;"/>
      <w:lvlJc w:val="left"/>
      <w:pPr>
        <w:tabs>
          <w:tab w:val="num" w:pos="884"/>
        </w:tabs>
        <w:ind w:left="884" w:hanging="284"/>
      </w:pPr>
      <w:rPr>
        <w:rFonts w:ascii="Arial" w:eastAsia="Times New Roman" w:hAnsi="Arial" w:cs="Times New Roman" w:hint="default"/>
        <w:i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i w:val="0"/>
        <w:sz w:val="20"/>
        <w:szCs w:val="20"/>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A0F572F"/>
    <w:multiLevelType w:val="multilevel"/>
    <w:tmpl w:val="C94A9A02"/>
    <w:lvl w:ilvl="0">
      <w:start w:val="1"/>
      <w:numFmt w:val="bullet"/>
      <w:lvlText w:val="-"/>
      <w:lvlJc w:val="left"/>
      <w:pPr>
        <w:ind w:left="720" w:hanging="360"/>
      </w:pPr>
      <w:rPr>
        <w:rFonts w:ascii="Calibri" w:hAnsi="Calibri"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BD11E8"/>
    <w:multiLevelType w:val="hybridMultilevel"/>
    <w:tmpl w:val="8C6467F8"/>
    <w:lvl w:ilvl="0" w:tplc="6A942F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3"/>
  </w:num>
  <w:num w:numId="5">
    <w:abstractNumId w:val="11"/>
  </w:num>
  <w:num w:numId="6">
    <w:abstractNumId w:val="7"/>
  </w:num>
  <w:num w:numId="7">
    <w:abstractNumId w:val="0"/>
  </w:num>
  <w:num w:numId="8">
    <w:abstractNumId w:val="1"/>
  </w:num>
  <w:num w:numId="9">
    <w:abstractNumId w:val="5"/>
  </w:num>
  <w:num w:numId="10">
    <w:abstractNumId w:val="6"/>
  </w:num>
  <w:num w:numId="11">
    <w:abstractNumId w:val="4"/>
  </w:num>
  <w:num w:numId="12">
    <w:abstractNumId w:val="10"/>
  </w:num>
  <w:num w:numId="13">
    <w:abstractNumId w:val="16"/>
  </w:num>
  <w:num w:numId="14">
    <w:abstractNumId w:val="12"/>
  </w:num>
  <w:num w:numId="15">
    <w:abstractNumId w:val="8"/>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33"/>
    <w:rsid w:val="00013439"/>
    <w:rsid w:val="000267B9"/>
    <w:rsid w:val="00041AA8"/>
    <w:rsid w:val="000555CC"/>
    <w:rsid w:val="00075E33"/>
    <w:rsid w:val="000763D8"/>
    <w:rsid w:val="00077502"/>
    <w:rsid w:val="00087C94"/>
    <w:rsid w:val="000C09A6"/>
    <w:rsid w:val="000E4009"/>
    <w:rsid w:val="000F1FC4"/>
    <w:rsid w:val="000F2534"/>
    <w:rsid w:val="000F2A89"/>
    <w:rsid w:val="001305D9"/>
    <w:rsid w:val="00137AE8"/>
    <w:rsid w:val="00161FA5"/>
    <w:rsid w:val="00181015"/>
    <w:rsid w:val="00194569"/>
    <w:rsid w:val="00197BA0"/>
    <w:rsid w:val="001A736D"/>
    <w:rsid w:val="001B6964"/>
    <w:rsid w:val="001C142C"/>
    <w:rsid w:val="001E0A20"/>
    <w:rsid w:val="001E5825"/>
    <w:rsid w:val="001F6AC8"/>
    <w:rsid w:val="00261561"/>
    <w:rsid w:val="00265B6C"/>
    <w:rsid w:val="00296E41"/>
    <w:rsid w:val="002C6A18"/>
    <w:rsid w:val="002C7974"/>
    <w:rsid w:val="002D194C"/>
    <w:rsid w:val="002D4B99"/>
    <w:rsid w:val="003136DD"/>
    <w:rsid w:val="00331FED"/>
    <w:rsid w:val="0035460F"/>
    <w:rsid w:val="00372558"/>
    <w:rsid w:val="00374740"/>
    <w:rsid w:val="00375110"/>
    <w:rsid w:val="003C3D9C"/>
    <w:rsid w:val="003D49C6"/>
    <w:rsid w:val="003D6110"/>
    <w:rsid w:val="004139D4"/>
    <w:rsid w:val="00426840"/>
    <w:rsid w:val="00445EB1"/>
    <w:rsid w:val="0045719B"/>
    <w:rsid w:val="004575D9"/>
    <w:rsid w:val="0046270C"/>
    <w:rsid w:val="00463C46"/>
    <w:rsid w:val="004772A4"/>
    <w:rsid w:val="004805A9"/>
    <w:rsid w:val="00491121"/>
    <w:rsid w:val="004B29DE"/>
    <w:rsid w:val="004B4062"/>
    <w:rsid w:val="004C2298"/>
    <w:rsid w:val="004D1BB9"/>
    <w:rsid w:val="004E6D16"/>
    <w:rsid w:val="004F4121"/>
    <w:rsid w:val="00501C80"/>
    <w:rsid w:val="00507827"/>
    <w:rsid w:val="00520787"/>
    <w:rsid w:val="00527690"/>
    <w:rsid w:val="005441BC"/>
    <w:rsid w:val="00587D35"/>
    <w:rsid w:val="005D04AC"/>
    <w:rsid w:val="005D0F8D"/>
    <w:rsid w:val="005D1F1B"/>
    <w:rsid w:val="005D73C9"/>
    <w:rsid w:val="005E605E"/>
    <w:rsid w:val="00614956"/>
    <w:rsid w:val="00635BC7"/>
    <w:rsid w:val="00643AA2"/>
    <w:rsid w:val="00650BF1"/>
    <w:rsid w:val="006570A2"/>
    <w:rsid w:val="00660209"/>
    <w:rsid w:val="006641D0"/>
    <w:rsid w:val="006723C2"/>
    <w:rsid w:val="006745C4"/>
    <w:rsid w:val="006930DC"/>
    <w:rsid w:val="006A0884"/>
    <w:rsid w:val="006A493E"/>
    <w:rsid w:val="006E5BE8"/>
    <w:rsid w:val="006F2011"/>
    <w:rsid w:val="00703FD2"/>
    <w:rsid w:val="00705962"/>
    <w:rsid w:val="007066B3"/>
    <w:rsid w:val="00710863"/>
    <w:rsid w:val="00717E34"/>
    <w:rsid w:val="00736449"/>
    <w:rsid w:val="0073791D"/>
    <w:rsid w:val="0074269E"/>
    <w:rsid w:val="007605D9"/>
    <w:rsid w:val="00766A13"/>
    <w:rsid w:val="007712BF"/>
    <w:rsid w:val="0079177F"/>
    <w:rsid w:val="00794D33"/>
    <w:rsid w:val="00795CD3"/>
    <w:rsid w:val="007B7F4B"/>
    <w:rsid w:val="007C0A65"/>
    <w:rsid w:val="007C1A59"/>
    <w:rsid w:val="007E155F"/>
    <w:rsid w:val="007F0B37"/>
    <w:rsid w:val="00812054"/>
    <w:rsid w:val="008163F0"/>
    <w:rsid w:val="00816EAE"/>
    <w:rsid w:val="008458AC"/>
    <w:rsid w:val="00871B84"/>
    <w:rsid w:val="008762E3"/>
    <w:rsid w:val="008C52EB"/>
    <w:rsid w:val="008C67B3"/>
    <w:rsid w:val="008D0E82"/>
    <w:rsid w:val="00901A93"/>
    <w:rsid w:val="009057A5"/>
    <w:rsid w:val="00921B1A"/>
    <w:rsid w:val="00923892"/>
    <w:rsid w:val="0097332B"/>
    <w:rsid w:val="009A0848"/>
    <w:rsid w:val="009A5C39"/>
    <w:rsid w:val="009A6ED4"/>
    <w:rsid w:val="00A62C23"/>
    <w:rsid w:val="00A62D02"/>
    <w:rsid w:val="00A738C5"/>
    <w:rsid w:val="00A907E0"/>
    <w:rsid w:val="00A9460D"/>
    <w:rsid w:val="00A97807"/>
    <w:rsid w:val="00AA3810"/>
    <w:rsid w:val="00AB4146"/>
    <w:rsid w:val="00AC087C"/>
    <w:rsid w:val="00AC411D"/>
    <w:rsid w:val="00AC69BF"/>
    <w:rsid w:val="00AC7029"/>
    <w:rsid w:val="00AF168B"/>
    <w:rsid w:val="00AF2432"/>
    <w:rsid w:val="00B02648"/>
    <w:rsid w:val="00B07EA1"/>
    <w:rsid w:val="00B10F3F"/>
    <w:rsid w:val="00B26499"/>
    <w:rsid w:val="00B3789A"/>
    <w:rsid w:val="00B406B8"/>
    <w:rsid w:val="00B45A0E"/>
    <w:rsid w:val="00B5016C"/>
    <w:rsid w:val="00B66E02"/>
    <w:rsid w:val="00B7052F"/>
    <w:rsid w:val="00B77D39"/>
    <w:rsid w:val="00BB7B24"/>
    <w:rsid w:val="00BD1199"/>
    <w:rsid w:val="00BD16B3"/>
    <w:rsid w:val="00BD6898"/>
    <w:rsid w:val="00C156F8"/>
    <w:rsid w:val="00C178E6"/>
    <w:rsid w:val="00C30799"/>
    <w:rsid w:val="00C668EF"/>
    <w:rsid w:val="00C83BC1"/>
    <w:rsid w:val="00C9315E"/>
    <w:rsid w:val="00CA387A"/>
    <w:rsid w:val="00CB2551"/>
    <w:rsid w:val="00CE6C0B"/>
    <w:rsid w:val="00D07407"/>
    <w:rsid w:val="00D0786A"/>
    <w:rsid w:val="00D13F44"/>
    <w:rsid w:val="00D234D1"/>
    <w:rsid w:val="00D26898"/>
    <w:rsid w:val="00D35938"/>
    <w:rsid w:val="00D43F86"/>
    <w:rsid w:val="00D718D6"/>
    <w:rsid w:val="00D802B2"/>
    <w:rsid w:val="00D8282E"/>
    <w:rsid w:val="00D84C74"/>
    <w:rsid w:val="00DA6CFB"/>
    <w:rsid w:val="00DD7711"/>
    <w:rsid w:val="00DF030B"/>
    <w:rsid w:val="00E0215A"/>
    <w:rsid w:val="00E24734"/>
    <w:rsid w:val="00E50C6D"/>
    <w:rsid w:val="00E53F3D"/>
    <w:rsid w:val="00E55050"/>
    <w:rsid w:val="00E61F21"/>
    <w:rsid w:val="00E937BD"/>
    <w:rsid w:val="00EB6B1F"/>
    <w:rsid w:val="00EB6EAB"/>
    <w:rsid w:val="00EC2E2E"/>
    <w:rsid w:val="00EC76D9"/>
    <w:rsid w:val="00ED047D"/>
    <w:rsid w:val="00EE398C"/>
    <w:rsid w:val="00EF0152"/>
    <w:rsid w:val="00EF66AD"/>
    <w:rsid w:val="00F0094C"/>
    <w:rsid w:val="00F24560"/>
    <w:rsid w:val="00F4742D"/>
    <w:rsid w:val="00F80C6C"/>
    <w:rsid w:val="00F83594"/>
    <w:rsid w:val="00F84CCD"/>
    <w:rsid w:val="00F857D9"/>
    <w:rsid w:val="00F91865"/>
    <w:rsid w:val="00FC4D7D"/>
    <w:rsid w:val="00FC63F7"/>
    <w:rsid w:val="00FD08BE"/>
    <w:rsid w:val="00FD092E"/>
    <w:rsid w:val="00FD5711"/>
    <w:rsid w:val="00FE4D0D"/>
    <w:rsid w:val="00FE71AF"/>
    <w:rsid w:val="00FF21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0E1880-D351-4CF7-B219-65C274E3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C"/>
    <w:pPr>
      <w:spacing w:after="120" w:line="264" w:lineRule="auto"/>
    </w:pPr>
  </w:style>
  <w:style w:type="paragraph" w:styleId="Titre1">
    <w:name w:val="heading 1"/>
    <w:basedOn w:val="Normal"/>
    <w:next w:val="Normal"/>
    <w:link w:val="Titre1Car"/>
    <w:uiPriority w:val="9"/>
    <w:qFormat/>
    <w:rsid w:val="00A6062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062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A6062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A60629"/>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6062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A6062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A6062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A60629"/>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A6062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63310"/>
  </w:style>
  <w:style w:type="character" w:customStyle="1" w:styleId="PieddepageCar">
    <w:name w:val="Pied de page Car"/>
    <w:basedOn w:val="Policepardfaut"/>
    <w:link w:val="Pieddepage"/>
    <w:uiPriority w:val="99"/>
    <w:qFormat/>
    <w:rsid w:val="00063310"/>
  </w:style>
  <w:style w:type="character" w:customStyle="1" w:styleId="Titre1Car">
    <w:name w:val="Titre 1 Car"/>
    <w:basedOn w:val="Policepardfaut"/>
    <w:link w:val="Titre1"/>
    <w:uiPriority w:val="9"/>
    <w:qFormat/>
    <w:rsid w:val="00A60629"/>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qFormat/>
    <w:rsid w:val="00A60629"/>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qFormat/>
    <w:rsid w:val="00A60629"/>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qFormat/>
    <w:rsid w:val="00A60629"/>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qFormat/>
    <w:rsid w:val="00A60629"/>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qFormat/>
    <w:rsid w:val="00A60629"/>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qFormat/>
    <w:rsid w:val="00A60629"/>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qFormat/>
    <w:rsid w:val="00A60629"/>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qFormat/>
    <w:rsid w:val="00A60629"/>
    <w:rPr>
      <w:rFonts w:asciiTheme="majorHAnsi" w:eastAsiaTheme="majorEastAsia" w:hAnsiTheme="majorHAnsi" w:cstheme="majorBidi"/>
      <w:b/>
      <w:bCs/>
      <w:i/>
      <w:iCs/>
      <w:color w:val="1F497D" w:themeColor="text2"/>
    </w:rPr>
  </w:style>
  <w:style w:type="character" w:customStyle="1" w:styleId="TitreCar">
    <w:name w:val="Titre Car"/>
    <w:basedOn w:val="Policepardfaut"/>
    <w:link w:val="Titre"/>
    <w:uiPriority w:val="10"/>
    <w:qFormat/>
    <w:rsid w:val="00A60629"/>
    <w:rPr>
      <w:rFonts w:asciiTheme="majorHAnsi" w:eastAsiaTheme="majorEastAsia" w:hAnsiTheme="majorHAnsi" w:cstheme="majorBidi"/>
      <w:color w:val="4F81BD" w:themeColor="accent1"/>
      <w:spacing w:val="-10"/>
      <w:sz w:val="56"/>
      <w:szCs w:val="56"/>
    </w:rPr>
  </w:style>
  <w:style w:type="character" w:customStyle="1" w:styleId="Sous-titreCar">
    <w:name w:val="Sous-titre Car"/>
    <w:basedOn w:val="Policepardfaut"/>
    <w:uiPriority w:val="11"/>
    <w:qFormat/>
    <w:rsid w:val="00A60629"/>
    <w:rPr>
      <w:rFonts w:asciiTheme="majorHAnsi" w:eastAsiaTheme="majorEastAsia" w:hAnsiTheme="majorHAnsi" w:cstheme="majorBidi"/>
      <w:sz w:val="24"/>
      <w:szCs w:val="24"/>
    </w:rPr>
  </w:style>
  <w:style w:type="character" w:styleId="lev">
    <w:name w:val="Strong"/>
    <w:basedOn w:val="Policepardfaut"/>
    <w:uiPriority w:val="22"/>
    <w:qFormat/>
    <w:rsid w:val="00A60629"/>
    <w:rPr>
      <w:b/>
      <w:bCs/>
    </w:rPr>
  </w:style>
  <w:style w:type="character" w:styleId="Accentuation">
    <w:name w:val="Emphasis"/>
    <w:basedOn w:val="Policepardfaut"/>
    <w:uiPriority w:val="20"/>
    <w:qFormat/>
    <w:rsid w:val="00A60629"/>
    <w:rPr>
      <w:i/>
      <w:iCs/>
    </w:rPr>
  </w:style>
  <w:style w:type="character" w:customStyle="1" w:styleId="CitationCar">
    <w:name w:val="Citation Car"/>
    <w:basedOn w:val="Policepardfaut"/>
    <w:link w:val="Citation"/>
    <w:uiPriority w:val="29"/>
    <w:qFormat/>
    <w:rsid w:val="00A60629"/>
    <w:rPr>
      <w:i/>
      <w:iCs/>
      <w:color w:val="404040" w:themeColor="text1" w:themeTint="BF"/>
    </w:rPr>
  </w:style>
  <w:style w:type="character" w:customStyle="1" w:styleId="CitationintenseCar">
    <w:name w:val="Citation intense Car"/>
    <w:basedOn w:val="Policepardfaut"/>
    <w:link w:val="Citationintense"/>
    <w:uiPriority w:val="30"/>
    <w:qFormat/>
    <w:rsid w:val="00A60629"/>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A60629"/>
    <w:rPr>
      <w:i/>
      <w:iCs/>
      <w:color w:val="404040" w:themeColor="text1" w:themeTint="BF"/>
    </w:rPr>
  </w:style>
  <w:style w:type="character" w:styleId="Emphaseintense">
    <w:name w:val="Intense Emphasis"/>
    <w:basedOn w:val="Policepardfaut"/>
    <w:uiPriority w:val="21"/>
    <w:qFormat/>
    <w:rsid w:val="00A60629"/>
    <w:rPr>
      <w:b/>
      <w:bCs/>
      <w:i/>
      <w:iCs/>
    </w:rPr>
  </w:style>
  <w:style w:type="character" w:styleId="Rfrenceple">
    <w:name w:val="Subtle Reference"/>
    <w:basedOn w:val="Policepardfaut"/>
    <w:uiPriority w:val="31"/>
    <w:qFormat/>
    <w:rsid w:val="00A60629"/>
    <w:rPr>
      <w:smallCaps/>
      <w:color w:val="404040" w:themeColor="text1" w:themeTint="BF"/>
      <w:u w:val="single" w:color="7F7F7F"/>
    </w:rPr>
  </w:style>
  <w:style w:type="character" w:styleId="Rfrenceintense">
    <w:name w:val="Intense Reference"/>
    <w:basedOn w:val="Policepardfaut"/>
    <w:uiPriority w:val="32"/>
    <w:qFormat/>
    <w:rsid w:val="00A60629"/>
    <w:rPr>
      <w:b/>
      <w:bCs/>
      <w:smallCaps/>
      <w:spacing w:val="5"/>
      <w:u w:val="single"/>
    </w:rPr>
  </w:style>
  <w:style w:type="character" w:styleId="Titredulivre">
    <w:name w:val="Book Title"/>
    <w:basedOn w:val="Policepardfaut"/>
    <w:uiPriority w:val="33"/>
    <w:qFormat/>
    <w:rsid w:val="00A60629"/>
    <w:rPr>
      <w:b/>
      <w:bCs/>
      <w:smallCaps/>
    </w:rPr>
  </w:style>
  <w:style w:type="character" w:customStyle="1" w:styleId="TextedebullesCar">
    <w:name w:val="Texte de bulles Car"/>
    <w:basedOn w:val="Policepardfaut"/>
    <w:link w:val="Textedebulles"/>
    <w:uiPriority w:val="99"/>
    <w:semiHidden/>
    <w:qFormat/>
    <w:rsid w:val="005726F2"/>
    <w:rPr>
      <w:rFonts w:ascii="Tahoma" w:hAnsi="Tahoma" w:cs="Tahoma"/>
      <w:sz w:val="16"/>
      <w:szCs w:val="16"/>
    </w:rPr>
  </w:style>
  <w:style w:type="character" w:customStyle="1" w:styleId="LienInternet">
    <w:name w:val="Lien Internet"/>
    <w:basedOn w:val="Policepardfaut"/>
    <w:uiPriority w:val="99"/>
    <w:unhideWhenUsed/>
    <w:rsid w:val="00A009FF"/>
    <w:rPr>
      <w:color w:val="0000FF" w:themeColor="hyperlink"/>
      <w:u w:val="single"/>
    </w:rPr>
  </w:style>
  <w:style w:type="character" w:styleId="Marquedecommentaire">
    <w:name w:val="annotation reference"/>
    <w:basedOn w:val="Policepardfaut"/>
    <w:semiHidden/>
    <w:unhideWhenUsed/>
    <w:qFormat/>
    <w:rsid w:val="002F0131"/>
    <w:rPr>
      <w:sz w:val="16"/>
      <w:szCs w:val="16"/>
    </w:rPr>
  </w:style>
  <w:style w:type="character" w:customStyle="1" w:styleId="CommentaireCar">
    <w:name w:val="Commentaire Car"/>
    <w:basedOn w:val="Policepardfaut"/>
    <w:link w:val="Commentaire"/>
    <w:uiPriority w:val="99"/>
    <w:semiHidden/>
    <w:qFormat/>
    <w:rsid w:val="002F0131"/>
  </w:style>
  <w:style w:type="character" w:customStyle="1" w:styleId="ObjetducommentaireCar">
    <w:name w:val="Objet du commentaire Car"/>
    <w:basedOn w:val="CommentaireCar"/>
    <w:link w:val="Objetducommentaire"/>
    <w:uiPriority w:val="99"/>
    <w:semiHidden/>
    <w:qFormat/>
    <w:rsid w:val="002F0131"/>
    <w:rPr>
      <w:b/>
      <w:b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 w:val="22"/>
      <w:szCs w:val="20"/>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cs="Times New Roman"/>
      <w:sz w:val="22"/>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ascii="Arial" w:hAnsi="Arial" w:cs="Arial"/>
      <w:color w:val="336699"/>
      <w:sz w:val="19"/>
      <w:szCs w:val="19"/>
    </w:rPr>
  </w:style>
  <w:style w:type="character" w:customStyle="1" w:styleId="Sautdindex">
    <w:name w:val="Saut d'index"/>
    <w:qFormat/>
  </w:style>
  <w:style w:type="paragraph" w:styleId="Titre">
    <w:name w:val="Title"/>
    <w:basedOn w:val="Normal"/>
    <w:next w:val="Corpsdetexte"/>
    <w:link w:val="TitreCar"/>
    <w:uiPriority w:val="10"/>
    <w:qFormat/>
    <w:rsid w:val="00A60629"/>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35"/>
    <w:semiHidden/>
    <w:unhideWhenUsed/>
    <w:qFormat/>
    <w:rsid w:val="00A60629"/>
    <w:pPr>
      <w:spacing w:line="240" w:lineRule="auto"/>
    </w:pPr>
    <w:rPr>
      <w:b/>
      <w:bCs/>
      <w:smallCaps/>
      <w:color w:val="595959" w:themeColor="text1" w:themeTint="A6"/>
      <w:spacing w:val="6"/>
    </w:rPr>
  </w:style>
  <w:style w:type="paragraph" w:customStyle="1" w:styleId="Index">
    <w:name w:val="Index"/>
    <w:basedOn w:val="Normal"/>
    <w:qFormat/>
    <w:pPr>
      <w:suppressLineNumbers/>
    </w:pPr>
    <w:rPr>
      <w:rFonts w:cs="Arial"/>
    </w:rPr>
  </w:style>
  <w:style w:type="paragraph" w:styleId="Paragraphedeliste">
    <w:name w:val="List Paragraph"/>
    <w:basedOn w:val="Normal"/>
    <w:qFormat/>
    <w:rsid w:val="00D15252"/>
    <w:pPr>
      <w:ind w:left="720"/>
      <w:contextualSpacing/>
    </w:pPr>
  </w:style>
  <w:style w:type="paragraph" w:styleId="En-tte">
    <w:name w:val="header"/>
    <w:basedOn w:val="Normal"/>
    <w:uiPriority w:val="99"/>
    <w:unhideWhenUsed/>
    <w:rsid w:val="00063310"/>
    <w:pPr>
      <w:tabs>
        <w:tab w:val="center" w:pos="4536"/>
        <w:tab w:val="right" w:pos="9072"/>
      </w:tabs>
      <w:spacing w:after="0" w:line="240" w:lineRule="auto"/>
    </w:pPr>
  </w:style>
  <w:style w:type="paragraph" w:styleId="Pieddepage">
    <w:name w:val="footer"/>
    <w:basedOn w:val="Normal"/>
    <w:link w:val="PieddepageCar"/>
    <w:uiPriority w:val="99"/>
    <w:unhideWhenUsed/>
    <w:rsid w:val="00063310"/>
    <w:pPr>
      <w:tabs>
        <w:tab w:val="center" w:pos="4536"/>
        <w:tab w:val="right" w:pos="9072"/>
      </w:tabs>
      <w:spacing w:after="0" w:line="240" w:lineRule="auto"/>
    </w:pPr>
  </w:style>
  <w:style w:type="paragraph" w:styleId="Sous-titre">
    <w:name w:val="Subtitle"/>
    <w:basedOn w:val="Normal"/>
    <w:next w:val="Normal"/>
    <w:uiPriority w:val="11"/>
    <w:qFormat/>
    <w:rsid w:val="00A60629"/>
    <w:pPr>
      <w:spacing w:line="240" w:lineRule="auto"/>
    </w:pPr>
    <w:rPr>
      <w:rFonts w:asciiTheme="majorHAnsi" w:eastAsiaTheme="majorEastAsia" w:hAnsiTheme="majorHAnsi" w:cstheme="majorBidi"/>
      <w:sz w:val="24"/>
      <w:szCs w:val="24"/>
    </w:rPr>
  </w:style>
  <w:style w:type="paragraph" w:styleId="Sansinterligne">
    <w:name w:val="No Spacing"/>
    <w:uiPriority w:val="1"/>
    <w:qFormat/>
    <w:rsid w:val="00A60629"/>
  </w:style>
  <w:style w:type="paragraph" w:styleId="Citation">
    <w:name w:val="Quote"/>
    <w:basedOn w:val="Normal"/>
    <w:next w:val="Normal"/>
    <w:link w:val="CitationCar"/>
    <w:uiPriority w:val="29"/>
    <w:qFormat/>
    <w:rsid w:val="00A60629"/>
    <w:pPr>
      <w:spacing w:before="160"/>
      <w:ind w:left="720" w:right="720"/>
    </w:pPr>
    <w:rPr>
      <w:i/>
      <w:iCs/>
      <w:color w:val="404040" w:themeColor="text1" w:themeTint="BF"/>
    </w:rPr>
  </w:style>
  <w:style w:type="paragraph" w:styleId="Citationintense">
    <w:name w:val="Intense Quote"/>
    <w:basedOn w:val="Normal"/>
    <w:next w:val="Normal"/>
    <w:link w:val="CitationintenseCar"/>
    <w:uiPriority w:val="30"/>
    <w:qFormat/>
    <w:rsid w:val="00A60629"/>
    <w:pPr>
      <w:pBdr>
        <w:left w:val="single" w:sz="18" w:space="12" w:color="4F81BD"/>
      </w:pBdr>
      <w:spacing w:beforeAutospacing="1" w:line="300" w:lineRule="auto"/>
      <w:ind w:left="1224" w:right="1224"/>
    </w:pPr>
    <w:rPr>
      <w:rFonts w:asciiTheme="majorHAnsi" w:eastAsiaTheme="majorEastAsia" w:hAnsiTheme="majorHAnsi" w:cstheme="majorBidi"/>
      <w:color w:val="4F81BD" w:themeColor="accent1"/>
      <w:sz w:val="28"/>
      <w:szCs w:val="28"/>
    </w:rPr>
  </w:style>
  <w:style w:type="paragraph" w:styleId="En-ttedetabledesmatires">
    <w:name w:val="TOC Heading"/>
    <w:basedOn w:val="Titre1"/>
    <w:next w:val="Normal"/>
    <w:uiPriority w:val="39"/>
    <w:unhideWhenUsed/>
    <w:qFormat/>
    <w:rsid w:val="00A60629"/>
  </w:style>
  <w:style w:type="paragraph" w:styleId="Textedebulles">
    <w:name w:val="Balloon Text"/>
    <w:basedOn w:val="Normal"/>
    <w:link w:val="TextedebullesCar"/>
    <w:uiPriority w:val="99"/>
    <w:semiHidden/>
    <w:unhideWhenUsed/>
    <w:qFormat/>
    <w:rsid w:val="005726F2"/>
    <w:pPr>
      <w:spacing w:after="0" w:line="240" w:lineRule="auto"/>
    </w:pPr>
    <w:rPr>
      <w:rFonts w:ascii="Tahoma" w:hAnsi="Tahoma" w:cs="Tahoma"/>
      <w:sz w:val="16"/>
      <w:szCs w:val="16"/>
    </w:rPr>
  </w:style>
  <w:style w:type="paragraph" w:styleId="NormalWeb">
    <w:name w:val="Normal (Web)"/>
    <w:basedOn w:val="Normal"/>
    <w:uiPriority w:val="99"/>
    <w:unhideWhenUsed/>
    <w:qFormat/>
    <w:rsid w:val="00053C2C"/>
    <w:pPr>
      <w:spacing w:beforeAutospacing="1"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A009FF"/>
    <w:pPr>
      <w:tabs>
        <w:tab w:val="right" w:leader="dot" w:pos="9062"/>
      </w:tabs>
      <w:spacing w:after="0" w:line="480" w:lineRule="auto"/>
    </w:pPr>
    <w:rPr>
      <w:sz w:val="28"/>
      <w:szCs w:val="28"/>
    </w:rPr>
  </w:style>
  <w:style w:type="paragraph" w:styleId="TM2">
    <w:name w:val="toc 2"/>
    <w:basedOn w:val="Normal"/>
    <w:next w:val="Normal"/>
    <w:autoRedefine/>
    <w:uiPriority w:val="39"/>
    <w:unhideWhenUsed/>
    <w:rsid w:val="006E5BE8"/>
    <w:pPr>
      <w:tabs>
        <w:tab w:val="right" w:leader="dot" w:pos="9062"/>
      </w:tabs>
      <w:spacing w:after="100" w:line="360" w:lineRule="auto"/>
      <w:ind w:left="198"/>
    </w:pPr>
  </w:style>
  <w:style w:type="paragraph" w:styleId="TM3">
    <w:name w:val="toc 3"/>
    <w:basedOn w:val="Normal"/>
    <w:next w:val="Normal"/>
    <w:autoRedefine/>
    <w:uiPriority w:val="39"/>
    <w:unhideWhenUsed/>
    <w:rsid w:val="00A009FF"/>
    <w:pPr>
      <w:spacing w:after="100"/>
      <w:ind w:left="400"/>
    </w:pPr>
  </w:style>
  <w:style w:type="paragraph" w:styleId="Commentaire">
    <w:name w:val="annotation text"/>
    <w:basedOn w:val="Normal"/>
    <w:link w:val="CommentaireCar"/>
    <w:uiPriority w:val="99"/>
    <w:semiHidden/>
    <w:unhideWhenUsed/>
    <w:qFormat/>
    <w:rsid w:val="002F0131"/>
    <w:pPr>
      <w:spacing w:line="240" w:lineRule="auto"/>
    </w:pPr>
  </w:style>
  <w:style w:type="paragraph" w:styleId="Objetducommentaire">
    <w:name w:val="annotation subject"/>
    <w:basedOn w:val="Commentaire"/>
    <w:next w:val="Commentaire"/>
    <w:link w:val="ObjetducommentaireCar"/>
    <w:uiPriority w:val="99"/>
    <w:semiHidden/>
    <w:unhideWhenUsed/>
    <w:qFormat/>
    <w:rsid w:val="002F0131"/>
    <w:rPr>
      <w:b/>
      <w:bCs/>
    </w:rPr>
  </w:style>
  <w:style w:type="table" w:styleId="Grilledutableau">
    <w:name w:val="Table Grid"/>
    <w:basedOn w:val="TableauNormal"/>
    <w:uiPriority w:val="59"/>
    <w:rsid w:val="006E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3791D"/>
    <w:pPr>
      <w:spacing w:after="0" w:line="240" w:lineRule="auto"/>
    </w:pPr>
  </w:style>
  <w:style w:type="character" w:customStyle="1" w:styleId="NotedefinCar">
    <w:name w:val="Note de fin Car"/>
    <w:basedOn w:val="Policepardfaut"/>
    <w:link w:val="Notedefin"/>
    <w:uiPriority w:val="99"/>
    <w:semiHidden/>
    <w:rsid w:val="0073791D"/>
  </w:style>
  <w:style w:type="character" w:styleId="Appeldenotedefin">
    <w:name w:val="endnote reference"/>
    <w:basedOn w:val="Policepardfaut"/>
    <w:uiPriority w:val="99"/>
    <w:semiHidden/>
    <w:unhideWhenUsed/>
    <w:rsid w:val="0073791D"/>
    <w:rPr>
      <w:vertAlign w:val="superscript"/>
    </w:rPr>
  </w:style>
  <w:style w:type="character" w:styleId="Lienhypertexte">
    <w:name w:val="Hyperlink"/>
    <w:basedOn w:val="Policepardfaut"/>
    <w:uiPriority w:val="99"/>
    <w:unhideWhenUsed/>
    <w:rsid w:val="008C6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6A70-430D-4D93-9EE8-C25EEC2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2212</Words>
  <Characters>12166</Characters>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2019-12-05T13:02:00Z</cp:lastPrinted>
  <dcterms:created xsi:type="dcterms:W3CDTF">2020-03-09T11:47:00Z</dcterms:created>
  <dcterms:modified xsi:type="dcterms:W3CDTF">2020-03-09T11:47:00Z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