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2.jpeg" ContentType="image/jpeg"/>
  <Override PartName="/word/media/image1.png" ContentType="image/png"/>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1134" w:hanging="0"/>
        <w:jc w:val="center"/>
        <w:rPr>
          <w:rFonts w:ascii="Tahoma" w:hAnsi="Tahoma" w:cs="Tahoma"/>
          <w:b/>
          <w:b/>
          <w:sz w:val="22"/>
          <w:szCs w:val="22"/>
        </w:rPr>
      </w:pPr>
      <w:r>
        <w:rPr>
          <w:rFonts w:cs="Tahoma" w:ascii="Tahoma" w:hAnsi="Tahoma"/>
          <w:b/>
          <w:sz w:val="22"/>
          <w:szCs w:val="22"/>
        </w:rPr>
        <w:t>NEGOCIATIONS ANNUELLES OBLIGATOIRES</w:t>
      </w:r>
    </w:p>
    <w:p>
      <w:pPr>
        <w:pStyle w:val="Normal"/>
        <w:ind w:right="-1134" w:hanging="0"/>
        <w:jc w:val="center"/>
        <w:rPr>
          <w:rFonts w:ascii="Tahoma" w:hAnsi="Tahoma" w:cs="Tahoma"/>
          <w:b/>
          <w:b/>
          <w:sz w:val="22"/>
          <w:szCs w:val="22"/>
        </w:rPr>
      </w:pPr>
      <w:r>
        <w:rPr>
          <w:rFonts w:cs="Tahoma" w:ascii="Tahoma" w:hAnsi="Tahoma"/>
          <w:b/>
          <w:sz w:val="22"/>
          <w:szCs w:val="22"/>
        </w:rPr>
        <w:t>Pour l’année 2020</w:t>
      </w:r>
    </w:p>
    <w:p>
      <w:pPr>
        <w:pStyle w:val="Normal"/>
        <w:ind w:right="-1134" w:hanging="0"/>
        <w:jc w:val="center"/>
        <w:rPr>
          <w:rFonts w:ascii="Tahoma" w:hAnsi="Tahoma" w:cs="Tahoma"/>
          <w:b/>
          <w:b/>
          <w:sz w:val="22"/>
          <w:szCs w:val="22"/>
        </w:rPr>
      </w:pPr>
      <w:r>
        <w:rPr>
          <w:rFonts w:cs="Tahoma" w:ascii="Tahoma" w:hAnsi="Tahoma"/>
          <w:b/>
          <w:sz w:val="22"/>
          <w:szCs w:val="22"/>
        </w:rPr>
      </w:r>
    </w:p>
    <w:p>
      <w:pPr>
        <w:pStyle w:val="Normal"/>
        <w:ind w:right="-1134" w:hanging="0"/>
        <w:jc w:val="center"/>
        <w:rPr>
          <w:rFonts w:ascii="Tahoma" w:hAnsi="Tahoma" w:cs="Tahoma"/>
          <w:b/>
          <w:b/>
          <w:highlight w:val="yellow"/>
        </w:rPr>
      </w:pPr>
      <w:r>
        <w:rPr>
          <w:rFonts w:cs="Tahoma" w:ascii="Tahoma" w:hAnsi="Tahoma"/>
          <w:b/>
          <w:highlight w:val="yellow"/>
        </w:rPr>
        <w:t>PROCES VERBAL D’ ACCORD</w:t>
      </w:r>
    </w:p>
    <w:p>
      <w:pPr>
        <w:pStyle w:val="Normal"/>
        <w:ind w:right="-1134" w:hanging="0"/>
        <w:rPr>
          <w:rFonts w:ascii="Tahoma" w:hAnsi="Tahoma" w:cs="Tahoma"/>
          <w:sz w:val="22"/>
          <w:szCs w:val="22"/>
        </w:rPr>
      </w:pPr>
      <w:r>
        <w:rPr>
          <w:rFonts w:cs="Tahoma" w:ascii="Tahoma" w:hAnsi="Tahoma"/>
          <w:sz w:val="22"/>
          <w:szCs w:val="22"/>
          <w:highlight w:val="yellow"/>
        </w:rPr>
        <w:t>VERSION ANONYME</w:t>
      </w:r>
    </w:p>
    <w:p>
      <w:pPr>
        <w:pStyle w:val="Normal"/>
        <w:spacing w:lineRule="auto" w:line="276" w:before="360" w:after="0"/>
        <w:ind w:right="203" w:hanging="0"/>
        <w:rPr/>
      </w:pPr>
      <w:r>
        <w:rPr>
          <w:rFonts w:cs="Tahoma" w:ascii="Tahoma" w:hAnsi="Tahoma"/>
          <w:bCs/>
          <w:sz w:val="22"/>
          <w:szCs w:val="22"/>
        </w:rPr>
        <w:t xml:space="preserve">Conformément à la règlementation en vigueur et à l’accord de périodicité des négociations obligatoires signé le 7/11/2019, une négociation s’est engagée ce jour entre l’organisation syndicale CFE CGC,  représentée par Monsieur </w:t>
      </w:r>
      <w:r>
        <w:rPr>
          <w:rFonts w:cs="Tahoma" w:ascii="Tahoma" w:hAnsi="Tahoma"/>
          <w:bCs/>
          <w:sz w:val="22"/>
          <w:szCs w:val="22"/>
          <w:highlight w:val="yellow"/>
        </w:rPr>
        <w:t>XXX</w:t>
      </w:r>
      <w:r>
        <w:rPr>
          <w:rFonts w:cs="Tahoma" w:ascii="Tahoma" w:hAnsi="Tahoma"/>
          <w:bCs/>
          <w:sz w:val="22"/>
          <w:szCs w:val="22"/>
        </w:rPr>
        <w:t xml:space="preserve">, et la direction générale de la société RENOLIT France, représentée par </w:t>
      </w:r>
      <w:r>
        <w:rPr>
          <w:rFonts w:cs="Tahoma" w:ascii="Tahoma" w:hAnsi="Tahoma"/>
          <w:bCs/>
          <w:sz w:val="22"/>
          <w:szCs w:val="22"/>
          <w:highlight w:val="yellow"/>
        </w:rPr>
        <w:t>XXX</w:t>
      </w:r>
      <w:r>
        <w:rPr>
          <w:rFonts w:cs="Tahoma" w:ascii="Tahoma" w:hAnsi="Tahoma"/>
          <w:bCs/>
          <w:sz w:val="22"/>
          <w:szCs w:val="22"/>
        </w:rPr>
        <w:t xml:space="preserve"> sur le thème</w:t>
      </w:r>
    </w:p>
    <w:p>
      <w:pPr>
        <w:pStyle w:val="Normal"/>
        <w:spacing w:lineRule="auto" w:line="276" w:before="360" w:after="0"/>
        <w:ind w:right="203" w:hanging="0"/>
        <w:jc w:val="center"/>
        <w:rPr/>
      </w:pPr>
      <w:r>
        <w:rPr>
          <w:rFonts w:cs="Tahoma" w:ascii="Tahoma" w:hAnsi="Tahoma"/>
          <w:b/>
          <w:bCs/>
          <w:sz w:val="22"/>
          <w:szCs w:val="22"/>
        </w:rPr>
        <w:t>« Rémunération - salaires effectifs - temps de travail »</w:t>
      </w:r>
    </w:p>
    <w:p>
      <w:pPr>
        <w:pStyle w:val="Normal"/>
        <w:spacing w:lineRule="auto" w:line="276" w:before="360" w:after="0"/>
        <w:ind w:right="203" w:hanging="0"/>
        <w:jc w:val="both"/>
        <w:rPr>
          <w:rFonts w:ascii="Tahoma" w:hAnsi="Tahoma" w:cs="Tahoma"/>
          <w:bCs/>
          <w:sz w:val="22"/>
          <w:szCs w:val="22"/>
        </w:rPr>
      </w:pPr>
      <w:r>
        <w:rPr>
          <w:rFonts w:cs="Tahoma" w:ascii="Tahoma" w:hAnsi="Tahoma"/>
          <w:bCs/>
          <w:sz w:val="22"/>
          <w:szCs w:val="22"/>
        </w:rPr>
        <w:t>Il est rappelé que le thème de partage de la valeur ajoutée fera l’objet d’un accord spécifique en janvier 2022 selon l’accord de périodicité du 07/11/2019.</w:t>
      </w:r>
    </w:p>
    <w:p>
      <w:pPr>
        <w:pStyle w:val="Normal"/>
        <w:spacing w:lineRule="auto" w:line="276" w:before="360" w:after="0"/>
        <w:ind w:right="203" w:hanging="0"/>
        <w:jc w:val="both"/>
        <w:rPr>
          <w:rFonts w:ascii="Tahoma" w:hAnsi="Tahoma" w:cs="Tahoma"/>
          <w:bCs/>
          <w:sz w:val="22"/>
          <w:szCs w:val="22"/>
        </w:rPr>
      </w:pPr>
      <w:r>
        <w:rPr>
          <w:rFonts w:cs="Tahoma" w:ascii="Tahoma" w:hAnsi="Tahoma"/>
          <w:bCs/>
          <w:sz w:val="22"/>
          <w:szCs w:val="22"/>
        </w:rPr>
        <w:t>De plus, il est rappelé que les mesures visant à supprimer les écarts de rémunération et les différences de déroulement de carrière entre les hommes et les femmes seront définies sur une base de négociation tous les 4 ans dont la première aura lieu en février 2020, selon l’accord de périodicité du 07/11/2019.</w:t>
      </w:r>
    </w:p>
    <w:p>
      <w:pPr>
        <w:pStyle w:val="Normal"/>
        <w:spacing w:lineRule="auto" w:line="276" w:before="360" w:after="0"/>
        <w:ind w:right="203" w:hanging="0"/>
        <w:jc w:val="both"/>
        <w:rPr>
          <w:rFonts w:ascii="Tahoma" w:hAnsi="Tahoma" w:cs="Tahoma"/>
          <w:bCs/>
          <w:sz w:val="22"/>
          <w:szCs w:val="22"/>
        </w:rPr>
      </w:pPr>
      <w:r>
        <w:rPr>
          <w:rFonts w:cs="Tahoma" w:ascii="Tahoma" w:hAnsi="Tahoma"/>
          <w:bCs/>
          <w:sz w:val="22"/>
          <w:szCs w:val="22"/>
        </w:rPr>
        <w:t>Au cours de la réunion, la direction a présenté conformément à la réglementation, des informations portant sur la situation économique générale, du groupe et de l’entité.</w:t>
      </w:r>
    </w:p>
    <w:p>
      <w:pPr>
        <w:pStyle w:val="Normal"/>
        <w:spacing w:lineRule="auto" w:line="276" w:before="360" w:after="0"/>
        <w:ind w:right="203" w:hanging="0"/>
        <w:jc w:val="both"/>
        <w:rPr/>
      </w:pPr>
      <w:r>
        <w:rPr>
          <w:rFonts w:cs="Tahoma" w:ascii="Tahoma" w:hAnsi="Tahoma"/>
          <w:bCs/>
          <w:sz w:val="22"/>
          <w:szCs w:val="22"/>
        </w:rPr>
        <w:t>Une présentation des salaires minimas mensuels de la CCNIC (non actualisés depuis le 1</w:t>
      </w:r>
      <w:r>
        <w:rPr>
          <w:rFonts w:cs="Tahoma" w:ascii="Tahoma" w:hAnsi="Tahoma"/>
          <w:bCs/>
          <w:sz w:val="22"/>
          <w:szCs w:val="22"/>
          <w:vertAlign w:val="superscript"/>
        </w:rPr>
        <w:t>er</w:t>
      </w:r>
      <w:r>
        <w:rPr>
          <w:rFonts w:cs="Tahoma" w:ascii="Tahoma" w:hAnsi="Tahoma"/>
          <w:bCs/>
          <w:sz w:val="22"/>
          <w:szCs w:val="22"/>
        </w:rPr>
        <w:t xml:space="preserve"> avril 2017) a également été présentée. (Annexe 1)</w:t>
      </w:r>
    </w:p>
    <w:p>
      <w:pPr>
        <w:pStyle w:val="Normal"/>
        <w:spacing w:lineRule="auto" w:line="276" w:before="360" w:after="0"/>
        <w:ind w:right="203" w:hanging="0"/>
        <w:jc w:val="both"/>
        <w:rPr>
          <w:rFonts w:ascii="Tahoma" w:hAnsi="Tahoma" w:cs="Tahoma"/>
          <w:bCs/>
          <w:sz w:val="22"/>
          <w:szCs w:val="22"/>
        </w:rPr>
      </w:pPr>
      <w:r>
        <w:rPr>
          <w:rFonts w:cs="Tahoma" w:ascii="Tahoma" w:hAnsi="Tahoma"/>
          <w:bCs/>
          <w:sz w:val="22"/>
          <w:szCs w:val="22"/>
        </w:rPr>
        <w:t>Les effectifs par catégories socio-professionnelles et par sexe ont été présentés (Annexe 2)</w:t>
      </w:r>
    </w:p>
    <w:p>
      <w:pPr>
        <w:pStyle w:val="Normal"/>
        <w:spacing w:lineRule="auto" w:line="276" w:before="360" w:after="0"/>
        <w:ind w:right="203" w:hanging="0"/>
        <w:jc w:val="both"/>
        <w:rPr>
          <w:rFonts w:ascii="Tahoma" w:hAnsi="Tahoma" w:cs="Tahoma"/>
          <w:bCs/>
          <w:sz w:val="22"/>
          <w:szCs w:val="22"/>
        </w:rPr>
      </w:pPr>
      <w:r>
        <w:rPr>
          <w:rFonts w:cs="Tahoma" w:ascii="Tahoma" w:hAnsi="Tahoma"/>
          <w:bCs/>
          <w:sz w:val="22"/>
          <w:szCs w:val="22"/>
        </w:rPr>
        <w:t>Le délégué syndical a mis en exergue les bonnes performances du chiffre d’affaires de l’entreprise et demandé sur ces bases une évolution générale des salaires.</w:t>
      </w:r>
    </w:p>
    <w:p>
      <w:pPr>
        <w:pStyle w:val="Normal"/>
        <w:spacing w:lineRule="auto" w:line="276" w:before="360" w:after="0"/>
        <w:ind w:right="203" w:hanging="0"/>
        <w:jc w:val="both"/>
        <w:rPr>
          <w:rFonts w:ascii="Tahoma" w:hAnsi="Tahoma" w:cs="Tahoma"/>
          <w:bCs/>
          <w:sz w:val="22"/>
          <w:szCs w:val="22"/>
        </w:rPr>
      </w:pPr>
      <w:r>
        <w:rPr>
          <w:rFonts w:cs="Tahoma" w:ascii="Tahoma" w:hAnsi="Tahoma"/>
          <w:bCs/>
          <w:sz w:val="22"/>
          <w:szCs w:val="22"/>
        </w:rPr>
        <w:t xml:space="preserve">En dépit de ce constat, aucune augmentation générale ne sera proposée en 2020, ni ajustement de la prime de vacances. </w:t>
      </w:r>
    </w:p>
    <w:p>
      <w:pPr>
        <w:pStyle w:val="Normal"/>
        <w:spacing w:lineRule="auto" w:line="276" w:before="360" w:after="0"/>
        <w:ind w:right="203" w:hanging="0"/>
        <w:jc w:val="both"/>
        <w:rPr>
          <w:rFonts w:ascii="Tahoma" w:hAnsi="Tahoma" w:cs="Tahoma"/>
          <w:bCs/>
          <w:sz w:val="22"/>
          <w:szCs w:val="22"/>
        </w:rPr>
      </w:pPr>
      <w:r>
        <w:rPr>
          <w:rFonts w:cs="Tahoma" w:ascii="Tahoma" w:hAnsi="Tahoma"/>
          <w:bCs/>
          <w:sz w:val="22"/>
          <w:szCs w:val="22"/>
        </w:rPr>
      </w:r>
    </w:p>
    <w:p>
      <w:pPr>
        <w:pStyle w:val="Normal"/>
        <w:spacing w:lineRule="auto" w:line="276" w:before="360" w:after="0"/>
        <w:ind w:right="203" w:hanging="0"/>
        <w:jc w:val="both"/>
        <w:rPr>
          <w:rFonts w:ascii="Tahoma" w:hAnsi="Tahoma" w:cs="Tahoma"/>
          <w:bCs/>
          <w:sz w:val="22"/>
          <w:szCs w:val="22"/>
        </w:rPr>
      </w:pPr>
      <w:r>
        <w:rPr>
          <w:rFonts w:cs="Tahoma" w:ascii="Tahoma" w:hAnsi="Tahoma"/>
          <w:bCs/>
          <w:sz w:val="22"/>
          <w:szCs w:val="22"/>
        </w:rPr>
      </w:r>
    </w:p>
    <w:p>
      <w:pPr>
        <w:pStyle w:val="Normal"/>
        <w:spacing w:lineRule="auto" w:line="276" w:before="360" w:after="0"/>
        <w:ind w:right="203" w:hanging="0"/>
        <w:jc w:val="both"/>
        <w:rPr>
          <w:rFonts w:ascii="Tahoma" w:hAnsi="Tahoma" w:cs="Tahoma"/>
          <w:bCs/>
          <w:sz w:val="22"/>
          <w:szCs w:val="22"/>
        </w:rPr>
      </w:pPr>
      <w:r>
        <w:rPr>
          <w:rFonts w:cs="Tahoma" w:ascii="Tahoma" w:hAnsi="Tahoma"/>
          <w:bCs/>
          <w:sz w:val="22"/>
          <w:szCs w:val="22"/>
        </w:rPr>
        <w:t>Uniquement, quelques augmentations individuelles dans le cadre d’évolution ou d’ajustement de fonction seront actées.</w:t>
      </w:r>
    </w:p>
    <w:p>
      <w:pPr>
        <w:pStyle w:val="Normal"/>
        <w:spacing w:lineRule="auto" w:line="276" w:before="360" w:after="0"/>
        <w:ind w:right="203" w:hanging="0"/>
        <w:jc w:val="both"/>
        <w:rPr>
          <w:rFonts w:ascii="Tahoma" w:hAnsi="Tahoma" w:cs="Tahoma"/>
          <w:bCs/>
          <w:sz w:val="22"/>
          <w:szCs w:val="22"/>
        </w:rPr>
      </w:pPr>
      <w:r>
        <w:rPr>
          <w:rFonts w:cs="Tahoma" w:ascii="Tahoma" w:hAnsi="Tahoma"/>
          <w:bCs/>
          <w:sz w:val="22"/>
          <w:szCs w:val="22"/>
        </w:rPr>
        <w:t>La direction rappelle l’importance du dialogue social. Il est indispensable de développer une communication sociale en vue de favoriser les vecteurs motivationnels non financiers (qualité de vie au travail, formation professionnelle continue, renforcement de l’esprit d’équipe par des évènements de « team building », gestion du temps de travail.</w:t>
      </w:r>
    </w:p>
    <w:p>
      <w:pPr>
        <w:pStyle w:val="Normal"/>
        <w:spacing w:lineRule="auto" w:line="276" w:before="360" w:after="0"/>
        <w:ind w:right="203" w:hanging="0"/>
        <w:jc w:val="both"/>
        <w:rPr>
          <w:rFonts w:ascii="Tahoma" w:hAnsi="Tahoma" w:cs="Tahoma"/>
          <w:bCs/>
          <w:sz w:val="22"/>
          <w:szCs w:val="22"/>
        </w:rPr>
      </w:pPr>
      <w:r>
        <w:rPr>
          <w:rFonts w:cs="Tahoma" w:ascii="Tahoma" w:hAnsi="Tahoma"/>
          <w:bCs/>
          <w:sz w:val="22"/>
          <w:szCs w:val="22"/>
        </w:rPr>
        <w:t>A cet effet, le suivi du temps de travail fera l’objet d’un aménagement au cours du premier semestre 2020 en vue d’intégrer une variabilité. Pour ce faire, un système de suivi du temps de travail sera mis en place avec les objectifs suivants :</w:t>
      </w:r>
    </w:p>
    <w:p>
      <w:pPr>
        <w:pStyle w:val="Paragraphedeliste"/>
        <w:numPr>
          <w:ilvl w:val="0"/>
          <w:numId w:val="2"/>
        </w:numPr>
        <w:spacing w:lineRule="auto" w:line="276" w:before="360" w:after="0"/>
        <w:ind w:left="720" w:right="203" w:hanging="360"/>
        <w:contextualSpacing/>
        <w:jc w:val="both"/>
        <w:rPr/>
      </w:pPr>
      <w:r>
        <w:rPr>
          <w:rFonts w:cs="Tahoma" w:ascii="Tahoma" w:hAnsi="Tahoma"/>
          <w:bCs/>
          <w:sz w:val="22"/>
          <w:szCs w:val="22"/>
          <w:lang w:val="fr-FR"/>
        </w:rPr>
        <w:t>Conservation de la durée quotidienne moyenne du temps de travail, soit 7 H 20 minutes avec récupération  du temps de travail.</w:t>
      </w:r>
    </w:p>
    <w:p>
      <w:pPr>
        <w:pStyle w:val="Paragraphedeliste"/>
        <w:numPr>
          <w:ilvl w:val="0"/>
          <w:numId w:val="2"/>
        </w:numPr>
        <w:spacing w:lineRule="auto" w:line="276" w:before="360" w:after="0"/>
        <w:ind w:left="720" w:right="203" w:hanging="360"/>
        <w:contextualSpacing/>
        <w:jc w:val="both"/>
        <w:rPr>
          <w:rFonts w:ascii="Tahoma" w:hAnsi="Tahoma" w:cs="Tahoma"/>
          <w:bCs/>
          <w:sz w:val="22"/>
          <w:szCs w:val="22"/>
          <w:lang w:val="fr-FR"/>
        </w:rPr>
      </w:pPr>
      <w:r>
        <w:rPr>
          <w:rFonts w:cs="Tahoma" w:ascii="Tahoma" w:hAnsi="Tahoma"/>
          <w:bCs/>
          <w:sz w:val="22"/>
          <w:szCs w:val="22"/>
          <w:lang w:val="fr-FR"/>
        </w:rPr>
        <w:t>Conservation des plages fixes et variables telle que définie dans la note interne (objet du règlement intérieur)</w:t>
      </w:r>
    </w:p>
    <w:p>
      <w:pPr>
        <w:pStyle w:val="Paragraphedeliste"/>
        <w:numPr>
          <w:ilvl w:val="0"/>
          <w:numId w:val="2"/>
        </w:numPr>
        <w:spacing w:lineRule="auto" w:line="276" w:before="360" w:after="0"/>
        <w:ind w:left="720" w:right="203" w:hanging="360"/>
        <w:contextualSpacing/>
        <w:jc w:val="both"/>
        <w:rPr>
          <w:rFonts w:ascii="Tahoma" w:hAnsi="Tahoma" w:cs="Tahoma"/>
          <w:bCs/>
          <w:sz w:val="22"/>
          <w:szCs w:val="22"/>
          <w:lang w:val="fr-FR"/>
        </w:rPr>
      </w:pPr>
      <w:r>
        <w:rPr>
          <w:rFonts w:cs="Tahoma" w:ascii="Tahoma" w:hAnsi="Tahoma"/>
          <w:bCs/>
          <w:sz w:val="22"/>
          <w:szCs w:val="22"/>
          <w:lang w:val="fr-FR"/>
        </w:rPr>
        <w:t>Pointage des entrées sorties du personnel, arrivées, départ, pauses. La présence sera uniquement décomptée sur base de la disponibilité au poste de travail.</w:t>
      </w:r>
    </w:p>
    <w:p>
      <w:pPr>
        <w:pStyle w:val="Paragraphedeliste"/>
        <w:numPr>
          <w:ilvl w:val="0"/>
          <w:numId w:val="2"/>
        </w:numPr>
        <w:spacing w:lineRule="auto" w:line="276" w:before="360" w:after="0"/>
        <w:ind w:left="720" w:right="203" w:hanging="360"/>
        <w:contextualSpacing/>
        <w:jc w:val="both"/>
        <w:rPr>
          <w:rFonts w:ascii="Tahoma" w:hAnsi="Tahoma" w:cs="Tahoma"/>
          <w:bCs/>
          <w:sz w:val="22"/>
          <w:szCs w:val="22"/>
          <w:lang w:val="fr-FR"/>
        </w:rPr>
      </w:pPr>
      <w:r>
        <w:rPr>
          <w:rFonts w:cs="Tahoma" w:ascii="Tahoma" w:hAnsi="Tahoma"/>
          <w:bCs/>
          <w:sz w:val="22"/>
          <w:szCs w:val="22"/>
          <w:lang w:val="fr-FR"/>
        </w:rPr>
        <w:t>Pause minimum légale de 35 mn</w:t>
      </w:r>
    </w:p>
    <w:p>
      <w:pPr>
        <w:pStyle w:val="Paragraphedeliste"/>
        <w:numPr>
          <w:ilvl w:val="0"/>
          <w:numId w:val="2"/>
        </w:numPr>
        <w:spacing w:lineRule="auto" w:line="276" w:before="360" w:after="0"/>
        <w:ind w:left="720" w:right="203" w:hanging="360"/>
        <w:contextualSpacing/>
        <w:jc w:val="both"/>
        <w:rPr>
          <w:rFonts w:ascii="Tahoma" w:hAnsi="Tahoma" w:cs="Tahoma"/>
          <w:bCs/>
          <w:sz w:val="22"/>
          <w:szCs w:val="22"/>
          <w:lang w:val="fr-FR"/>
        </w:rPr>
      </w:pPr>
      <w:r>
        <w:rPr>
          <w:rFonts w:cs="Tahoma" w:ascii="Tahoma" w:hAnsi="Tahoma"/>
          <w:bCs/>
          <w:sz w:val="22"/>
          <w:szCs w:val="22"/>
          <w:lang w:val="fr-FR"/>
        </w:rPr>
        <w:t>Amplitude maximum de plus ou moins 20 heures au compteur.</w:t>
      </w:r>
    </w:p>
    <w:p>
      <w:pPr>
        <w:pStyle w:val="Paragraphedeliste"/>
        <w:numPr>
          <w:ilvl w:val="0"/>
          <w:numId w:val="2"/>
        </w:numPr>
        <w:spacing w:lineRule="auto" w:line="276" w:before="360" w:after="0"/>
        <w:ind w:left="720" w:right="203" w:hanging="360"/>
        <w:contextualSpacing/>
        <w:jc w:val="both"/>
        <w:rPr/>
      </w:pPr>
      <w:r>
        <w:rPr>
          <w:rFonts w:cs="Tahoma" w:ascii="Tahoma" w:hAnsi="Tahoma"/>
          <w:bCs/>
          <w:sz w:val="22"/>
          <w:szCs w:val="22"/>
          <w:lang w:val="fr-FR"/>
        </w:rPr>
        <w:t>Les excédents ou insuffisances d’heures devront être soldés par diminution ou augmentation des amplitudes horaires sur les périodes suivantes.</w:t>
      </w:r>
    </w:p>
    <w:p>
      <w:pPr>
        <w:pStyle w:val="Normal"/>
        <w:spacing w:lineRule="auto" w:line="276" w:before="360" w:after="0"/>
        <w:ind w:right="203" w:hanging="0"/>
        <w:jc w:val="both"/>
        <w:rPr/>
      </w:pPr>
      <w:r>
        <w:rPr>
          <w:rFonts w:cs="Tahoma" w:ascii="Tahoma" w:hAnsi="Tahoma"/>
          <w:bCs/>
          <w:sz w:val="22"/>
          <w:szCs w:val="22"/>
        </w:rPr>
        <w:t>Les 10/04/2020, 22/05/2020, 13/07/2020 et 14/08/2020 seront des récupérations du temps de temps de travail.</w:t>
      </w:r>
    </w:p>
    <w:p>
      <w:pPr>
        <w:pStyle w:val="Normal"/>
        <w:spacing w:lineRule="auto" w:line="276" w:before="360" w:after="0"/>
        <w:ind w:right="203" w:hanging="0"/>
        <w:jc w:val="both"/>
        <w:rPr>
          <w:rFonts w:ascii="Tahoma" w:hAnsi="Tahoma" w:cs="Tahoma"/>
          <w:bCs/>
          <w:sz w:val="22"/>
          <w:szCs w:val="22"/>
        </w:rPr>
      </w:pPr>
      <w:r>
        <w:rPr>
          <w:rFonts w:cs="Tahoma" w:ascii="Tahoma" w:hAnsi="Tahoma"/>
          <w:bCs/>
          <w:sz w:val="22"/>
          <w:szCs w:val="22"/>
        </w:rPr>
        <w:t>Le site sera fermé du 23 décembre 2020 au 4 janvier 2021 matin.</w:t>
      </w:r>
    </w:p>
    <w:p>
      <w:pPr>
        <w:pStyle w:val="Normal"/>
        <w:spacing w:lineRule="auto" w:line="276" w:before="360" w:after="0"/>
        <w:ind w:right="203" w:hanging="0"/>
        <w:jc w:val="both"/>
        <w:rPr>
          <w:rFonts w:ascii="Tahoma" w:hAnsi="Tahoma" w:cs="Tahoma"/>
          <w:bCs/>
          <w:sz w:val="22"/>
          <w:szCs w:val="22"/>
        </w:rPr>
      </w:pPr>
      <w:r>
        <w:rPr>
          <w:rFonts w:cs="Tahoma" w:ascii="Tahoma" w:hAnsi="Tahoma"/>
          <w:bCs/>
          <w:sz w:val="22"/>
          <w:szCs w:val="22"/>
        </w:rPr>
        <w:t>Le présent procès-verbal d’accord sera diffusé et affiché à l’ensemble du personnel.</w:t>
      </w:r>
    </w:p>
    <w:p>
      <w:pPr>
        <w:pStyle w:val="Normal"/>
        <w:spacing w:lineRule="auto" w:line="276" w:before="360" w:after="0"/>
        <w:ind w:right="203" w:hanging="0"/>
        <w:jc w:val="both"/>
        <w:rPr>
          <w:rFonts w:ascii="Tahoma" w:hAnsi="Tahoma" w:cs="Tahoma"/>
          <w:bCs/>
          <w:sz w:val="22"/>
          <w:szCs w:val="22"/>
        </w:rPr>
      </w:pPr>
      <w:r>
        <w:rPr>
          <w:rFonts w:cs="Tahoma" w:ascii="Tahoma" w:hAnsi="Tahoma"/>
          <w:bCs/>
          <w:sz w:val="22"/>
          <w:szCs w:val="22"/>
        </w:rPr>
      </w:r>
    </w:p>
    <w:p>
      <w:pPr>
        <w:pStyle w:val="Normal"/>
        <w:spacing w:lineRule="auto" w:line="276" w:before="360" w:after="0"/>
        <w:ind w:right="203" w:hanging="0"/>
        <w:jc w:val="both"/>
        <w:rPr>
          <w:rFonts w:ascii="Tahoma" w:hAnsi="Tahoma" w:cs="Tahoma"/>
          <w:bCs/>
          <w:sz w:val="22"/>
          <w:szCs w:val="22"/>
        </w:rPr>
      </w:pPr>
      <w:r>
        <w:rPr>
          <w:rFonts w:cs="Tahoma" w:ascii="Tahoma" w:hAnsi="Tahoma"/>
          <w:bCs/>
          <w:sz w:val="22"/>
          <w:szCs w:val="22"/>
        </w:rPr>
      </w:r>
    </w:p>
    <w:p>
      <w:pPr>
        <w:pStyle w:val="Normal"/>
        <w:spacing w:lineRule="auto" w:line="276" w:before="360" w:after="0"/>
        <w:ind w:right="203" w:hanging="0"/>
        <w:jc w:val="both"/>
        <w:rPr>
          <w:rFonts w:ascii="Tahoma" w:hAnsi="Tahoma" w:cs="Tahoma"/>
          <w:bCs/>
          <w:sz w:val="22"/>
          <w:szCs w:val="22"/>
        </w:rPr>
      </w:pPr>
      <w:r>
        <w:rPr>
          <w:rFonts w:cs="Tahoma" w:ascii="Tahoma" w:hAnsi="Tahoma"/>
          <w:bCs/>
          <w:sz w:val="22"/>
          <w:szCs w:val="22"/>
        </w:rPr>
      </w:r>
    </w:p>
    <w:p>
      <w:pPr>
        <w:pStyle w:val="Normal"/>
        <w:spacing w:lineRule="auto" w:line="276" w:before="360" w:after="0"/>
        <w:ind w:right="203" w:hanging="0"/>
        <w:jc w:val="both"/>
        <w:rPr>
          <w:rFonts w:ascii="Tahoma" w:hAnsi="Tahoma" w:cs="Tahoma"/>
          <w:bCs/>
          <w:sz w:val="22"/>
          <w:szCs w:val="22"/>
        </w:rPr>
      </w:pPr>
      <w:r>
        <w:rPr>
          <w:rFonts w:cs="Tahoma" w:ascii="Tahoma" w:hAnsi="Tahoma"/>
          <w:bCs/>
          <w:sz w:val="22"/>
          <w:szCs w:val="22"/>
        </w:rPr>
      </w:r>
    </w:p>
    <w:p>
      <w:pPr>
        <w:pStyle w:val="Normal"/>
        <w:spacing w:lineRule="auto" w:line="276" w:before="360" w:after="0"/>
        <w:ind w:right="203" w:hanging="0"/>
        <w:jc w:val="both"/>
        <w:rPr>
          <w:rFonts w:ascii="Tahoma" w:hAnsi="Tahoma" w:cs="Tahoma"/>
          <w:bCs/>
          <w:sz w:val="22"/>
          <w:szCs w:val="22"/>
        </w:rPr>
      </w:pPr>
      <w:r>
        <w:rPr>
          <w:rFonts w:cs="Tahoma" w:ascii="Tahoma" w:hAnsi="Tahoma"/>
          <w:bCs/>
          <w:sz w:val="22"/>
          <w:szCs w:val="22"/>
        </w:rPr>
        <w:t>La société procèdera uniquement à l’envoi dématérialisé par la téléprocédure sur la plateforme</w:t>
      </w:r>
    </w:p>
    <w:p>
      <w:pPr>
        <w:pStyle w:val="Normal"/>
        <w:spacing w:lineRule="auto" w:line="276" w:before="360" w:after="0"/>
        <w:ind w:right="203" w:hanging="0"/>
        <w:jc w:val="both"/>
        <w:rPr/>
      </w:pPr>
      <w:hyperlink r:id="rId2">
        <w:r>
          <w:rPr>
            <w:rStyle w:val="InternetLink"/>
            <w:rFonts w:cs="Tahoma" w:ascii="Tahoma" w:hAnsi="Tahoma"/>
            <w:bCs/>
            <w:sz w:val="22"/>
            <w:szCs w:val="22"/>
          </w:rPr>
          <w:t>https://www.téléaccords.travail-emploi.gouv.fr</w:t>
        </w:r>
      </w:hyperlink>
      <w:r>
        <w:rPr>
          <w:rFonts w:cs="Tahoma" w:ascii="Tahoma" w:hAnsi="Tahoma"/>
          <w:bCs/>
          <w:sz w:val="22"/>
          <w:szCs w:val="22"/>
        </w:rPr>
        <w:t>.</w:t>
      </w:r>
    </w:p>
    <w:p>
      <w:pPr>
        <w:pStyle w:val="Normal"/>
        <w:spacing w:lineRule="auto" w:line="276" w:before="360" w:after="0"/>
        <w:ind w:right="203" w:hanging="0"/>
        <w:jc w:val="both"/>
        <w:rPr>
          <w:rFonts w:ascii="Tahoma" w:hAnsi="Tahoma" w:cs="Tahoma"/>
          <w:bCs/>
          <w:sz w:val="22"/>
          <w:szCs w:val="22"/>
        </w:rPr>
      </w:pPr>
      <w:r>
        <w:rPr>
          <w:rFonts w:cs="Tahoma" w:ascii="Tahoma" w:hAnsi="Tahoma"/>
          <w:bCs/>
          <w:sz w:val="22"/>
          <w:szCs w:val="22"/>
        </w:rPr>
        <w:t>Par ailleurs, le présent accord donnera lieu à dépôt en un exemplaire auprès du greffe du conseil des prud’hommes.</w:t>
      </w:r>
    </w:p>
    <w:p>
      <w:pPr>
        <w:pStyle w:val="Normal"/>
        <w:spacing w:lineRule="auto" w:line="276" w:before="360" w:after="0"/>
        <w:ind w:right="203" w:hanging="0"/>
        <w:jc w:val="both"/>
        <w:rPr>
          <w:rFonts w:ascii="Tahoma" w:hAnsi="Tahoma" w:cs="Tahoma"/>
          <w:bCs/>
          <w:sz w:val="22"/>
          <w:szCs w:val="22"/>
        </w:rPr>
      </w:pPr>
      <w:r>
        <w:rPr>
          <w:rFonts w:cs="Tahoma" w:ascii="Tahoma" w:hAnsi="Tahoma"/>
          <w:bCs/>
          <w:sz w:val="22"/>
          <w:szCs w:val="22"/>
        </w:rPr>
      </w:r>
    </w:p>
    <w:p>
      <w:pPr>
        <w:pStyle w:val="Normal"/>
        <w:spacing w:lineRule="auto" w:line="276" w:before="360" w:after="0"/>
        <w:ind w:right="203" w:hanging="0"/>
        <w:jc w:val="both"/>
        <w:rPr>
          <w:rFonts w:ascii="Tahoma" w:hAnsi="Tahoma" w:cs="Tahoma"/>
          <w:bCs/>
          <w:sz w:val="22"/>
          <w:szCs w:val="22"/>
        </w:rPr>
      </w:pPr>
      <w:r>
        <w:rPr>
          <w:rFonts w:cs="Tahoma" w:ascii="Tahoma" w:hAnsi="Tahoma"/>
          <w:bCs/>
          <w:sz w:val="22"/>
          <w:szCs w:val="22"/>
        </w:rPr>
        <w:t xml:space="preserve">Fait à Roissy, </w:t>
      </w:r>
    </w:p>
    <w:p>
      <w:pPr>
        <w:pStyle w:val="Normal"/>
        <w:spacing w:lineRule="auto" w:line="276" w:before="360" w:after="0"/>
        <w:ind w:right="203" w:hanging="0"/>
        <w:jc w:val="both"/>
        <w:rPr>
          <w:rFonts w:ascii="Tahoma" w:hAnsi="Tahoma" w:cs="Tahoma"/>
          <w:bCs/>
          <w:sz w:val="22"/>
          <w:szCs w:val="22"/>
        </w:rPr>
      </w:pPr>
      <w:r>
        <w:rPr>
          <w:rFonts w:cs="Tahoma" w:ascii="Tahoma" w:hAnsi="Tahoma"/>
          <w:bCs/>
          <w:sz w:val="22"/>
          <w:szCs w:val="22"/>
        </w:rPr>
        <w:t>Le 12/12/2019</w:t>
      </w:r>
    </w:p>
    <w:p>
      <w:pPr>
        <w:pStyle w:val="Normal"/>
        <w:spacing w:lineRule="auto" w:line="276" w:before="360" w:after="0"/>
        <w:ind w:right="203" w:hanging="0"/>
        <w:jc w:val="both"/>
        <w:rPr>
          <w:rFonts w:ascii="Tahoma" w:hAnsi="Tahoma" w:cs="Tahoma"/>
          <w:bCs/>
          <w:sz w:val="22"/>
          <w:szCs w:val="22"/>
        </w:rPr>
      </w:pPr>
      <w:r>
        <w:rPr>
          <w:rFonts w:cs="Tahoma" w:ascii="Tahoma" w:hAnsi="Tahoma"/>
          <w:bCs/>
          <w:sz w:val="22"/>
          <w:szCs w:val="22"/>
        </w:rPr>
        <w:t>En autant d’exemplaires originaux que de requis par la loi.</w:t>
      </w:r>
    </w:p>
    <w:p>
      <w:pPr>
        <w:pStyle w:val="Normal"/>
        <w:spacing w:lineRule="auto" w:line="276" w:before="360" w:after="0"/>
        <w:ind w:right="203" w:hanging="0"/>
        <w:jc w:val="both"/>
        <w:rPr>
          <w:rFonts w:ascii="Tahoma" w:hAnsi="Tahoma" w:cs="Tahoma"/>
          <w:bCs/>
          <w:sz w:val="22"/>
          <w:szCs w:val="22"/>
        </w:rPr>
      </w:pPr>
      <w:r>
        <w:rPr>
          <w:rFonts w:cs="Tahoma" w:ascii="Tahoma" w:hAnsi="Tahoma"/>
          <w:bCs/>
          <w:sz w:val="22"/>
          <w:szCs w:val="22"/>
        </w:rPr>
      </w:r>
    </w:p>
    <w:p>
      <w:pPr>
        <w:pStyle w:val="Normal"/>
        <w:spacing w:lineRule="auto" w:line="276" w:before="360" w:after="0"/>
        <w:ind w:right="203" w:hanging="0"/>
        <w:jc w:val="both"/>
        <w:rPr>
          <w:rFonts w:ascii="Tahoma" w:hAnsi="Tahoma" w:cs="Tahoma"/>
          <w:bCs/>
          <w:sz w:val="22"/>
          <w:szCs w:val="22"/>
        </w:rPr>
      </w:pPr>
      <w:r>
        <w:rPr>
          <w:rFonts w:cs="Tahoma" w:ascii="Tahoma" w:hAnsi="Tahoma"/>
          <w:bCs/>
          <w:sz w:val="22"/>
          <w:szCs w:val="22"/>
        </w:rPr>
      </w:r>
    </w:p>
    <w:p>
      <w:pPr>
        <w:pStyle w:val="Normal"/>
        <w:spacing w:lineRule="auto" w:line="276" w:before="360" w:after="0"/>
        <w:ind w:right="203" w:hanging="0"/>
        <w:jc w:val="both"/>
        <w:rPr>
          <w:rFonts w:ascii="Tahoma" w:hAnsi="Tahoma" w:cs="Tahoma"/>
          <w:bCs/>
          <w:sz w:val="22"/>
          <w:szCs w:val="22"/>
        </w:rPr>
      </w:pPr>
      <w:r>
        <w:rPr>
          <w:rFonts w:cs="Tahoma" w:ascii="Tahoma" w:hAnsi="Tahoma"/>
          <w:bCs/>
          <w:sz w:val="22"/>
          <w:szCs w:val="22"/>
        </w:rPr>
        <w:t>Pour le Syndicat CFE/CGC</w:t>
        <w:tab/>
        <w:tab/>
        <w:tab/>
        <w:tab/>
        <w:t>Pour la Société RENOLIT FRANCE</w:t>
      </w:r>
    </w:p>
    <w:p>
      <w:pPr>
        <w:pStyle w:val="Normal"/>
        <w:spacing w:lineRule="auto" w:line="276" w:before="360" w:after="0"/>
        <w:ind w:right="203" w:hanging="0"/>
        <w:jc w:val="both"/>
        <w:rPr>
          <w:rFonts w:ascii="Tahoma" w:hAnsi="Tahoma" w:cs="Tahoma"/>
          <w:bCs/>
          <w:sz w:val="22"/>
          <w:szCs w:val="22"/>
        </w:rPr>
      </w:pPr>
      <w:r>
        <w:rPr>
          <w:rFonts w:cs="Tahoma" w:ascii="Tahoma" w:hAnsi="Tahoma"/>
          <w:bCs/>
          <w:sz w:val="22"/>
          <w:szCs w:val="22"/>
        </w:rPr>
        <w:t xml:space="preserve">Monsieur </w:t>
      </w:r>
      <w:r>
        <w:rPr>
          <w:rFonts w:cs="Tahoma" w:ascii="Tahoma" w:hAnsi="Tahoma"/>
          <w:bCs/>
          <w:sz w:val="22"/>
          <w:szCs w:val="22"/>
          <w:highlight w:val="yellow"/>
        </w:rPr>
        <w:t>XXX</w:t>
      </w:r>
      <w:r>
        <w:rPr>
          <w:rFonts w:cs="Tahoma" w:ascii="Tahoma" w:hAnsi="Tahoma"/>
          <w:bCs/>
          <w:sz w:val="22"/>
          <w:szCs w:val="22"/>
        </w:rPr>
        <w:tab/>
        <w:tab/>
        <w:tab/>
        <w:tab/>
        <w:tab/>
        <w:tab/>
        <w:t xml:space="preserve">Monsieur </w:t>
      </w:r>
      <w:r>
        <w:rPr>
          <w:rFonts w:cs="Tahoma" w:ascii="Tahoma" w:hAnsi="Tahoma"/>
          <w:bCs/>
          <w:sz w:val="22"/>
          <w:szCs w:val="22"/>
          <w:highlight w:val="yellow"/>
        </w:rPr>
        <w:t>XXX</w:t>
      </w:r>
    </w:p>
    <w:p>
      <w:pPr>
        <w:pStyle w:val="Normal"/>
        <w:spacing w:lineRule="auto" w:line="276" w:before="360" w:after="0"/>
        <w:ind w:right="203" w:hanging="0"/>
        <w:jc w:val="both"/>
        <w:rPr>
          <w:rFonts w:ascii="Tahoma" w:hAnsi="Tahoma" w:cs="Tahoma"/>
          <w:bCs/>
          <w:sz w:val="22"/>
          <w:szCs w:val="22"/>
        </w:rPr>
      </w:pPr>
      <w:r>
        <w:rPr>
          <w:rFonts w:cs="Tahoma" w:ascii="Tahoma" w:hAnsi="Tahoma"/>
          <w:bCs/>
          <w:sz w:val="22"/>
          <w:szCs w:val="22"/>
        </w:rPr>
        <w:t>Délégué syndical</w:t>
        <w:tab/>
        <w:tab/>
        <w:tab/>
        <w:tab/>
        <w:tab/>
        <w:t>Directeur général</w:t>
      </w:r>
    </w:p>
    <w:p>
      <w:pPr>
        <w:pStyle w:val="Normal"/>
        <w:spacing w:lineRule="auto" w:line="276" w:before="360" w:after="0"/>
        <w:ind w:right="203" w:hanging="0"/>
        <w:jc w:val="both"/>
        <w:rPr>
          <w:rFonts w:ascii="Tahoma" w:hAnsi="Tahoma" w:cs="Tahoma"/>
          <w:bCs/>
          <w:sz w:val="22"/>
          <w:szCs w:val="22"/>
        </w:rPr>
      </w:pPr>
      <w:r>
        <w:rPr>
          <w:rFonts w:cs="Tahoma" w:ascii="Tahoma" w:hAnsi="Tahoma"/>
          <w:bCs/>
          <w:sz w:val="22"/>
          <w:szCs w:val="22"/>
        </w:rPr>
      </w:r>
    </w:p>
    <w:p>
      <w:pPr>
        <w:pStyle w:val="Paragraphedeliste"/>
        <w:numPr>
          <w:ilvl w:val="0"/>
          <w:numId w:val="2"/>
        </w:numPr>
        <w:spacing w:lineRule="auto" w:line="276" w:before="360" w:after="0"/>
        <w:ind w:left="720" w:right="203" w:hanging="360"/>
        <w:contextualSpacing/>
        <w:jc w:val="both"/>
        <w:rPr>
          <w:rFonts w:ascii="Tahoma" w:hAnsi="Tahoma" w:cs="Tahoma"/>
          <w:bCs/>
          <w:sz w:val="22"/>
          <w:szCs w:val="22"/>
          <w:lang w:val="fr-FR"/>
        </w:rPr>
      </w:pPr>
      <w:r>
        <w:rPr>
          <w:rFonts w:cs="Tahoma" w:ascii="Tahoma" w:hAnsi="Tahoma"/>
          <w:bCs/>
          <w:sz w:val="22"/>
          <w:szCs w:val="22"/>
          <w:lang w:val="fr-FR"/>
        </w:rPr>
      </w:r>
    </w:p>
    <w:p>
      <w:pPr>
        <w:pStyle w:val="Normal"/>
        <w:spacing w:lineRule="auto" w:line="276" w:before="360" w:after="0"/>
        <w:ind w:right="203" w:hanging="0"/>
        <w:jc w:val="both"/>
        <w:rPr>
          <w:rFonts w:ascii="Tahoma" w:hAnsi="Tahoma" w:cs="Tahoma"/>
          <w:bCs/>
          <w:sz w:val="22"/>
          <w:szCs w:val="22"/>
          <w:lang w:val="fr-FR"/>
        </w:rPr>
      </w:pPr>
      <w:r>
        <w:rPr>
          <w:rFonts w:cs="Tahoma" w:ascii="Tahoma" w:hAnsi="Tahoma"/>
          <w:bCs/>
          <w:sz w:val="22"/>
          <w:szCs w:val="22"/>
          <w:lang w:val="fr-FR"/>
        </w:rPr>
      </w:r>
    </w:p>
    <w:p>
      <w:pPr>
        <w:pStyle w:val="Normal"/>
        <w:ind w:left="5103" w:right="-1134" w:hanging="0"/>
        <w:rPr>
          <w:rFonts w:ascii="Tahoma" w:hAnsi="Tahoma" w:cs="Tahoma"/>
          <w:b/>
          <w:b/>
          <w:bCs/>
          <w:sz w:val="22"/>
          <w:szCs w:val="22"/>
        </w:rPr>
      </w:pPr>
      <w:r>
        <w:rPr>
          <w:rFonts w:cs="Tahoma" w:ascii="Tahoma" w:hAnsi="Tahoma"/>
          <w:b/>
          <w:bCs/>
          <w:sz w:val="22"/>
          <w:szCs w:val="22"/>
        </w:rPr>
      </w:r>
    </w:p>
    <w:p>
      <w:pPr>
        <w:pStyle w:val="Normal"/>
        <w:ind w:right="-1134" w:hanging="0"/>
        <w:rPr>
          <w:rFonts w:ascii="Tahoma" w:hAnsi="Tahoma" w:cs="Tahoma"/>
          <w:b/>
          <w:b/>
          <w:bCs/>
          <w:sz w:val="22"/>
          <w:szCs w:val="22"/>
        </w:rPr>
      </w:pPr>
      <w:r>
        <w:rPr>
          <w:rFonts w:cs="Tahoma" w:ascii="Tahoma" w:hAnsi="Tahoma"/>
          <w:b/>
          <w:bCs/>
          <w:sz w:val="22"/>
          <w:szCs w:val="22"/>
        </w:rPr>
      </w:r>
    </w:p>
    <w:p>
      <w:pPr>
        <w:pStyle w:val="Normal"/>
        <w:rPr>
          <w:rFonts w:ascii="Tahoma" w:hAnsi="Tahoma" w:cs="Tahoma"/>
          <w:sz w:val="22"/>
          <w:szCs w:val="22"/>
        </w:rPr>
      </w:pPr>
      <w:r>
        <w:rPr>
          <w:rFonts w:cs="Tahoma" w:ascii="Tahoma" w:hAnsi="Tahoma"/>
          <w:sz w:val="22"/>
          <w:szCs w:val="22"/>
        </w:rPr>
      </w:r>
    </w:p>
    <w:sectPr>
      <w:headerReference w:type="default" r:id="rId3"/>
      <w:footerReference w:type="default" r:id="rId4"/>
      <w:type w:val="nextPage"/>
      <w:pgSz w:w="11906" w:h="16838"/>
      <w:pgMar w:left="1418" w:right="1418" w:header="181" w:top="851" w:footer="0" w:bottom="45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Wingdings">
    <w:charset w:val="02"/>
    <w:family w:val="auto"/>
    <w:pitch w:val="variable"/>
  </w:font>
  <w:font w:name="Courier New">
    <w:charset w:val="00"/>
    <w:family w:val="modern"/>
    <w:pitch w:val="default"/>
  </w:font>
  <w:font w:name="Symbol">
    <w:charset w:val="01"/>
    <w:family w:val="roman"/>
    <w:pitch w:val="variable"/>
  </w:font>
  <w:font w:name="Tahoma">
    <w:charset w:val="00"/>
    <w:family w:val="swiss"/>
    <w:pitch w:val="variable"/>
  </w:font>
  <w:font w:name="Arial Narrow">
    <w:charset w:val="00"/>
    <w:family w:val="swiss"/>
    <w:pitch w:val="variable"/>
  </w:font>
  <w:font w:name="Liberation Sans">
    <w:altName w:val="Arial"/>
    <w:charset w:val="01"/>
    <w:family w:val="swiss"/>
    <w:pitch w:val="variable"/>
  </w:font>
  <w:font w:name="Verdan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3240" w:leader="none"/>
        <w:tab w:val="right" w:pos="5400" w:leader="none"/>
      </w:tabs>
      <w:ind w:right="360" w:hanging="0"/>
      <w:jc w:val="both"/>
      <w:rPr>
        <w:rFonts w:ascii="Arial" w:hAnsi="Arial" w:cs="Arial"/>
        <w:b/>
        <w:b/>
        <w:sz w:val="12"/>
        <w:szCs w:val="12"/>
        <w:lang w:val="en-GB" w:eastAsia="en-GB"/>
      </w:rPr>
    </w:pPr>
    <w:r>
      <w:rPr>
        <w:rFonts w:cs="Arial" w:ascii="Arial" w:hAnsi="Arial"/>
        <w:b/>
        <w:sz w:val="12"/>
        <w:szCs w:val="12"/>
        <w:lang w:val="en-GB" w:eastAsia="en-GB"/>
      </w:rPr>
      <mc:AlternateContent>
        <mc:Choice Requires="wps">
          <w:drawing>
            <wp:anchor behindDoc="1" distT="0" distB="0" distL="114935" distR="114935" simplePos="0" locked="0" layoutInCell="1" allowOverlap="1" relativeHeight="13">
              <wp:simplePos x="0" y="0"/>
              <wp:positionH relativeFrom="column">
                <wp:posOffset>0</wp:posOffset>
              </wp:positionH>
              <wp:positionV relativeFrom="paragraph">
                <wp:posOffset>72390</wp:posOffset>
              </wp:positionV>
              <wp:extent cx="5944235" cy="635"/>
              <wp:effectExtent l="0" t="0" r="0" b="0"/>
              <wp:wrapNone/>
              <wp:docPr id="2" name=""/>
              <a:graphic xmlns:a="http://schemas.openxmlformats.org/drawingml/2006/main">
                <a:graphicData uri="http://schemas.microsoft.com/office/word/2010/wordprocessingShape">
                  <wps:wsp>
                    <wps:cNvSpPr/>
                    <wps:spPr>
                      <a:xfrm>
                        <a:off x="0" y="0"/>
                        <a:ext cx="594360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0pt,5.7pt" to="467.95pt,5.7pt" stroked="t" style="position:absolute">
              <v:stroke color="black" weight="9360" joinstyle="miter" endcap="square"/>
              <v:fill o:detectmouseclick="t" on="false"/>
            </v:line>
          </w:pict>
        </mc:Fallback>
      </mc:AlternateContent>
      <w:drawing>
        <wp:anchor behindDoc="1" distT="0" distB="0" distL="114935" distR="114935" simplePos="0" locked="0" layoutInCell="1" allowOverlap="1" relativeHeight="17">
          <wp:simplePos x="0" y="0"/>
          <wp:positionH relativeFrom="column">
            <wp:posOffset>5158740</wp:posOffset>
          </wp:positionH>
          <wp:positionV relativeFrom="paragraph">
            <wp:posOffset>48260</wp:posOffset>
          </wp:positionV>
          <wp:extent cx="784860" cy="385445"/>
          <wp:effectExtent l="0" t="0" r="0" b="0"/>
          <wp:wrapNone/>
          <wp:docPr id="3"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descr=""/>
                  <pic:cNvPicPr>
                    <a:picLocks noChangeAspect="1" noChangeArrowheads="1"/>
                  </pic:cNvPicPr>
                </pic:nvPicPr>
                <pic:blipFill>
                  <a:blip r:embed="rId1"/>
                  <a:stretch>
                    <a:fillRect/>
                  </a:stretch>
                </pic:blipFill>
                <pic:spPr bwMode="auto">
                  <a:xfrm>
                    <a:off x="0" y="0"/>
                    <a:ext cx="784860" cy="385445"/>
                  </a:xfrm>
                  <a:prstGeom prst="rect">
                    <a:avLst/>
                  </a:prstGeom>
                </pic:spPr>
              </pic:pic>
            </a:graphicData>
          </a:graphic>
        </wp:anchor>
      </w:drawing>
    </w:r>
    <w:r>
      <mc:AlternateContent>
        <mc:Choice Requires="wps">
          <w:drawing>
            <wp:anchor behindDoc="0" distT="0" distB="0" distL="0" distR="0" simplePos="0" locked="0" layoutInCell="1" allowOverlap="1" relativeHeight="5">
              <wp:simplePos x="0" y="0"/>
              <wp:positionH relativeFrom="margin">
                <wp:align>right</wp:align>
              </wp:positionH>
              <wp:positionV relativeFrom="paragraph">
                <wp:posOffset>635</wp:posOffset>
              </wp:positionV>
              <wp:extent cx="76835" cy="175260"/>
              <wp:effectExtent l="0" t="0" r="0" b="0"/>
              <wp:wrapSquare wrapText="largest"/>
              <wp:docPr id="4" name="Frame1"/>
              <a:graphic xmlns:a="http://schemas.openxmlformats.org/drawingml/2006/main">
                <a:graphicData uri="http://schemas.microsoft.com/office/word/2010/wordprocessingShape">
                  <wps:wsp>
                    <wps:cNvSpPr txBox="1"/>
                    <wps:spPr>
                      <a:xfrm>
                        <a:off x="0" y="0"/>
                        <a:ext cx="76835" cy="175260"/>
                      </a:xfrm>
                      <a:prstGeom prst="rect"/>
                      <a:solidFill>
                        <a:srgbClr val="FFFFFF">
                          <a:alpha val="0"/>
                        </a:srgbClr>
                      </a:solidFill>
                    </wps:spPr>
                    <wps:txbx>
                      <w:txbxContent>
                        <w:p>
                          <w:pPr>
                            <w:pStyle w:val="Footer"/>
                            <w:rPr>
                              <w:rStyle w:val="PageNumber"/>
                            </w:rPr>
                          </w:pPr>
                          <w:r>
                            <w:rPr>
                              <w:rStyle w:val="PageNumber"/>
                            </w:rPr>
                            <w:fldChar w:fldCharType="begin"/>
                          </w:r>
                          <w:r>
                            <w:instrText> PAGE </w:instrText>
                          </w:r>
                          <w:r>
                            <w:fldChar w:fldCharType="separate"/>
                          </w:r>
                          <w:r>
                            <w:t>4</w:t>
                          </w:r>
                          <w:r>
                            <w:fldChar w:fldCharType="end"/>
                          </w:r>
                        </w:p>
                      </w:txbxContent>
                    </wps:txbx>
                    <wps:bodyPr anchor="t">
                      <a:noAutofit/>
                    </wps:bodyPr>
                  </wps:wsp>
                </a:graphicData>
              </a:graphic>
            </wp:anchor>
          </w:drawing>
        </mc:Choice>
        <mc:Fallback>
          <w:pict>
            <v:rect fillcolor="#FFFFFF" style="position:absolute;rotation:0;width:6.05pt;height:13.8pt;margin-top:0.05pt;mso-position-vertical-relative:text;margin-left:447.45pt;mso-position-horizontal:right;mso-position-horizontal-relative:margin">
              <v:fill opacity="0f"/>
              <v:textbox>
                <w:txbxContent>
                  <w:p>
                    <w:pPr>
                      <w:pStyle w:val="Footer"/>
                      <w:rPr>
                        <w:rStyle w:val="PageNumber"/>
                      </w:rPr>
                    </w:pPr>
                    <w:r>
                      <w:rPr>
                        <w:rStyle w:val="PageNumber"/>
                      </w:rPr>
                      <w:fldChar w:fldCharType="begin"/>
                    </w:r>
                    <w:r>
                      <w:instrText> PAGE </w:instrText>
                    </w:r>
                    <w:r>
                      <w:fldChar w:fldCharType="separate"/>
                    </w:r>
                    <w:r>
                      <w:t>4</w:t>
                    </w:r>
                    <w:r>
                      <w:fldChar w:fldCharType="end"/>
                    </w:r>
                  </w:p>
                </w:txbxContent>
              </v:textbox>
              <w10:wrap type="square" side="largest"/>
            </v:rect>
          </w:pict>
        </mc:Fallback>
      </mc:AlternateContent>
    </w:r>
  </w:p>
  <w:tbl>
    <w:tblPr>
      <w:tblW w:w="9009" w:type="dxa"/>
      <w:jc w:val="left"/>
      <w:tblInd w:w="108" w:type="dxa"/>
      <w:tblBorders/>
      <w:tblCellMar>
        <w:top w:w="0" w:type="dxa"/>
        <w:left w:w="108" w:type="dxa"/>
        <w:bottom w:w="0" w:type="dxa"/>
        <w:right w:w="108" w:type="dxa"/>
      </w:tblCellMar>
    </w:tblPr>
    <w:tblGrid>
      <w:gridCol w:w="2635"/>
      <w:gridCol w:w="2994"/>
      <w:gridCol w:w="3380"/>
    </w:tblGrid>
    <w:tr>
      <w:trPr>
        <w:trHeight w:val="1192" w:hRule="atLeast"/>
      </w:trPr>
      <w:tc>
        <w:tcPr>
          <w:tcW w:w="2635" w:type="dxa"/>
          <w:tcBorders/>
          <w:shd w:fill="auto" w:val="clear"/>
        </w:tcPr>
        <w:p>
          <w:pPr>
            <w:pStyle w:val="Footer"/>
            <w:tabs>
              <w:tab w:val="left" w:pos="3600" w:leader="none"/>
              <w:tab w:val="left" w:pos="5760" w:leader="none"/>
            </w:tabs>
            <w:rPr>
              <w:rFonts w:ascii="Arial Narrow" w:hAnsi="Arial Narrow" w:cs="Arial Narrow"/>
              <w:sz w:val="14"/>
            </w:rPr>
          </w:pPr>
          <w:r>
            <w:rPr>
              <w:rFonts w:cs="Arial Narrow" w:ascii="Arial Narrow" w:hAnsi="Arial Narrow"/>
              <w:b/>
              <w:bCs/>
              <w:sz w:val="14"/>
            </w:rPr>
            <w:t>RENOLIT</w:t>
          </w:r>
          <w:r>
            <w:rPr>
              <w:rFonts w:cs="Arial Narrow" w:ascii="Arial Narrow" w:hAnsi="Arial Narrow"/>
              <w:b/>
              <w:sz w:val="14"/>
            </w:rPr>
            <w:t xml:space="preserve"> France </w:t>
            <w:br/>
          </w:r>
          <w:r>
            <w:rPr>
              <w:rFonts w:cs="Arial Narrow" w:ascii="Arial Narrow" w:hAnsi="Arial Narrow"/>
              <w:sz w:val="14"/>
            </w:rPr>
            <w:t>Roissypôle - Le Dôme</w:t>
            <w:br/>
            <w:t>5 Rue de la Haye</w:t>
          </w:r>
        </w:p>
        <w:p>
          <w:pPr>
            <w:pStyle w:val="Footer"/>
            <w:tabs>
              <w:tab w:val="left" w:pos="3600" w:leader="none"/>
              <w:tab w:val="left" w:pos="5760" w:leader="none"/>
            </w:tabs>
            <w:rPr/>
          </w:pPr>
          <w:r>
            <w:rPr>
              <w:rFonts w:cs="Arial Narrow" w:ascii="Arial Narrow" w:hAnsi="Arial Narrow"/>
              <w:sz w:val="14"/>
            </w:rPr>
            <w:t>CS 13943 Tremblay en France</w:t>
            <w:br/>
            <w:t>95733 Roissy CDG cedex – France</w:t>
          </w:r>
        </w:p>
        <w:p>
          <w:pPr>
            <w:pStyle w:val="Footer"/>
            <w:tabs>
              <w:tab w:val="left" w:pos="3600" w:leader="none"/>
              <w:tab w:val="left" w:pos="5760" w:leader="none"/>
            </w:tabs>
            <w:rPr>
              <w:rFonts w:ascii="Arial" w:hAnsi="Arial" w:cs="Arial"/>
              <w:b/>
              <w:b/>
              <w:sz w:val="16"/>
              <w:szCs w:val="16"/>
              <w:lang w:val="fi-FI"/>
            </w:rPr>
          </w:pPr>
          <w:r>
            <w:rPr>
              <w:rFonts w:cs="Arial Narrow" w:ascii="Arial Narrow" w:hAnsi="Arial Narrow"/>
              <w:sz w:val="8"/>
              <w:szCs w:val="8"/>
            </w:rPr>
            <w:br/>
          </w:r>
          <w:r>
            <w:rPr>
              <w:rFonts w:cs="Arial Narrow" w:ascii="Arial Narrow" w:hAnsi="Arial Narrow"/>
              <w:b/>
              <w:sz w:val="14"/>
            </w:rPr>
            <w:t>Tel. : 01 41 84 30 10   Fax 01 49 47 07 39</w:t>
          </w:r>
        </w:p>
      </w:tc>
      <w:tc>
        <w:tcPr>
          <w:tcW w:w="2994" w:type="dxa"/>
          <w:tcBorders/>
          <w:shd w:fill="auto" w:val="clear"/>
        </w:tcPr>
        <w:p>
          <w:pPr>
            <w:pStyle w:val="Footer"/>
            <w:spacing w:lineRule="exact" w:line="200"/>
            <w:rPr>
              <w:rFonts w:ascii="Arial Narrow" w:hAnsi="Arial Narrow" w:cs="Arial Narrow"/>
              <w:sz w:val="14"/>
            </w:rPr>
          </w:pPr>
          <w:r>
            <w:rPr>
              <w:rFonts w:cs="Arial Narrow" w:ascii="Arial Narrow" w:hAnsi="Arial Narrow"/>
              <w:b/>
              <w:sz w:val="14"/>
            </w:rPr>
            <w:t>Domiciliation:</w:t>
          </w:r>
          <w:r>
            <w:rPr>
              <w:rFonts w:cs="Arial Narrow" w:ascii="Arial Narrow" w:hAnsi="Arial Narrow"/>
              <w:sz w:val="14"/>
            </w:rPr>
            <w:br/>
            <w:t>DEUTSCHE BANK</w:t>
            <w:br/>
            <w:t>17789 00001 10510385000 36</w:t>
          </w:r>
        </w:p>
        <w:p>
          <w:pPr>
            <w:pStyle w:val="Footer"/>
            <w:tabs>
              <w:tab w:val="left" w:pos="3600" w:leader="none"/>
              <w:tab w:val="left" w:pos="5760" w:leader="none"/>
            </w:tabs>
            <w:rPr>
              <w:rFonts w:ascii="Arial" w:hAnsi="Arial" w:cs="Arial"/>
              <w:sz w:val="16"/>
              <w:szCs w:val="16"/>
              <w:lang w:val="fi-FI"/>
            </w:rPr>
          </w:pPr>
          <w:r>
            <w:rPr>
              <w:rFonts w:cs="Arial Narrow" w:ascii="Arial Narrow" w:hAnsi="Arial Narrow"/>
              <w:sz w:val="14"/>
              <w:lang w:val="en-GB"/>
            </w:rPr>
            <w:t>IBAN FR76 1778 9000 0110 5103 8500 036</w:t>
            <w:br/>
            <w:t>SWIFT DEUTFRPP</w:t>
          </w:r>
        </w:p>
      </w:tc>
      <w:tc>
        <w:tcPr>
          <w:tcW w:w="3380" w:type="dxa"/>
          <w:tcBorders/>
          <w:shd w:fill="auto" w:val="clear"/>
        </w:tcPr>
        <w:p>
          <w:pPr>
            <w:pStyle w:val="Footer"/>
            <w:spacing w:lineRule="exact" w:line="200"/>
            <w:ind w:left="142" w:right="85" w:hanging="0"/>
            <w:rPr>
              <w:rFonts w:ascii="Arial Narrow" w:hAnsi="Arial Narrow" w:cs="Arial Narrow"/>
              <w:sz w:val="14"/>
            </w:rPr>
          </w:pPr>
          <w:r>
            <w:rPr>
              <w:rFonts w:cs="Arial Narrow" w:ascii="Arial Narrow" w:hAnsi="Arial Narrow"/>
              <w:sz w:val="14"/>
            </w:rPr>
            <w:t>SASU au capital de 2 000 000 €</w:t>
          </w:r>
        </w:p>
        <w:p>
          <w:pPr>
            <w:pStyle w:val="Footer"/>
            <w:spacing w:lineRule="exact" w:line="200"/>
            <w:ind w:left="142" w:hanging="0"/>
            <w:rPr>
              <w:rFonts w:ascii="Arial Narrow" w:hAnsi="Arial Narrow" w:cs="Arial Narrow"/>
              <w:sz w:val="14"/>
            </w:rPr>
          </w:pPr>
          <w:r>
            <w:rPr>
              <w:rFonts w:cs="Arial Narrow" w:ascii="Arial Narrow" w:hAnsi="Arial Narrow"/>
              <w:sz w:val="14"/>
            </w:rPr>
            <w:t>RCS Bobigny</w:t>
          </w:r>
        </w:p>
        <w:p>
          <w:pPr>
            <w:pStyle w:val="Footer"/>
            <w:spacing w:lineRule="exact" w:line="200"/>
            <w:ind w:left="142" w:hanging="0"/>
            <w:rPr>
              <w:rFonts w:ascii="Arial Narrow" w:hAnsi="Arial Narrow" w:cs="Arial Narrow"/>
              <w:sz w:val="14"/>
              <w:lang w:val="pt-BR"/>
            </w:rPr>
          </w:pPr>
          <w:r>
            <w:rPr>
              <w:rFonts w:cs="Arial Narrow" w:ascii="Arial Narrow" w:hAnsi="Arial Narrow"/>
              <w:sz w:val="14"/>
              <w:lang w:val="pt-BR"/>
            </w:rPr>
            <w:t>N° TVA: FR62592039549</w:t>
          </w:r>
        </w:p>
        <w:p>
          <w:pPr>
            <w:pStyle w:val="Footer"/>
            <w:spacing w:lineRule="exact" w:line="200"/>
            <w:ind w:left="142" w:hanging="0"/>
            <w:rPr>
              <w:rFonts w:ascii="Arial Narrow" w:hAnsi="Arial Narrow" w:cs="Arial Narrow"/>
              <w:sz w:val="14"/>
              <w:lang w:val="pt-BR"/>
            </w:rPr>
          </w:pPr>
          <w:r>
            <w:rPr>
              <w:rFonts w:cs="Arial Narrow" w:ascii="Arial Narrow" w:hAnsi="Arial Narrow"/>
              <w:sz w:val="14"/>
              <w:lang w:val="pt-BR"/>
            </w:rPr>
            <w:t>Siret 592 039 549 00049</w:t>
          </w:r>
        </w:p>
        <w:p>
          <w:pPr>
            <w:pStyle w:val="Footer"/>
            <w:spacing w:lineRule="exact" w:line="200"/>
            <w:ind w:left="142" w:hanging="0"/>
            <w:rPr>
              <w:rFonts w:ascii="Arial Narrow" w:hAnsi="Arial Narrow" w:cs="Arial Narrow"/>
              <w:b/>
              <w:b/>
              <w:sz w:val="14"/>
              <w:lang w:val="pt-BR"/>
            </w:rPr>
          </w:pPr>
          <w:r>
            <w:rPr>
              <w:rFonts w:cs="Arial Narrow" w:ascii="Arial Narrow" w:hAnsi="Arial Narrow"/>
              <w:b/>
              <w:sz w:val="14"/>
              <w:lang w:val="pt-BR"/>
            </w:rPr>
            <w:t xml:space="preserve">www.renolit .com </w:t>
          </w:r>
        </w:p>
      </w:tc>
    </w:tr>
  </w:tbl>
  <w:p>
    <w:pPr>
      <w:pStyle w:val="Footer"/>
      <w:tabs>
        <w:tab w:val="left" w:pos="3600" w:leader="none"/>
        <w:tab w:val="left" w:pos="5760" w:leader="none"/>
      </w:tabs>
      <w:rPr>
        <w:rFonts w:ascii="Arial" w:hAnsi="Arial" w:cs="Arial"/>
        <w:sz w:val="16"/>
        <w:szCs w:val="16"/>
        <w:lang w:val="fi-FI"/>
      </w:rPr>
    </w:pPr>
    <w:r>
      <w:rPr>
        <w:rFonts w:cs="Arial" w:ascii="Arial" w:hAnsi="Arial"/>
        <w:sz w:val="16"/>
        <w:szCs w:val="16"/>
        <w:lang w:val="fi-FI"/>
      </w:rPr>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rFonts w:ascii="Arial" w:hAnsi="Arial" w:cs="Arial"/>
        <w:sz w:val="26"/>
        <w:szCs w:val="26"/>
      </w:rPr>
    </w:pPr>
    <w:r>
      <w:rPr>
        <w:rFonts w:cs="Arial" w:ascii="Arial" w:hAnsi="Arial"/>
        <w:sz w:val="26"/>
        <w:szCs w:val="26"/>
      </w:rPr>
    </w:r>
  </w:p>
  <w:p>
    <w:pPr>
      <w:pStyle w:val="Normal"/>
      <w:rPr>
        <w:rFonts w:ascii="Arial" w:hAnsi="Arial" w:cs="Arial"/>
        <w:sz w:val="26"/>
        <w:szCs w:val="26"/>
      </w:rPr>
    </w:pPr>
    <w:r>
      <w:rPr>
        <w:rFonts w:cs="Arial" w:ascii="Arial" w:hAnsi="Arial"/>
        <w:sz w:val="26"/>
        <w:szCs w:val="26"/>
      </w:rPr>
    </w:r>
  </w:p>
  <w:p>
    <w:pPr>
      <w:pStyle w:val="Normal"/>
      <w:ind w:left="-567" w:hanging="0"/>
      <w:rPr/>
    </w:pPr>
    <w:r>
      <w:rPr>
        <w:rFonts w:cs="Arial" w:ascii="Arial" w:hAnsi="Arial"/>
        <w:b/>
        <w:sz w:val="26"/>
        <w:szCs w:val="26"/>
      </w:rPr>
      <w:t>RENOLIT</w:t>
    </w:r>
    <w:r>
      <w:rPr>
        <w:rFonts w:cs="Arial" w:ascii="Arial" w:hAnsi="Arial"/>
        <w:sz w:val="26"/>
        <w:szCs w:val="26"/>
      </w:rPr>
      <w:t xml:space="preserve"> France</w:t>
    </w:r>
  </w:p>
  <w:p>
    <w:pPr>
      <w:pStyle w:val="Normal"/>
      <w:tabs>
        <w:tab w:val="right" w:pos="8505" w:leader="none"/>
      </w:tabs>
      <w:rPr>
        <w:rFonts w:ascii="Arial" w:hAnsi="Arial" w:cs="Arial"/>
        <w:sz w:val="26"/>
        <w:szCs w:val="26"/>
      </w:rPr>
    </w:pPr>
    <w:r>
      <w:rPr>
        <w:rFonts w:cs="Arial" w:ascii="Arial" w:hAnsi="Arial"/>
        <w:sz w:val="26"/>
        <w:szCs w:val="26"/>
      </w:rPr>
      <w:tab/>
    </w:r>
    <w:r>
      <w:rPr>
        <w:rFonts w:cs="Arial" w:ascii="Arial" w:hAnsi="Arial"/>
        <w:b/>
        <w:sz w:val="26"/>
        <w:szCs w:val="26"/>
        <w:lang w:val="en-GB" w:eastAsia="en-GB"/>
      </w:rPr>
      <w:drawing>
        <wp:inline distT="0" distB="0" distL="0" distR="0">
          <wp:extent cx="755650" cy="1134110"/>
          <wp:effectExtent l="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1"/>
                  <a:stretch>
                    <a:fillRect/>
                  </a:stretch>
                </pic:blipFill>
                <pic:spPr bwMode="auto">
                  <a:xfrm>
                    <a:off x="0" y="0"/>
                    <a:ext cx="755650" cy="1134110"/>
                  </a:xfrm>
                  <a:prstGeom prst="rect">
                    <a:avLst/>
                  </a:prstGeom>
                </pic:spPr>
              </pic:pic>
            </a:graphicData>
          </a:graphic>
        </wp:inline>
      </w:drawing>
    </w:r>
  </w:p>
  <w:p>
    <w:pPr>
      <w:pStyle w:val="Header"/>
      <w:rPr>
        <w:rFonts w:ascii="Arial" w:hAnsi="Arial" w:cs="Arial"/>
        <w:sz w:val="26"/>
        <w:szCs w:val="26"/>
      </w:rPr>
    </w:pPr>
    <w:r>
      <w:rPr>
        <w:rFonts w:cs="Arial" w:ascii="Arial" w:hAnsi="Arial"/>
        <w:sz w:val="26"/>
        <w:szCs w:val="26"/>
      </w:rPr>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numFmt w:val="bullet"/>
      <w:lvlText w:val="-"/>
      <w:lvlJc w:val="left"/>
      <w:pPr>
        <w:ind w:left="720" w:hanging="360"/>
      </w:pPr>
      <w:rPr>
        <w:rFonts w:ascii="Tahoma" w:hAnsi="Tahoma" w:cs="Tahoma" w:hint="default"/>
        <w:sz w:val="22"/>
        <w:szCs w:val="22"/>
        <w:rFonts w:cs="Tahoma"/>
        <w:lang w:val="fr-FR"/>
      </w:r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GB"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0"/>
      <w:lang w:val="fr-FR" w:bidi="ar-SA" w:eastAsia="zh-CN"/>
    </w:rPr>
  </w:style>
  <w:style w:type="paragraph" w:styleId="Heading4">
    <w:name w:val="Heading 4"/>
    <w:basedOn w:val="Normal"/>
    <w:next w:val="Normal"/>
    <w:qFormat/>
    <w:pPr>
      <w:keepNext/>
      <w:numPr>
        <w:ilvl w:val="3"/>
        <w:numId w:val="1"/>
      </w:numPr>
      <w:outlineLvl w:val="3"/>
      <w:outlineLvl w:val="3"/>
    </w:pPr>
    <w:rPr>
      <w:rFonts w:ascii="Arial" w:hAnsi="Arial" w:cs="Arial"/>
      <w:sz w:val="22"/>
      <w:u w:val="single"/>
    </w:rPr>
  </w:style>
  <w:style w:type="character" w:styleId="WW8Num1z0">
    <w:name w:val="WW8Num1z0"/>
    <w:qFormat/>
    <w:rPr>
      <w:rFonts w:ascii="Wingdings" w:hAnsi="Wingdings" w:cs="Wingdings"/>
    </w:rPr>
  </w:style>
  <w:style w:type="character" w:styleId="WW8Num1z1">
    <w:name w:val="WW8Num1z1"/>
    <w:qFormat/>
    <w:rPr>
      <w:rFonts w:ascii="Courier New" w:hAnsi="Courier New" w:cs="Courier New"/>
    </w:rPr>
  </w:style>
  <w:style w:type="character" w:styleId="WW8Num1z3">
    <w:name w:val="WW8Num1z3"/>
    <w:qFormat/>
    <w:rPr>
      <w:rFonts w:ascii="Symbol" w:hAnsi="Symbol" w:cs="Symbol"/>
    </w:rPr>
  </w:style>
  <w:style w:type="character" w:styleId="WW8Num2z0">
    <w:name w:val="WW8Num2z0"/>
    <w:qFormat/>
    <w:rPr>
      <w:rFonts w:ascii="Times New Roman" w:hAnsi="Times New Roman" w:eastAsia="Times New Roman" w:cs="Times New Roman"/>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rFonts w:ascii="Wingdings" w:hAnsi="Wingdings" w:cs="Wingdings"/>
    </w:rPr>
  </w:style>
  <w:style w:type="character" w:styleId="WW8Num3z1">
    <w:name w:val="WW8Num3z1"/>
    <w:qFormat/>
    <w:rPr>
      <w:rFonts w:ascii="Courier New" w:hAnsi="Courier New" w:cs="Courier New"/>
    </w:rPr>
  </w:style>
  <w:style w:type="character" w:styleId="WW8Num3z3">
    <w:name w:val="WW8Num3z3"/>
    <w:qFormat/>
    <w:rPr>
      <w:rFonts w:ascii="Symbol" w:hAnsi="Symbol" w:cs="Symbol"/>
    </w:rPr>
  </w:style>
  <w:style w:type="character" w:styleId="WW8Num4z0">
    <w:name w:val="WW8Num4z0"/>
    <w:qFormat/>
    <w:rPr>
      <w:rFonts w:ascii="Wingdings" w:hAnsi="Wingdings" w:cs="Wingdings"/>
    </w:rPr>
  </w:style>
  <w:style w:type="character" w:styleId="WW8Num4z1">
    <w:name w:val="WW8Num4z1"/>
    <w:qFormat/>
    <w:rPr>
      <w:rFonts w:ascii="Courier New" w:hAnsi="Courier New" w:cs="Courier New"/>
    </w:rPr>
  </w:style>
  <w:style w:type="character" w:styleId="WW8Num4z3">
    <w:name w:val="WW8Num4z3"/>
    <w:qFormat/>
    <w:rPr>
      <w:rFonts w:ascii="Symbol" w:hAnsi="Symbol" w:cs="Symbol"/>
    </w:rPr>
  </w:style>
  <w:style w:type="character" w:styleId="WW8Num5z0">
    <w:name w:val="WW8Num5z0"/>
    <w:qFormat/>
    <w:rPr>
      <w:rFonts w:ascii="Wingdings" w:hAnsi="Wingdings" w:cs="Wingdings"/>
    </w:rPr>
  </w:style>
  <w:style w:type="character" w:styleId="WW8Num5z1">
    <w:name w:val="WW8Num5z1"/>
    <w:qFormat/>
    <w:rPr>
      <w:rFonts w:ascii="Courier New" w:hAnsi="Courier New" w:cs="Courier New"/>
    </w:rPr>
  </w:style>
  <w:style w:type="character" w:styleId="WW8Num5z3">
    <w:name w:val="WW8Num5z3"/>
    <w:qFormat/>
    <w:rPr>
      <w:rFonts w:ascii="Symbol" w:hAnsi="Symbol" w:cs="Symbol"/>
    </w:rPr>
  </w:style>
  <w:style w:type="character" w:styleId="WW8Num6z0">
    <w:name w:val="WW8Num6z0"/>
    <w:qFormat/>
    <w:rPr>
      <w:rFonts w:ascii="Wingdings" w:hAnsi="Wingdings" w:cs="Wingdings"/>
    </w:rPr>
  </w:style>
  <w:style w:type="character" w:styleId="WW8Num6z1">
    <w:name w:val="WW8Num6z1"/>
    <w:qFormat/>
    <w:rPr>
      <w:rFonts w:ascii="Courier New" w:hAnsi="Courier New" w:cs="Courier New"/>
    </w:rPr>
  </w:style>
  <w:style w:type="character" w:styleId="WW8Num6z3">
    <w:name w:val="WW8Num6z3"/>
    <w:qFormat/>
    <w:rPr>
      <w:rFonts w:ascii="Symbol" w:hAnsi="Symbol" w:cs="Symbol"/>
    </w:rPr>
  </w:style>
  <w:style w:type="character" w:styleId="WW8Num7z0">
    <w:name w:val="WW8Num7z0"/>
    <w:qFormat/>
    <w:rPr>
      <w:rFonts w:ascii="Wingdings" w:hAnsi="Wingdings" w:cs="Wingdings"/>
    </w:rPr>
  </w:style>
  <w:style w:type="character" w:styleId="WW8Num7z1">
    <w:name w:val="WW8Num7z1"/>
    <w:qFormat/>
    <w:rPr>
      <w:rFonts w:ascii="Courier New" w:hAnsi="Courier New" w:cs="Courier New"/>
    </w:rPr>
  </w:style>
  <w:style w:type="character" w:styleId="WW8Num7z3">
    <w:name w:val="WW8Num7z3"/>
    <w:qFormat/>
    <w:rPr>
      <w:rFonts w:ascii="Symbol" w:hAnsi="Symbol" w:cs="Symbol"/>
    </w:rPr>
  </w:style>
  <w:style w:type="character" w:styleId="WW8Num8z0">
    <w:name w:val="WW8Num8z0"/>
    <w:qFormat/>
    <w:rPr>
      <w:rFonts w:ascii="Wingdings" w:hAnsi="Wingdings" w:cs="Wingdings"/>
    </w:rPr>
  </w:style>
  <w:style w:type="character" w:styleId="WW8Num8z1">
    <w:name w:val="WW8Num8z1"/>
    <w:qFormat/>
    <w:rPr>
      <w:rFonts w:ascii="Courier New" w:hAnsi="Courier New" w:cs="Courier New"/>
    </w:rPr>
  </w:style>
  <w:style w:type="character" w:styleId="WW8Num8z3">
    <w:name w:val="WW8Num8z3"/>
    <w:qFormat/>
    <w:rPr>
      <w:rFonts w:ascii="Symbol" w:hAnsi="Symbol" w:cs="Symbol"/>
    </w:rPr>
  </w:style>
  <w:style w:type="character" w:styleId="WW8Num9z0">
    <w:name w:val="WW8Num9z0"/>
    <w:qFormat/>
    <w:rPr>
      <w:rFonts w:ascii="Times New Roman" w:hAnsi="Times New Roman" w:eastAsia="Times New Roman" w:cs="Times New Roman"/>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Wingdings" w:hAnsi="Wingdings" w:cs="Wingdings"/>
    </w:rPr>
  </w:style>
  <w:style w:type="character" w:styleId="WW8Num11z1">
    <w:name w:val="WW8Num11z1"/>
    <w:qFormat/>
    <w:rPr>
      <w:rFonts w:ascii="Courier New" w:hAnsi="Courier New" w:cs="Courier New"/>
    </w:rPr>
  </w:style>
  <w:style w:type="character" w:styleId="WW8Num11z3">
    <w:name w:val="WW8Num11z3"/>
    <w:qFormat/>
    <w:rPr>
      <w:rFonts w:ascii="Symbol" w:hAnsi="Symbol" w:cs="Symbol"/>
    </w:rPr>
  </w:style>
  <w:style w:type="character" w:styleId="WW8Num12z0">
    <w:name w:val="WW8Num12z0"/>
    <w:qFormat/>
    <w:rPr>
      <w:rFonts w:ascii="Wingdings" w:hAnsi="Wingdings" w:cs="Wingdings"/>
    </w:rPr>
  </w:style>
  <w:style w:type="character" w:styleId="WW8Num12z1">
    <w:name w:val="WW8Num12z1"/>
    <w:qFormat/>
    <w:rPr>
      <w:rFonts w:ascii="Courier New" w:hAnsi="Courier New" w:cs="Courier New"/>
    </w:rPr>
  </w:style>
  <w:style w:type="character" w:styleId="WW8Num12z3">
    <w:name w:val="WW8Num12z3"/>
    <w:qFormat/>
    <w:rPr>
      <w:rFonts w:ascii="Symbol" w:hAnsi="Symbol" w:cs="Symbol"/>
    </w:rPr>
  </w:style>
  <w:style w:type="character" w:styleId="WW8Num13z0">
    <w:name w:val="WW8Num13z0"/>
    <w:qFormat/>
    <w:rPr>
      <w:rFonts w:ascii="Times New Roman" w:hAnsi="Times New Roman" w:eastAsia="Times New Roman" w:cs="Times New Roman"/>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WW8Num14z0">
    <w:name w:val="WW8Num14z0"/>
    <w:qFormat/>
    <w:rPr>
      <w:rFonts w:ascii="Tahoma" w:hAnsi="Tahoma" w:eastAsia="SimSun;宋体" w:cs="Tahoma"/>
      <w:sz w:val="22"/>
      <w:szCs w:val="22"/>
      <w:lang w:val="fr-FR"/>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4z3">
    <w:name w:val="WW8Num14z3"/>
    <w:qFormat/>
    <w:rPr>
      <w:rFonts w:ascii="Symbol" w:hAnsi="Symbol" w:cs="Symbol"/>
    </w:rPr>
  </w:style>
  <w:style w:type="character" w:styleId="Policepardfaut">
    <w:name w:val="Police par défaut"/>
    <w:qFormat/>
    <w:rPr/>
  </w:style>
  <w:style w:type="character" w:styleId="InternetLink">
    <w:name w:val="Internet Link"/>
    <w:rPr>
      <w:color w:val="0000FF"/>
      <w:u w:val="single"/>
    </w:rPr>
  </w:style>
  <w:style w:type="character" w:styleId="Titre4Car">
    <w:name w:val="Titre 4 Car"/>
    <w:qFormat/>
    <w:rPr>
      <w:rFonts w:ascii="Arial" w:hAnsi="Arial" w:cs="Arial"/>
      <w:sz w:val="22"/>
      <w:u w:val="single"/>
      <w:lang w:val="fr-FR" w:bidi="ar-SA"/>
    </w:rPr>
  </w:style>
  <w:style w:type="character" w:styleId="CorpsdetexteCar">
    <w:name w:val="Corps de texte Car"/>
    <w:qFormat/>
    <w:rPr>
      <w:rFonts w:ascii="Arial Narrow" w:hAnsi="Arial Narrow" w:cs="Arial Narrow"/>
      <w:b/>
      <w:sz w:val="24"/>
      <w:lang w:val="fr-FR" w:bidi="ar-SA"/>
    </w:rPr>
  </w:style>
  <w:style w:type="character" w:styleId="PageNumber">
    <w:name w:val="Page Number"/>
    <w:basedOn w:val="Policepardfaut"/>
    <w:rPr/>
  </w:style>
  <w:style w:type="character" w:styleId="PieddepageCar">
    <w:name w:val="Pied de page Car"/>
    <w:qFormat/>
    <w:rPr>
      <w:rFonts w:eastAsia="Times New Roman"/>
      <w:sz w:val="24"/>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spacing w:lineRule="exact" w:line="240"/>
    </w:pPr>
    <w:rPr>
      <w:rFonts w:ascii="Arial Narrow" w:hAnsi="Arial Narrow" w:cs="Arial Narrow"/>
      <w:b/>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Footer">
    <w:name w:val="Footer"/>
    <w:basedOn w:val="Normal"/>
    <w:pPr>
      <w:tabs>
        <w:tab w:val="center" w:pos="4320" w:leader="none"/>
        <w:tab w:val="right" w:pos="8640" w:leader="none"/>
      </w:tabs>
    </w:pPr>
    <w:rPr/>
  </w:style>
  <w:style w:type="paragraph" w:styleId="Header">
    <w:name w:val="Header"/>
    <w:basedOn w:val="Normal"/>
    <w:pPr>
      <w:tabs>
        <w:tab w:val="center" w:pos="4320" w:leader="none"/>
        <w:tab w:val="right" w:pos="8640" w:leader="none"/>
      </w:tabs>
    </w:pPr>
    <w:rPr/>
  </w:style>
  <w:style w:type="paragraph" w:styleId="Textedebulles">
    <w:name w:val="Texte de bulles"/>
    <w:basedOn w:val="Normal"/>
    <w:qFormat/>
    <w:pPr/>
    <w:rPr>
      <w:rFonts w:ascii="Tahoma" w:hAnsi="Tahoma" w:cs="Tahoma"/>
      <w:sz w:val="16"/>
      <w:szCs w:val="16"/>
    </w:rPr>
  </w:style>
  <w:style w:type="paragraph" w:styleId="NormalWeb">
    <w:name w:val="Normal (Web)"/>
    <w:basedOn w:val="Normal"/>
    <w:qFormat/>
    <w:pPr>
      <w:spacing w:before="280" w:after="280"/>
    </w:pPr>
    <w:rPr>
      <w:szCs w:val="24"/>
    </w:rPr>
  </w:style>
  <w:style w:type="paragraph" w:styleId="Textebrut">
    <w:name w:val="Texte brut"/>
    <w:basedOn w:val="Normal"/>
    <w:qFormat/>
    <w:pPr/>
    <w:rPr>
      <w:rFonts w:ascii="Verdana" w:hAnsi="Verdana" w:cs="Verdana"/>
      <w:sz w:val="20"/>
    </w:rPr>
  </w:style>
  <w:style w:type="paragraph" w:styleId="Paragraphedeliste">
    <w:name w:val="Paragraphe de liste"/>
    <w:basedOn w:val="Normal"/>
    <w:qFormat/>
    <w:pPr>
      <w:spacing w:before="0" w:after="0"/>
      <w:ind w:left="720" w:hanging="0"/>
      <w:contextualSpacing/>
    </w:pPr>
    <w:rPr>
      <w:rFonts w:eastAsia="SimSun;宋体"/>
      <w:szCs w:val="24"/>
      <w:lang w:val="en-US"/>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 w:type="numbering" w:styleId="WW8Num13">
    <w:name w:val="WW8Num13"/>
  </w:style>
  <w:style w:type="numbering" w:styleId="WW8Num14">
    <w:name w:val="WW8Num14"/>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Normal.dotm</Template>
  <TotalTime>10</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2020-01-14T17:23:00Z</dcterms:created>
  <dc:language>en-GB</dc:language>
  <cp:lastPrinted>2019-12-17T11:01:00Z</cp:lastPrinted>
  <dcterms:modified xsi:type="dcterms:W3CDTF">2020-01-14T17:32:00Z</dcterms:modified>
  <cp:revision>3</cp:revision>
  <dc:title>RENOLIT France -  BP10943, 95733 ROISSY CDG cedex</dc:title>
</cp:coreProperties>
</file>