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jc w:val="both"/>
        <w:rPr>
          <w:rFonts w:ascii="Calibri" w:hAnsi="Calibri" w:cs="Calibri"/>
          <w:b/>
          <w:b/>
          <w:sz w:val="22"/>
          <w:szCs w:val="22"/>
          <w:lang w:val="en-GB" w:eastAsia="en-GB"/>
        </w:rPr>
      </w:pPr>
      <w:r>
        <w:rPr>
          <w:rFonts w:cs="Calibri" w:ascii="Calibri" w:hAnsi="Calibri"/>
          <w:b/>
          <w:sz w:val="22"/>
          <w:szCs w:val="22"/>
          <w:lang w:val="en-GB" w:eastAsia="en-GB"/>
        </w:rPr>
        <w:drawing>
          <wp:anchor behindDoc="1" distT="0" distB="0" distL="114935" distR="114935" simplePos="0" locked="0" layoutInCell="1" allowOverlap="1" relativeHeight="2">
            <wp:simplePos x="0" y="0"/>
            <wp:positionH relativeFrom="page">
              <wp:posOffset>0</wp:posOffset>
            </wp:positionH>
            <wp:positionV relativeFrom="page">
              <wp:posOffset>-90170</wp:posOffset>
            </wp:positionV>
            <wp:extent cx="7560310" cy="3656330"/>
            <wp:effectExtent l="0" t="0" r="0" b="0"/>
            <wp:wrapNone/>
            <wp:docPr id="1"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
                    <pic:cNvPicPr>
                      <a:picLocks noChangeAspect="1" noChangeArrowheads="1"/>
                    </pic:cNvPicPr>
                  </pic:nvPicPr>
                  <pic:blipFill>
                    <a:blip r:embed="rId2"/>
                    <a:stretch>
                      <a:fillRect/>
                    </a:stretch>
                  </pic:blipFill>
                  <pic:spPr bwMode="auto">
                    <a:xfrm>
                      <a:off x="0" y="0"/>
                      <a:ext cx="7560310" cy="3656330"/>
                    </a:xfrm>
                    <a:prstGeom prst="rect">
                      <a:avLst/>
                    </a:prstGeom>
                  </pic:spPr>
                </pic:pic>
              </a:graphicData>
            </a:graphic>
          </wp:anchor>
        </w:drawing>
      </w:r>
    </w:p>
    <w:p>
      <w:pPr>
        <w:pStyle w:val="Normal"/>
        <w:autoSpaceDE w:val="false"/>
        <w:jc w:val="both"/>
        <w:rPr>
          <w:rFonts w:ascii="Calibri" w:hAnsi="Calibri" w:cs="Calibri"/>
          <w:b/>
          <w:b/>
          <w:sz w:val="22"/>
          <w:szCs w:val="22"/>
        </w:rPr>
      </w:pPr>
      <w:r>
        <w:rPr>
          <w:rFonts w:cs="Calibri" w:ascii="Calibri" w:hAnsi="Calibri"/>
          <w:b/>
          <w:sz w:val="22"/>
          <w:szCs w:val="22"/>
        </w:rPr>
      </w:r>
    </w:p>
    <w:p>
      <w:pPr>
        <w:pStyle w:val="Normal"/>
        <w:autoSpaceDE w:val="false"/>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sz w:val="22"/>
          <w:szCs w:val="22"/>
        </w:rPr>
      </w:pPr>
      <w:r>
        <w:rPr>
          <w:rFonts w:cs="Calibri" w:ascii="Calibri" w:hAnsi="Calibri"/>
          <w:sz w:val="22"/>
          <w:szCs w:val="22"/>
        </w:rPr>
      </w:r>
    </w:p>
    <w:p>
      <w:pPr>
        <w:pStyle w:val="Heading4"/>
        <w:numPr>
          <w:ilvl w:val="3"/>
          <w:numId w:val="1"/>
        </w:numPr>
        <w:pBdr>
          <w:top w:val="single" w:sz="4" w:space="1" w:color="000000"/>
          <w:left w:val="single" w:sz="4" w:space="4" w:color="000000"/>
          <w:bottom w:val="single" w:sz="4" w:space="1" w:color="000000"/>
          <w:right w:val="single" w:sz="4" w:space="4" w:color="000000"/>
        </w:pBdr>
        <w:spacing w:lineRule="auto" w:line="240"/>
        <w:jc w:val="both"/>
        <w:rPr>
          <w:rFonts w:ascii="Calibri" w:hAnsi="Calibri" w:cs="Calibri"/>
          <w:sz w:val="22"/>
          <w:szCs w:val="22"/>
        </w:rPr>
      </w:pPr>
      <w:r>
        <w:rPr>
          <w:rFonts w:cs="Calibri" w:ascii="Calibri" w:hAnsi="Calibri"/>
          <w:sz w:val="22"/>
          <w:szCs w:val="22"/>
        </w:rPr>
      </w:r>
    </w:p>
    <w:p>
      <w:pPr>
        <w:pStyle w:val="Heading4"/>
        <w:numPr>
          <w:ilvl w:val="3"/>
          <w:numId w:val="1"/>
        </w:numPr>
        <w:pBdr>
          <w:top w:val="single" w:sz="4" w:space="1" w:color="000000"/>
          <w:left w:val="single" w:sz="4" w:space="4" w:color="000000"/>
          <w:bottom w:val="single" w:sz="4" w:space="1" w:color="000000"/>
          <w:right w:val="single" w:sz="4" w:space="4" w:color="000000"/>
        </w:pBdr>
        <w:spacing w:lineRule="auto" w:line="240"/>
        <w:rPr>
          <w:rFonts w:ascii="Calibri" w:hAnsi="Calibri" w:cs="Calibri"/>
          <w:szCs w:val="22"/>
        </w:rPr>
      </w:pPr>
      <w:r>
        <w:rPr>
          <w:rFonts w:cs="Calibri" w:ascii="Calibri" w:hAnsi="Calibri"/>
          <w:szCs w:val="22"/>
        </w:rPr>
        <w:t>NEGOCIATION ANNUELLE OBLIGATOIRE 2020</w:t>
      </w:r>
    </w:p>
    <w:p>
      <w:pPr>
        <w:pStyle w:val="Heading4"/>
        <w:numPr>
          <w:ilvl w:val="3"/>
          <w:numId w:val="1"/>
        </w:numPr>
        <w:pBdr>
          <w:top w:val="single" w:sz="4" w:space="1" w:color="000000"/>
          <w:left w:val="single" w:sz="4" w:space="4" w:color="000000"/>
          <w:bottom w:val="single" w:sz="4" w:space="1" w:color="000000"/>
          <w:right w:val="single" w:sz="4" w:space="4" w:color="000000"/>
        </w:pBdr>
        <w:spacing w:lineRule="auto" w:line="240"/>
        <w:jc w:val="both"/>
        <w:rPr>
          <w:rFonts w:ascii="Calibri" w:hAnsi="Calibri" w:eastAsia="Calibri" w:cs="Calibri"/>
          <w:szCs w:val="22"/>
        </w:rPr>
      </w:pPr>
      <w:r>
        <w:rPr>
          <w:rFonts w:eastAsia="Calibri" w:cs="Calibri" w:ascii="Calibri" w:hAnsi="Calibri"/>
          <w:szCs w:val="22"/>
        </w:rPr>
        <w:t xml:space="preserve"> </w:t>
      </w:r>
    </w:p>
    <w:p>
      <w:pPr>
        <w:pStyle w:val="Normal"/>
        <w:autoSpaceDE w:val="false"/>
        <w:jc w:val="both"/>
        <w:rPr>
          <w:rFonts w:ascii="Calibri" w:hAnsi="Calibri" w:cs="Calibri"/>
          <w:b/>
          <w:b/>
          <w:bCs/>
          <w:color w:val="000000"/>
          <w:sz w:val="22"/>
          <w:szCs w:val="22"/>
          <w:u w:val="single"/>
        </w:rPr>
      </w:pPr>
      <w:r>
        <w:rPr>
          <w:rFonts w:cs="Calibri" w:ascii="Calibri" w:hAnsi="Calibri"/>
          <w:b/>
          <w:bCs/>
          <w:color w:val="000000"/>
          <w:sz w:val="22"/>
          <w:szCs w:val="22"/>
          <w:u w:val="single"/>
        </w:rPr>
      </w:r>
    </w:p>
    <w:p>
      <w:pPr>
        <w:pStyle w:val="Normal"/>
        <w:autoSpaceDE w:val="false"/>
        <w:jc w:val="both"/>
        <w:rPr>
          <w:rFonts w:ascii="Calibri" w:hAnsi="Calibri" w:cs="Calibri"/>
          <w:b/>
          <w:b/>
          <w:bCs/>
          <w:color w:val="000000"/>
          <w:sz w:val="22"/>
          <w:szCs w:val="22"/>
          <w:u w:val="single"/>
        </w:rPr>
      </w:pPr>
      <w:r>
        <w:rPr>
          <w:rFonts w:cs="Calibri" w:ascii="Calibri" w:hAnsi="Calibri"/>
          <w:b/>
          <w:bCs/>
          <w:color w:val="000000"/>
          <w:sz w:val="22"/>
          <w:szCs w:val="22"/>
          <w:u w:val="single"/>
        </w:rPr>
      </w:r>
    </w:p>
    <w:p>
      <w:pPr>
        <w:pStyle w:val="Normal"/>
        <w:autoSpaceDE w:val="false"/>
        <w:jc w:val="both"/>
        <w:rPr/>
      </w:pPr>
      <w:r>
        <w:rPr>
          <w:rFonts w:cs="Calibri" w:ascii="Calibri" w:hAnsi="Calibri"/>
          <w:b/>
          <w:bCs/>
          <w:color w:val="000000"/>
          <w:sz w:val="22"/>
          <w:szCs w:val="22"/>
          <w:u w:val="single"/>
        </w:rPr>
        <w:t>ENTRE</w:t>
      </w:r>
      <w:r>
        <w:rPr>
          <w:rFonts w:cs="Calibri" w:ascii="Calibri" w:hAnsi="Calibri"/>
          <w:b/>
          <w:bCs/>
          <w:color w:val="000000"/>
          <w:sz w:val="22"/>
          <w:szCs w:val="22"/>
        </w:rPr>
        <w:t xml:space="preserve"> :</w:t>
      </w:r>
    </w:p>
    <w:p>
      <w:pPr>
        <w:pStyle w:val="Texte"/>
        <w:rPr>
          <w:rFonts w:ascii="Calibri" w:hAnsi="Calibri" w:cs="Calibri"/>
          <w:b/>
          <w:b/>
          <w:bCs/>
          <w:color w:val="000000"/>
          <w:sz w:val="22"/>
          <w:szCs w:val="22"/>
        </w:rPr>
      </w:pPr>
      <w:r>
        <w:rPr>
          <w:rFonts w:cs="Calibri" w:ascii="Calibri" w:hAnsi="Calibri"/>
          <w:b/>
          <w:bCs/>
          <w:color w:val="000000"/>
          <w:sz w:val="22"/>
          <w:szCs w:val="22"/>
        </w:rPr>
      </w:r>
    </w:p>
    <w:p>
      <w:pPr>
        <w:pStyle w:val="Texte"/>
        <w:rPr/>
      </w:pPr>
      <w:r>
        <w:rPr>
          <w:rFonts w:cs="Calibri" w:ascii="Calibri" w:hAnsi="Calibri"/>
          <w:szCs w:val="22"/>
        </w:rPr>
        <w:t>L’Unité Economique et Sociale State Street France, composée des sociétés State Street Bank International GmbH, Paris Branch, State Street Global Advisors Ireland Limited, Paris Branch et State Street Global Exchange GmbH, Paris Branch dont le siège social est situé 23-25 rue Delarivière Lefoullon – 92064 Paris la Défense, représentée par en sa qualité de Directrice des Ressources Humaines, dûment habilitée aux fins des présentes,</w:t>
      </w:r>
    </w:p>
    <w:p>
      <w:pPr>
        <w:pStyle w:val="Texte"/>
        <w:rPr>
          <w:rFonts w:ascii="Calibri" w:hAnsi="Calibri" w:cs="Calibri"/>
          <w:b/>
          <w:b/>
          <w:szCs w:val="22"/>
        </w:rPr>
      </w:pPr>
      <w:r>
        <w:rPr>
          <w:rFonts w:cs="Calibri" w:ascii="Calibri" w:hAnsi="Calibri"/>
          <w:b/>
          <w:szCs w:val="22"/>
        </w:rPr>
      </w:r>
    </w:p>
    <w:p>
      <w:pPr>
        <w:pStyle w:val="Texte"/>
        <w:rPr>
          <w:rFonts w:ascii="Calibri" w:hAnsi="Calibri" w:cs="Calibri"/>
          <w:b/>
          <w:b/>
          <w:szCs w:val="22"/>
        </w:rPr>
      </w:pPr>
      <w:r>
        <w:rPr>
          <w:rFonts w:cs="Calibri" w:ascii="Calibri" w:hAnsi="Calibri"/>
          <w:b/>
          <w:szCs w:val="22"/>
        </w:rPr>
        <w:t>D’une part,</w:t>
      </w:r>
    </w:p>
    <w:p>
      <w:pPr>
        <w:pStyle w:val="Normal"/>
        <w:autoSpaceDE w:val="false"/>
        <w:jc w:val="both"/>
        <w:rPr>
          <w:rFonts w:ascii="Calibri" w:hAnsi="Calibri" w:cs="Calibri"/>
          <w:b/>
          <w:b/>
          <w:bCs/>
          <w:color w:val="000000"/>
          <w:sz w:val="22"/>
          <w:szCs w:val="22"/>
          <w:u w:val="single"/>
        </w:rPr>
      </w:pPr>
      <w:r>
        <w:rPr>
          <w:rFonts w:cs="Calibri" w:ascii="Calibri" w:hAnsi="Calibri"/>
          <w:b/>
          <w:bCs/>
          <w:color w:val="000000"/>
          <w:sz w:val="22"/>
          <w:szCs w:val="22"/>
          <w:u w:val="single"/>
        </w:rPr>
      </w:r>
    </w:p>
    <w:p>
      <w:pPr>
        <w:pStyle w:val="Normal"/>
        <w:autoSpaceDE w:val="false"/>
        <w:jc w:val="both"/>
        <w:rPr/>
      </w:pPr>
      <w:r>
        <w:rPr>
          <w:rFonts w:cs="Calibri" w:ascii="Calibri" w:hAnsi="Calibri"/>
          <w:b/>
          <w:bCs/>
          <w:color w:val="000000"/>
          <w:sz w:val="22"/>
          <w:szCs w:val="22"/>
          <w:u w:val="single"/>
        </w:rPr>
        <w:t>ET</w:t>
      </w:r>
      <w:r>
        <w:rPr>
          <w:rFonts w:cs="Calibri" w:ascii="Calibri" w:hAnsi="Calibri"/>
          <w:b/>
          <w:bCs/>
          <w:color w:val="000000"/>
          <w:sz w:val="22"/>
          <w:szCs w:val="22"/>
        </w:rPr>
        <w:t xml:space="preserve"> :</w:t>
      </w:r>
    </w:p>
    <w:p>
      <w:pPr>
        <w:pStyle w:val="Normal"/>
        <w:autoSpaceDE w:val="false"/>
        <w:jc w:val="both"/>
        <w:rPr>
          <w:rFonts w:ascii="Calibri" w:hAnsi="Calibri" w:cs="Calibri"/>
          <w:b/>
          <w:b/>
          <w:bCs/>
          <w:color w:val="000000"/>
          <w:sz w:val="22"/>
          <w:szCs w:val="22"/>
        </w:rPr>
      </w:pPr>
      <w:r>
        <w:rPr>
          <w:rFonts w:cs="Calibri" w:ascii="Calibri" w:hAnsi="Calibri"/>
          <w:b/>
          <w:bCs/>
          <w:color w:val="000000"/>
          <w:sz w:val="22"/>
          <w:szCs w:val="22"/>
        </w:rPr>
      </w:r>
    </w:p>
    <w:p>
      <w:pPr>
        <w:pStyle w:val="Texte"/>
        <w:rPr>
          <w:rFonts w:ascii="Calibri" w:hAnsi="Calibri" w:cs="Calibri"/>
          <w:szCs w:val="22"/>
        </w:rPr>
      </w:pPr>
      <w:r>
        <w:rPr>
          <w:rFonts w:cs="Calibri" w:ascii="Calibri" w:hAnsi="Calibri"/>
          <w:szCs w:val="22"/>
        </w:rPr>
        <w:t xml:space="preserve">L'organisation syndicale CFDT représentée par son délégué syndical </w:t>
      </w:r>
    </w:p>
    <w:p>
      <w:pPr>
        <w:pStyle w:val="Texte"/>
        <w:rPr>
          <w:rFonts w:ascii="Calibri" w:hAnsi="Calibri" w:cs="Calibri"/>
          <w:szCs w:val="22"/>
        </w:rPr>
      </w:pPr>
      <w:r>
        <w:rPr>
          <w:rFonts w:cs="Calibri" w:ascii="Calibri" w:hAnsi="Calibri"/>
          <w:szCs w:val="22"/>
        </w:rPr>
        <w:t xml:space="preserve">L'organisation syndicale SNB-CFE/CGC représentée par son délégué syndical </w:t>
      </w:r>
    </w:p>
    <w:p>
      <w:pPr>
        <w:pStyle w:val="Texte"/>
        <w:rPr>
          <w:rFonts w:ascii="Calibri" w:hAnsi="Calibri" w:cs="Calibri"/>
          <w:b/>
          <w:b/>
          <w:szCs w:val="22"/>
        </w:rPr>
      </w:pPr>
      <w:r>
        <w:rPr>
          <w:rFonts w:cs="Calibri" w:ascii="Calibri" w:hAnsi="Calibri"/>
          <w:b/>
          <w:szCs w:val="22"/>
        </w:rPr>
      </w:r>
    </w:p>
    <w:p>
      <w:pPr>
        <w:pStyle w:val="Texte"/>
        <w:rPr>
          <w:rFonts w:ascii="Calibri" w:hAnsi="Calibri" w:cs="Calibri"/>
          <w:b/>
          <w:b/>
          <w:szCs w:val="22"/>
        </w:rPr>
      </w:pPr>
      <w:r>
        <w:rPr>
          <w:rFonts w:cs="Calibri" w:ascii="Calibri" w:hAnsi="Calibri"/>
          <w:b/>
          <w:szCs w:val="22"/>
        </w:rPr>
        <w:t>D’autre part,</w:t>
      </w:r>
    </w:p>
    <w:p>
      <w:pPr>
        <w:pStyle w:val="Heading4"/>
        <w:numPr>
          <w:ilvl w:val="3"/>
          <w:numId w:val="1"/>
        </w:numPr>
        <w:pBdr>
          <w:bottom w:val="single" w:sz="4" w:space="1" w:color="000000"/>
        </w:pBdr>
        <w:spacing w:lineRule="auto" w:line="240"/>
        <w:jc w:val="both"/>
        <w:rPr>
          <w:rFonts w:ascii="Calibri" w:hAnsi="Calibri" w:cs="Calibri"/>
          <w:b w:val="false"/>
          <w:b w:val="false"/>
          <w:szCs w:val="22"/>
        </w:rPr>
      </w:pPr>
      <w:r>
        <w:rPr>
          <w:rFonts w:cs="Calibri" w:ascii="Calibri" w:hAnsi="Calibri"/>
          <w:b w:val="false"/>
          <w:szCs w:val="22"/>
        </w:rPr>
      </w:r>
    </w:p>
    <w:p>
      <w:pPr>
        <w:pStyle w:val="Heading4"/>
        <w:numPr>
          <w:ilvl w:val="3"/>
          <w:numId w:val="1"/>
        </w:numPr>
        <w:pBdr>
          <w:bottom w:val="single" w:sz="4" w:space="1" w:color="000000"/>
        </w:pBdr>
        <w:spacing w:lineRule="auto" w:line="240"/>
        <w:jc w:val="both"/>
        <w:rPr>
          <w:rFonts w:ascii="Calibri" w:hAnsi="Calibri" w:cs="Calibri"/>
          <w:szCs w:val="22"/>
        </w:rPr>
      </w:pPr>
      <w:r>
        <w:rPr>
          <w:rFonts w:cs="Calibri" w:ascii="Calibri" w:hAnsi="Calibri"/>
          <w:szCs w:val="22"/>
        </w:rPr>
        <w:t>PROCES-VERBAL D’ACCORD PARTIEL</w:t>
      </w:r>
    </w:p>
    <w:p>
      <w:pPr>
        <w:pStyle w:val="Normal"/>
        <w:tabs>
          <w:tab w:val="left" w:pos="417" w:leader="none"/>
          <w:tab w:val="left" w:pos="644" w:leader="none"/>
          <w:tab w:val="left" w:pos="2317" w:leader="none"/>
          <w:tab w:val="left" w:pos="3037" w:leader="none"/>
          <w:tab w:val="left" w:pos="3757" w:leader="none"/>
          <w:tab w:val="left" w:pos="4477" w:leader="none"/>
          <w:tab w:val="left" w:pos="5197" w:leader="none"/>
          <w:tab w:val="left" w:pos="5917" w:leader="none"/>
          <w:tab w:val="left" w:pos="6637" w:leader="none"/>
          <w:tab w:val="left" w:pos="7357" w:leader="none"/>
          <w:tab w:val="left" w:pos="8077" w:leader="none"/>
          <w:tab w:val="left" w:pos="8797" w:leader="none"/>
          <w:tab w:val="left" w:pos="9517" w:leader="none"/>
          <w:tab w:val="left" w:pos="10237" w:leader="none"/>
          <w:tab w:val="left" w:pos="10957" w:leader="none"/>
          <w:tab w:val="left" w:pos="11677" w:leader="none"/>
          <w:tab w:val="left" w:pos="12397" w:leader="none"/>
          <w:tab w:val="left" w:pos="13117" w:leader="none"/>
          <w:tab w:val="left" w:pos="13837" w:leader="none"/>
          <w:tab w:val="left" w:pos="14557" w:leader="none"/>
        </w:tabs>
        <w:autoSpaceDE w:val="false"/>
        <w:jc w:val="both"/>
        <w:rPr>
          <w:rFonts w:ascii="Calibri" w:hAnsi="Calibri" w:cs="Calibri"/>
          <w:color w:val="000000"/>
          <w:sz w:val="22"/>
          <w:szCs w:val="22"/>
        </w:rPr>
      </w:pPr>
      <w:r>
        <w:rPr>
          <w:rFonts w:cs="Calibri" w:ascii="Calibri" w:hAnsi="Calibri"/>
          <w:color w:val="000000"/>
          <w:sz w:val="22"/>
          <w:szCs w:val="22"/>
        </w:rPr>
      </w:r>
    </w:p>
    <w:p>
      <w:pPr>
        <w:pStyle w:val="Texte"/>
        <w:rPr/>
      </w:pPr>
      <w:r>
        <w:rPr>
          <w:rFonts w:cs="Calibri" w:ascii="Calibri" w:hAnsi="Calibri"/>
          <w:szCs w:val="22"/>
        </w:rPr>
        <w:t>En application et sur le fondement des dispositions de l’article L. 2242-1 du Code du travail relatif à la Négociation Annuelle Obligatoire, les parties se sont réunies à 3 reprises ;</w:t>
      </w:r>
    </w:p>
    <w:p>
      <w:pPr>
        <w:pStyle w:val="Texte"/>
        <w:rPr>
          <w:rFonts w:ascii="Calibri" w:hAnsi="Calibri" w:eastAsia="Calibri" w:cs="Calibri"/>
          <w:szCs w:val="22"/>
        </w:rPr>
      </w:pPr>
      <w:r>
        <w:rPr>
          <w:rFonts w:eastAsia="Calibri" w:cs="Calibri" w:ascii="Calibri" w:hAnsi="Calibri"/>
          <w:szCs w:val="22"/>
        </w:rPr>
        <w:t xml:space="preserve"> </w:t>
      </w:r>
    </w:p>
    <w:p>
      <w:pPr>
        <w:pStyle w:val="Texte"/>
        <w:rPr>
          <w:rFonts w:ascii="Calibri" w:hAnsi="Calibri" w:cs="Calibri"/>
          <w:szCs w:val="22"/>
        </w:rPr>
      </w:pPr>
      <w:r>
        <w:rPr>
          <w:rFonts w:cs="Calibri" w:ascii="Calibri" w:hAnsi="Calibri"/>
          <w:szCs w:val="22"/>
        </w:rPr>
        <w:t>1</w:t>
      </w:r>
      <w:r>
        <w:rPr>
          <w:rFonts w:cs="Calibri" w:ascii="Calibri" w:hAnsi="Calibri"/>
          <w:szCs w:val="22"/>
          <w:vertAlign w:val="superscript"/>
        </w:rPr>
        <w:t>ère</w:t>
      </w:r>
      <w:r>
        <w:rPr>
          <w:rFonts w:cs="Calibri" w:ascii="Calibri" w:hAnsi="Calibri"/>
          <w:szCs w:val="22"/>
        </w:rPr>
        <w:t xml:space="preserve"> réunion : 21 octobre 2019</w:t>
      </w:r>
    </w:p>
    <w:p>
      <w:pPr>
        <w:pStyle w:val="Texte"/>
        <w:rPr>
          <w:rFonts w:ascii="Calibri" w:hAnsi="Calibri" w:cs="Calibri"/>
          <w:szCs w:val="22"/>
        </w:rPr>
      </w:pPr>
      <w:r>
        <w:rPr>
          <w:rFonts w:cs="Calibri" w:ascii="Calibri" w:hAnsi="Calibri"/>
          <w:szCs w:val="22"/>
        </w:rPr>
        <w:t>2</w:t>
      </w:r>
      <w:r>
        <w:rPr>
          <w:rFonts w:cs="Calibri" w:ascii="Calibri" w:hAnsi="Calibri"/>
          <w:szCs w:val="22"/>
          <w:vertAlign w:val="superscript"/>
        </w:rPr>
        <w:t>ème</w:t>
      </w:r>
      <w:r>
        <w:rPr>
          <w:rFonts w:cs="Calibri" w:ascii="Calibri" w:hAnsi="Calibri"/>
          <w:szCs w:val="22"/>
        </w:rPr>
        <w:t xml:space="preserve"> réunion : 28 octobre 2019</w:t>
      </w:r>
    </w:p>
    <w:p>
      <w:pPr>
        <w:pStyle w:val="Texte"/>
        <w:rPr>
          <w:rFonts w:ascii="Calibri" w:hAnsi="Calibri" w:cs="Calibri"/>
          <w:szCs w:val="22"/>
        </w:rPr>
      </w:pPr>
      <w:r>
        <w:rPr>
          <w:rFonts w:cs="Calibri" w:ascii="Calibri" w:hAnsi="Calibri"/>
          <w:szCs w:val="22"/>
        </w:rPr>
        <w:t>3</w:t>
      </w:r>
      <w:r>
        <w:rPr>
          <w:rFonts w:cs="Calibri" w:ascii="Calibri" w:hAnsi="Calibri"/>
          <w:szCs w:val="22"/>
          <w:vertAlign w:val="superscript"/>
        </w:rPr>
        <w:t>ème</w:t>
      </w:r>
      <w:r>
        <w:rPr>
          <w:rFonts w:cs="Calibri" w:ascii="Calibri" w:hAnsi="Calibri"/>
          <w:szCs w:val="22"/>
        </w:rPr>
        <w:t xml:space="preserve"> réunion : 18 novembre 2019</w:t>
      </w:r>
    </w:p>
    <w:p>
      <w:pPr>
        <w:pStyle w:val="Texte"/>
        <w:rPr>
          <w:rFonts w:ascii="Calibri" w:hAnsi="Calibri" w:cs="Calibri"/>
          <w:szCs w:val="22"/>
        </w:rPr>
      </w:pPr>
      <w:r>
        <w:rPr>
          <w:rFonts w:cs="Calibri" w:ascii="Calibri" w:hAnsi="Calibri"/>
          <w:szCs w:val="22"/>
        </w:rPr>
      </w:r>
    </w:p>
    <w:p>
      <w:pPr>
        <w:pStyle w:val="Texte"/>
        <w:rPr>
          <w:rFonts w:ascii="Calibri" w:hAnsi="Calibri" w:cs="Calibri"/>
          <w:szCs w:val="22"/>
        </w:rPr>
      </w:pPr>
      <w:r>
        <w:rPr>
          <w:rFonts w:cs="Calibri" w:ascii="Calibri" w:hAnsi="Calibri"/>
          <w:szCs w:val="22"/>
        </w:rPr>
        <w:t>A l’issue de ces réunions, un accord partiel au titre de l’année 2020 a pu être trouvé, le présent procès-verbal fait état des propositions des organisations syndicales et de la Direction.</w:t>
      </w:r>
    </w:p>
    <w:p>
      <w:pPr>
        <w:pStyle w:val="Texte"/>
        <w:rPr>
          <w:rFonts w:ascii="Calibri" w:hAnsi="Calibri" w:cs="Calibri"/>
          <w:szCs w:val="22"/>
        </w:rPr>
      </w:pPr>
      <w:r>
        <w:rPr>
          <w:rFonts w:cs="Calibri" w:ascii="Calibri" w:hAnsi="Calibri"/>
          <w:szCs w:val="22"/>
        </w:rPr>
      </w:r>
    </w:p>
    <w:p>
      <w:pPr>
        <w:pStyle w:val="Texte"/>
        <w:rPr/>
      </w:pPr>
      <w:r>
        <w:rPr>
          <w:rFonts w:cs="Calibri" w:ascii="Calibri" w:hAnsi="Calibri"/>
          <w:szCs w:val="22"/>
        </w:rPr>
        <w:t xml:space="preserve">L’organisation syndicale CFDT et l’organisation syndicale SNB-CFE/CGC demandent </w:t>
      </w:r>
      <w:bookmarkStart w:id="0" w:name="OLE_LINK2"/>
      <w:bookmarkStart w:id="1" w:name="OLE_LINK1"/>
      <w:r>
        <w:rPr>
          <w:rFonts w:cs="Calibri" w:ascii="Calibri" w:hAnsi="Calibri"/>
          <w:szCs w:val="22"/>
        </w:rPr>
        <w:t>des statistiques et données actuelles sur :</w:t>
      </w:r>
    </w:p>
    <w:p>
      <w:pPr>
        <w:pStyle w:val="Normal"/>
        <w:jc w:val="both"/>
        <w:rPr>
          <w:rFonts w:ascii="Calibri" w:hAnsi="Calibri" w:eastAsia="MS Mincho;ＭＳ 明朝" w:cs="Calibri"/>
          <w:sz w:val="22"/>
          <w:szCs w:val="22"/>
        </w:rPr>
      </w:pPr>
      <w:r>
        <w:rPr>
          <w:rFonts w:eastAsia="MS Mincho;ＭＳ 明朝" w:cs="Calibri" w:ascii="Calibri" w:hAnsi="Calibri"/>
          <w:sz w:val="22"/>
          <w:szCs w:val="22"/>
        </w:rPr>
      </w:r>
    </w:p>
    <w:p>
      <w:pPr>
        <w:pStyle w:val="Normal"/>
        <w:numPr>
          <w:ilvl w:val="0"/>
          <w:numId w:val="4"/>
        </w:numPr>
        <w:jc w:val="both"/>
        <w:rPr>
          <w:rFonts w:ascii="Calibri" w:hAnsi="Calibri" w:eastAsia="MS Mincho;ＭＳ 明朝" w:cs="Calibri"/>
          <w:b/>
          <w:b/>
          <w:sz w:val="22"/>
          <w:szCs w:val="22"/>
          <w:u w:val="single"/>
        </w:rPr>
      </w:pPr>
      <w:r>
        <w:rPr>
          <w:rFonts w:eastAsia="MS Mincho;ＭＳ 明朝" w:cs="Calibri" w:ascii="Calibri" w:hAnsi="Calibri"/>
          <w:b/>
          <w:sz w:val="22"/>
          <w:szCs w:val="22"/>
          <w:u w:val="single"/>
        </w:rPr>
        <w:t>Statistiques pour SSB, SSGA et SSGX</w:t>
      </w:r>
    </w:p>
    <w:p>
      <w:pPr>
        <w:pStyle w:val="Normal"/>
        <w:jc w:val="both"/>
        <w:rPr>
          <w:rFonts w:ascii="Calibri" w:hAnsi="Calibri" w:eastAsia="MS Mincho;ＭＳ 明朝" w:cs="Calibri"/>
          <w:b/>
          <w:b/>
          <w:sz w:val="22"/>
          <w:szCs w:val="22"/>
          <w:u w:val="single"/>
        </w:rPr>
      </w:pPr>
      <w:r>
        <w:rPr>
          <w:rFonts w:eastAsia="MS Mincho;ＭＳ 明朝" w:cs="Calibri" w:ascii="Calibri" w:hAnsi="Calibri"/>
          <w:b/>
          <w:sz w:val="22"/>
          <w:szCs w:val="22"/>
          <w:u w:val="single"/>
        </w:rPr>
      </w:r>
    </w:p>
    <w:p>
      <w:pPr>
        <w:pStyle w:val="ListParagraph"/>
        <w:numPr>
          <w:ilvl w:val="0"/>
          <w:numId w:val="3"/>
        </w:numPr>
        <w:ind w:left="1068" w:hanging="360"/>
        <w:rPr>
          <w:rFonts w:ascii="Calibri" w:hAnsi="Calibri" w:cs="Calibri"/>
          <w:sz w:val="22"/>
          <w:lang w:eastAsia="zh-CN"/>
        </w:rPr>
      </w:pPr>
      <w:r>
        <w:rPr>
          <w:rFonts w:cs="Calibri" w:ascii="Calibri" w:hAnsi="Calibri"/>
          <w:sz w:val="22"/>
        </w:rPr>
        <w:t>Historique sur les augmentations et bonus</w:t>
      </w:r>
    </w:p>
    <w:p>
      <w:pPr>
        <w:pStyle w:val="Texte"/>
        <w:numPr>
          <w:ilvl w:val="0"/>
          <w:numId w:val="3"/>
        </w:numPr>
        <w:ind w:left="1068" w:hanging="360"/>
        <w:rPr>
          <w:rFonts w:ascii="Calibri" w:hAnsi="Calibri" w:eastAsia="Times New Roman" w:cs="Calibri"/>
          <w:szCs w:val="24"/>
        </w:rPr>
      </w:pPr>
      <w:r>
        <w:rPr>
          <w:rFonts w:eastAsia="Times New Roman" w:cs="Calibri" w:ascii="Calibri" w:hAnsi="Calibri"/>
          <w:szCs w:val="24"/>
        </w:rPr>
        <w:t>Liste nominative des personnes n’ayant pas eu d’augmentation depuis 3 ans.</w:t>
      </w:r>
    </w:p>
    <w:p>
      <w:pPr>
        <w:pStyle w:val="Texte"/>
        <w:numPr>
          <w:ilvl w:val="0"/>
          <w:numId w:val="3"/>
        </w:numPr>
        <w:ind w:left="1068" w:hanging="360"/>
        <w:rPr>
          <w:rFonts w:ascii="Calibri" w:hAnsi="Calibri" w:eastAsia="Times New Roman" w:cs="Calibri"/>
          <w:szCs w:val="24"/>
        </w:rPr>
      </w:pPr>
      <w:r>
        <w:rPr>
          <w:rFonts w:eastAsia="Times New Roman" w:cs="Calibri" w:ascii="Calibri" w:hAnsi="Calibri"/>
          <w:szCs w:val="24"/>
        </w:rPr>
        <w:t>Rémunération moyenne par grade et catégorie incluant les grades Vice-Président.</w:t>
      </w:r>
    </w:p>
    <w:p>
      <w:pPr>
        <w:pStyle w:val="Texte"/>
        <w:numPr>
          <w:ilvl w:val="0"/>
          <w:numId w:val="3"/>
        </w:numPr>
        <w:ind w:left="1068" w:hanging="360"/>
        <w:rPr>
          <w:rFonts w:ascii="Calibri" w:hAnsi="Calibri" w:eastAsia="Times New Roman" w:cs="Calibri"/>
          <w:szCs w:val="24"/>
        </w:rPr>
      </w:pPr>
      <w:r>
        <w:rPr>
          <w:rFonts w:eastAsia="Times New Roman" w:cs="Calibri" w:ascii="Calibri" w:hAnsi="Calibri"/>
          <w:szCs w:val="24"/>
        </w:rPr>
        <w:t>Statistiques par grade relatives à l’égalité salariale entre hommes et femmes.</w:t>
      </w:r>
    </w:p>
    <w:p>
      <w:pPr>
        <w:pStyle w:val="Texte"/>
        <w:numPr>
          <w:ilvl w:val="0"/>
          <w:numId w:val="3"/>
        </w:numPr>
        <w:ind w:left="1068" w:hanging="360"/>
        <w:rPr/>
      </w:pPr>
      <w:r>
        <w:rPr>
          <w:rFonts w:eastAsia="Times New Roman" w:cs="Calibri" w:ascii="Calibri" w:hAnsi="Calibri"/>
          <w:szCs w:val="24"/>
        </w:rPr>
        <w:t>Statistiques par grade relatives aux augmentations et bonus appliquées en 2019 aux femmes en congé maternité et retour de congé maternité ainsi que l’évolution de carrière des femmes ayant eu un congé de maternité au cours des 3 dernières années.</w:t>
      </w:r>
    </w:p>
    <w:p>
      <w:pPr>
        <w:pStyle w:val="Texte"/>
        <w:numPr>
          <w:ilvl w:val="0"/>
          <w:numId w:val="3"/>
        </w:numPr>
        <w:ind w:left="1068" w:hanging="360"/>
        <w:rPr/>
      </w:pPr>
      <w:r>
        <w:rPr>
          <w:rFonts w:eastAsia="Times New Roman" w:cs="Calibri" w:ascii="Calibri" w:hAnsi="Calibri"/>
          <w:szCs w:val="24"/>
        </w:rPr>
        <w:t xml:space="preserve">Statistiques par grade relatives aux augmentations et bonus appliquées en 2019. </w:t>
      </w:r>
    </w:p>
    <w:p>
      <w:pPr>
        <w:pStyle w:val="Texte"/>
        <w:numPr>
          <w:ilvl w:val="0"/>
          <w:numId w:val="3"/>
        </w:numPr>
        <w:ind w:left="1068" w:hanging="360"/>
        <w:rPr/>
      </w:pPr>
      <w:r>
        <w:rPr>
          <w:rFonts w:eastAsia="Times New Roman" w:cs="Calibri" w:ascii="Calibri" w:hAnsi="Calibri"/>
          <w:szCs w:val="24"/>
        </w:rPr>
        <w:t>Promotions par grade actées en avril 2019.</w:t>
      </w:r>
    </w:p>
    <w:p>
      <w:pPr>
        <w:pStyle w:val="Texte"/>
        <w:numPr>
          <w:ilvl w:val="0"/>
          <w:numId w:val="3"/>
        </w:numPr>
        <w:ind w:left="1068" w:hanging="360"/>
        <w:rPr>
          <w:rFonts w:ascii="Calibri" w:hAnsi="Calibri" w:eastAsia="Times New Roman" w:cs="Calibri"/>
          <w:szCs w:val="24"/>
        </w:rPr>
      </w:pPr>
      <w:r>
        <w:rPr>
          <w:rFonts w:eastAsia="Times New Roman" w:cs="Calibri" w:ascii="Calibri" w:hAnsi="Calibri"/>
          <w:szCs w:val="24"/>
        </w:rPr>
        <w:t>Focus sur les plus de 50 ans.</w:t>
      </w:r>
    </w:p>
    <w:p>
      <w:pPr>
        <w:pStyle w:val="Texte"/>
        <w:numPr>
          <w:ilvl w:val="0"/>
          <w:numId w:val="4"/>
        </w:numPr>
        <w:rPr>
          <w:rFonts w:ascii="Calibri" w:hAnsi="Calibri" w:cs="Calibri"/>
          <w:b/>
          <w:b/>
          <w:szCs w:val="22"/>
        </w:rPr>
      </w:pPr>
      <w:r>
        <w:rPr>
          <w:rFonts w:cs="Calibri" w:ascii="Calibri" w:hAnsi="Calibri"/>
          <w:b/>
          <w:szCs w:val="22"/>
          <w:u w:val="single"/>
        </w:rPr>
        <w:t>Au titre de l’année 2020</w:t>
      </w:r>
      <w:r>
        <w:rPr>
          <w:rFonts w:cs="Calibri" w:ascii="Calibri" w:hAnsi="Calibri"/>
          <w:b/>
          <w:i/>
          <w:szCs w:val="22"/>
          <w:u w:val="single"/>
        </w:rPr>
        <w:t> </w:t>
      </w:r>
      <w:r>
        <w:rPr>
          <w:rFonts w:cs="Calibri" w:ascii="Calibri" w:hAnsi="Calibri"/>
          <w:b/>
          <w:szCs w:val="22"/>
          <w:u w:val="single"/>
        </w:rPr>
        <w:t xml:space="preserve"> les organisations syndicales CFDT et SNB CFE CGC demandent</w:t>
      </w:r>
      <w:r>
        <w:rPr>
          <w:rFonts w:cs="Calibri" w:ascii="Calibri" w:hAnsi="Calibri"/>
          <w:b/>
          <w:szCs w:val="22"/>
        </w:rPr>
        <w:t> :</w:t>
      </w:r>
    </w:p>
    <w:p>
      <w:pPr>
        <w:pStyle w:val="Texte"/>
        <w:ind w:left="720" w:hanging="0"/>
        <w:rPr>
          <w:rFonts w:ascii="Calibri" w:hAnsi="Calibri" w:cs="Calibri"/>
          <w:b/>
          <w:b/>
          <w:szCs w:val="22"/>
        </w:rPr>
      </w:pPr>
      <w:r>
        <w:rPr>
          <w:rFonts w:cs="Calibri" w:ascii="Calibri" w:hAnsi="Calibri"/>
          <w:b/>
          <w:szCs w:val="22"/>
        </w:rPr>
      </w:r>
    </w:p>
    <w:p>
      <w:pPr>
        <w:pStyle w:val="Texte"/>
        <w:numPr>
          <w:ilvl w:val="0"/>
          <w:numId w:val="3"/>
        </w:numPr>
        <w:ind w:left="1068" w:hanging="360"/>
        <w:rPr>
          <w:rFonts w:ascii="Calibri" w:hAnsi="Calibri" w:eastAsia="Times New Roman" w:cs="Calibri"/>
          <w:szCs w:val="24"/>
        </w:rPr>
      </w:pPr>
      <w:r>
        <w:rPr>
          <w:rFonts w:eastAsia="Times New Roman" w:cs="Calibri" w:ascii="Calibri" w:hAnsi="Calibri"/>
          <w:szCs w:val="24"/>
        </w:rPr>
        <w:t>Une augmentation générale de 1,00 % pour tous les salariés (CFDT – SNB).</w:t>
      </w:r>
    </w:p>
    <w:p>
      <w:pPr>
        <w:pStyle w:val="Texte"/>
        <w:numPr>
          <w:ilvl w:val="0"/>
          <w:numId w:val="3"/>
        </w:numPr>
        <w:ind w:left="1068" w:hanging="360"/>
        <w:rPr>
          <w:rFonts w:ascii="Calibri" w:hAnsi="Calibri" w:eastAsia="Times New Roman" w:cs="Calibri"/>
          <w:szCs w:val="24"/>
        </w:rPr>
      </w:pPr>
      <w:r>
        <w:rPr>
          <w:rFonts w:eastAsia="Times New Roman" w:cs="Calibri" w:ascii="Calibri" w:hAnsi="Calibri"/>
          <w:szCs w:val="24"/>
        </w:rPr>
        <w:t>Une augmentation du budget du comité d’entreprise de 0.10%. (CFDT)</w:t>
      </w:r>
    </w:p>
    <w:p>
      <w:pPr>
        <w:pStyle w:val="Texte"/>
        <w:numPr>
          <w:ilvl w:val="0"/>
          <w:numId w:val="3"/>
        </w:numPr>
        <w:ind w:left="1068" w:hanging="360"/>
        <w:rPr>
          <w:rFonts w:ascii="Calibri" w:hAnsi="Calibri" w:eastAsia="Times New Roman" w:cs="Calibri"/>
          <w:szCs w:val="24"/>
        </w:rPr>
      </w:pPr>
      <w:r>
        <w:rPr>
          <w:rFonts w:eastAsia="Times New Roman" w:cs="Calibri" w:ascii="Calibri" w:hAnsi="Calibri"/>
          <w:szCs w:val="24"/>
        </w:rPr>
        <w:t>Une augmentation supplémentaire de 100 euros de l’abondement PERCO. (SNB)</w:t>
      </w:r>
    </w:p>
    <w:p>
      <w:pPr>
        <w:pStyle w:val="Texte"/>
        <w:numPr>
          <w:ilvl w:val="0"/>
          <w:numId w:val="3"/>
        </w:numPr>
        <w:ind w:left="1068" w:hanging="360"/>
        <w:rPr>
          <w:rFonts w:ascii="Calibri" w:hAnsi="Calibri" w:eastAsia="Times New Roman" w:cs="Calibri"/>
          <w:szCs w:val="24"/>
        </w:rPr>
      </w:pPr>
      <w:r>
        <w:rPr>
          <w:rFonts w:eastAsia="Times New Roman" w:cs="Calibri" w:ascii="Calibri" w:hAnsi="Calibri"/>
          <w:szCs w:val="24"/>
        </w:rPr>
        <w:t>Prévoyance demande de la répartition suivante : patronat 70 % - salariés 30% au lieu de 50/50. (SNB)</w:t>
      </w:r>
    </w:p>
    <w:p>
      <w:pPr>
        <w:pStyle w:val="Texte"/>
        <w:numPr>
          <w:ilvl w:val="0"/>
          <w:numId w:val="3"/>
        </w:numPr>
        <w:ind w:left="1068" w:hanging="360"/>
        <w:rPr>
          <w:rFonts w:ascii="Calibri" w:hAnsi="Calibri" w:eastAsia="Times New Roman" w:cs="Calibri"/>
          <w:szCs w:val="24"/>
        </w:rPr>
      </w:pPr>
      <w:r>
        <w:rPr>
          <w:rFonts w:eastAsia="Times New Roman" w:cs="Calibri" w:ascii="Calibri" w:hAnsi="Calibri"/>
          <w:szCs w:val="24"/>
        </w:rPr>
        <w:t>Revue du passage Hors classe (prime et jour de congés supplémentaires) (CFDT – SNB).</w:t>
      </w:r>
    </w:p>
    <w:p>
      <w:pPr>
        <w:pStyle w:val="Texte"/>
        <w:numPr>
          <w:ilvl w:val="0"/>
          <w:numId w:val="3"/>
        </w:numPr>
        <w:ind w:left="1068" w:hanging="360"/>
        <w:rPr>
          <w:rFonts w:ascii="Calibri" w:hAnsi="Calibri" w:eastAsia="Times New Roman" w:cs="Calibri"/>
          <w:szCs w:val="24"/>
        </w:rPr>
      </w:pPr>
      <w:r>
        <w:rPr>
          <w:rFonts w:eastAsia="Times New Roman" w:cs="Calibri" w:ascii="Calibri" w:hAnsi="Calibri"/>
          <w:szCs w:val="24"/>
        </w:rPr>
        <w:t>Renégociation de l’article 4 relatif aux primes liées à l’attribution des médailles d’honneur du travail (accord relatif aux primes exceptionnelles) (CFDT).</w:t>
      </w:r>
    </w:p>
    <w:p>
      <w:pPr>
        <w:pStyle w:val="Texte"/>
        <w:numPr>
          <w:ilvl w:val="0"/>
          <w:numId w:val="3"/>
        </w:numPr>
        <w:ind w:left="1068" w:hanging="360"/>
        <w:rPr>
          <w:rFonts w:ascii="Calibri" w:hAnsi="Calibri" w:eastAsia="Times New Roman" w:cs="Calibri"/>
          <w:szCs w:val="24"/>
        </w:rPr>
      </w:pPr>
      <w:r>
        <w:rPr>
          <w:rFonts w:eastAsia="Times New Roman" w:cs="Calibri" w:ascii="Calibri" w:hAnsi="Calibri"/>
          <w:szCs w:val="24"/>
        </w:rPr>
        <w:t>Un niveau de bonus au titre de 2019 en phase avec ceux de 2017 (CFDT – SNB).</w:t>
      </w:r>
    </w:p>
    <w:p>
      <w:pPr>
        <w:pStyle w:val="Normal"/>
        <w:jc w:val="both"/>
        <w:rPr>
          <w:rFonts w:ascii="Calibri" w:hAnsi="Calibri" w:eastAsia="MS Mincho;ＭＳ 明朝" w:cs="Calibri"/>
          <w:sz w:val="22"/>
          <w:szCs w:val="22"/>
        </w:rPr>
      </w:pPr>
      <w:r>
        <w:rPr>
          <w:rFonts w:eastAsia="MS Mincho;ＭＳ 明朝" w:cs="Calibri" w:ascii="Calibri" w:hAnsi="Calibri"/>
          <w:sz w:val="22"/>
          <w:szCs w:val="22"/>
        </w:rPr>
      </w:r>
    </w:p>
    <w:p>
      <w:pPr>
        <w:pStyle w:val="Texte"/>
        <w:rPr>
          <w:rFonts w:ascii="Calibri" w:hAnsi="Calibri" w:cs="Calibri"/>
          <w:szCs w:val="22"/>
        </w:rPr>
      </w:pPr>
      <w:bookmarkEnd w:id="0"/>
      <w:bookmarkEnd w:id="1"/>
      <w:r>
        <w:rPr>
          <w:rFonts w:cs="Calibri" w:ascii="Calibri" w:hAnsi="Calibri"/>
          <w:szCs w:val="22"/>
        </w:rPr>
        <w:t>La Direction a communiqué les statistiques demandées le 21 octobre 2019.</w:t>
      </w:r>
    </w:p>
    <w:p>
      <w:pPr>
        <w:pStyle w:val="Texte"/>
        <w:rPr>
          <w:rFonts w:ascii="Calibri" w:hAnsi="Calibri" w:cs="Calibri"/>
          <w:szCs w:val="22"/>
        </w:rPr>
      </w:pPr>
      <w:r>
        <w:rPr>
          <w:rFonts w:cs="Calibri" w:ascii="Calibri" w:hAnsi="Calibri"/>
          <w:szCs w:val="22"/>
        </w:rPr>
      </w:r>
    </w:p>
    <w:p>
      <w:pPr>
        <w:pStyle w:val="Texte"/>
        <w:numPr>
          <w:ilvl w:val="0"/>
          <w:numId w:val="4"/>
        </w:numPr>
        <w:rPr>
          <w:rFonts w:ascii="Calibri" w:hAnsi="Calibri" w:cs="Calibri"/>
          <w:b/>
          <w:b/>
          <w:szCs w:val="22"/>
          <w:u w:val="single"/>
        </w:rPr>
      </w:pPr>
      <w:r>
        <w:rPr>
          <w:rFonts w:cs="Calibri" w:ascii="Calibri" w:hAnsi="Calibri"/>
          <w:b/>
          <w:szCs w:val="22"/>
          <w:u w:val="single"/>
        </w:rPr>
        <w:t>Proposition de la Direction</w:t>
      </w:r>
    </w:p>
    <w:p>
      <w:pPr>
        <w:pStyle w:val="ListParagraph"/>
        <w:jc w:val="both"/>
        <w:rPr>
          <w:rFonts w:ascii="Calibri" w:hAnsi="Calibri" w:cs="Calibri"/>
          <w:b/>
          <w:b/>
          <w:szCs w:val="22"/>
          <w:u w:val="single"/>
        </w:rPr>
      </w:pPr>
      <w:r>
        <w:rPr>
          <w:rFonts w:cs="Calibri" w:ascii="Calibri" w:hAnsi="Calibri"/>
          <w:b/>
          <w:szCs w:val="22"/>
          <w:u w:val="single"/>
        </w:rPr>
      </w:r>
    </w:p>
    <w:p>
      <w:pPr>
        <w:pStyle w:val="Texte"/>
        <w:rPr>
          <w:rFonts w:ascii="Calibri" w:hAnsi="Calibri" w:cs="Calibri"/>
          <w:szCs w:val="22"/>
        </w:rPr>
      </w:pPr>
      <w:r>
        <w:rPr>
          <w:rFonts w:cs="Calibri" w:ascii="Calibri" w:hAnsi="Calibri"/>
          <w:szCs w:val="22"/>
        </w:rPr>
        <w:t xml:space="preserve">En ce qui concerne les revendications pour la NAO au titre de l’année 2020, la Direction indique qu’il ne sera pas possible de répondre favorablement à toutes les demandes exprimées par les délégués mais que néanmoins des efforts importants ont été faits pour satisfaire leurs attentes et celles des salariés. </w:t>
      </w:r>
    </w:p>
    <w:p>
      <w:pPr>
        <w:pStyle w:val="Texte"/>
        <w:rPr>
          <w:rFonts w:ascii="Calibri" w:hAnsi="Calibri" w:cs="Calibri"/>
          <w:szCs w:val="22"/>
        </w:rPr>
      </w:pPr>
      <w:r>
        <w:rPr>
          <w:rFonts w:cs="Calibri" w:ascii="Calibri" w:hAnsi="Calibri"/>
          <w:szCs w:val="22"/>
        </w:rPr>
      </w:r>
    </w:p>
    <w:p>
      <w:pPr>
        <w:pStyle w:val="Texte"/>
        <w:rPr>
          <w:rFonts w:ascii="Calibri" w:hAnsi="Calibri" w:cs="Calibri"/>
          <w:szCs w:val="22"/>
        </w:rPr>
      </w:pPr>
      <w:r>
        <w:rPr>
          <w:rFonts w:cs="Calibri" w:ascii="Calibri" w:hAnsi="Calibri"/>
          <w:szCs w:val="22"/>
        </w:rPr>
        <w:t>La Direction accorde le suivant:</w:t>
      </w:r>
    </w:p>
    <w:p>
      <w:pPr>
        <w:pStyle w:val="Texte"/>
        <w:rPr>
          <w:rFonts w:ascii="Calibri" w:hAnsi="Calibri" w:cs="Calibri"/>
          <w:szCs w:val="22"/>
        </w:rPr>
      </w:pPr>
      <w:r>
        <w:rPr>
          <w:rFonts w:cs="Calibri" w:ascii="Calibri" w:hAnsi="Calibri"/>
          <w:szCs w:val="22"/>
        </w:rPr>
      </w:r>
    </w:p>
    <w:p>
      <w:pPr>
        <w:pStyle w:val="Texte"/>
        <w:numPr>
          <w:ilvl w:val="0"/>
          <w:numId w:val="2"/>
        </w:numPr>
        <w:ind w:left="426" w:hanging="360"/>
        <w:rPr>
          <w:rFonts w:ascii="Calibri" w:hAnsi="Calibri" w:cs="Calibri"/>
          <w:szCs w:val="22"/>
        </w:rPr>
      </w:pPr>
      <w:r>
        <w:rPr>
          <w:rFonts w:cs="Calibri" w:ascii="Calibri" w:hAnsi="Calibri"/>
          <w:szCs w:val="22"/>
        </w:rPr>
        <w:t>Une augmentation générale au 1er janvier 2020 de 1,00 % du salaire annuel brut de base pour tous les salariés ayant au moins un an d’ancienneté dans l’entité française au 31 décembre 2019. Sont exclus les stagiaires, les apprentis, les salariés en préavis, les salariés en procédure de licenciement initiée ainsi que les salariés en congé de reclassement.</w:t>
      </w:r>
    </w:p>
    <w:p>
      <w:pPr>
        <w:pStyle w:val="Texte"/>
        <w:ind w:left="426" w:hanging="0"/>
        <w:rPr>
          <w:rFonts w:ascii="Calibri" w:hAnsi="Calibri" w:cs="Calibri"/>
          <w:szCs w:val="22"/>
        </w:rPr>
      </w:pPr>
      <w:r>
        <w:rPr>
          <w:rFonts w:cs="Calibri" w:ascii="Calibri" w:hAnsi="Calibri"/>
          <w:szCs w:val="22"/>
        </w:rPr>
      </w:r>
    </w:p>
    <w:p>
      <w:pPr>
        <w:pStyle w:val="NormalWeb"/>
        <w:numPr>
          <w:ilvl w:val="0"/>
          <w:numId w:val="2"/>
        </w:numPr>
        <w:spacing w:before="79" w:after="0"/>
        <w:ind w:left="426" w:hanging="360"/>
        <w:jc w:val="both"/>
        <w:textAlignment w:val="baseline"/>
        <w:rPr/>
      </w:pPr>
      <w:r>
        <w:rPr>
          <w:rFonts w:eastAsia="MS Mincho;ＭＳ 明朝" w:cs="Calibri" w:ascii="Calibri" w:hAnsi="Calibri"/>
          <w:sz w:val="22"/>
          <w:szCs w:val="22"/>
        </w:rPr>
        <w:t>Une augmentation du budget CSE de 0.1% le rapportant à 1,9% de la masse salariale.</w:t>
      </w:r>
    </w:p>
    <w:p>
      <w:pPr>
        <w:pStyle w:val="ListParagraph"/>
        <w:ind w:left="426" w:hanging="0"/>
        <w:rPr>
          <w:rFonts w:ascii="Calibri" w:hAnsi="Calibri" w:eastAsia="MS Mincho;ＭＳ 明朝" w:cs="Calibri"/>
          <w:sz w:val="22"/>
          <w:szCs w:val="22"/>
        </w:rPr>
      </w:pPr>
      <w:r>
        <w:rPr>
          <w:rFonts w:eastAsia="MS Mincho;ＭＳ 明朝" w:cs="Calibri" w:ascii="Calibri" w:hAnsi="Calibri"/>
          <w:sz w:val="22"/>
          <w:szCs w:val="22"/>
        </w:rPr>
      </w:r>
    </w:p>
    <w:p>
      <w:pPr>
        <w:pStyle w:val="NormalWeb"/>
        <w:numPr>
          <w:ilvl w:val="0"/>
          <w:numId w:val="2"/>
        </w:numPr>
        <w:spacing w:before="79" w:after="0"/>
        <w:ind w:left="426" w:hanging="360"/>
        <w:jc w:val="both"/>
        <w:textAlignment w:val="baseline"/>
        <w:rPr/>
      </w:pPr>
      <w:r>
        <w:rPr>
          <w:rFonts w:eastAsia="MS Mincho;ＭＳ 明朝" w:cs="Calibri" w:ascii="Calibri" w:hAnsi="Calibri"/>
          <w:sz w:val="22"/>
          <w:szCs w:val="22"/>
        </w:rPr>
        <w:t>Un passage en catégorie « Hors classification » pour les salariés ayant un salaire annuel brut de base de 97 000 € contre 93 269 €.</w:t>
      </w:r>
    </w:p>
    <w:p>
      <w:pPr>
        <w:pStyle w:val="NormalWeb"/>
        <w:spacing w:before="79" w:after="0"/>
        <w:ind w:left="426" w:hanging="0"/>
        <w:jc w:val="both"/>
        <w:textAlignment w:val="baseline"/>
        <w:rPr>
          <w:rFonts w:ascii="Calibri" w:hAnsi="Calibri" w:eastAsia="MS Mincho;ＭＳ 明朝" w:cs="Calibri"/>
          <w:sz w:val="22"/>
          <w:szCs w:val="22"/>
        </w:rPr>
      </w:pPr>
      <w:r>
        <w:rPr>
          <w:rFonts w:eastAsia="MS Mincho;ＭＳ 明朝" w:cs="Calibri" w:ascii="Calibri" w:hAnsi="Calibri"/>
          <w:sz w:val="22"/>
          <w:szCs w:val="22"/>
        </w:rPr>
      </w:r>
    </w:p>
    <w:p>
      <w:pPr>
        <w:pStyle w:val="NormalWeb"/>
        <w:numPr>
          <w:ilvl w:val="0"/>
          <w:numId w:val="2"/>
        </w:numPr>
        <w:spacing w:before="79" w:after="0"/>
        <w:ind w:left="426" w:hanging="360"/>
        <w:jc w:val="both"/>
        <w:textAlignment w:val="baseline"/>
        <w:rPr>
          <w:rFonts w:ascii="Calibri" w:hAnsi="Calibri" w:eastAsia="MS Mincho;ＭＳ 明朝" w:cs="Calibri"/>
          <w:sz w:val="22"/>
          <w:szCs w:val="22"/>
        </w:rPr>
      </w:pPr>
      <w:r>
        <w:rPr>
          <w:rFonts w:eastAsia="MS Mincho;ＭＳ 明朝" w:cs="Calibri" w:ascii="Calibri" w:hAnsi="Calibri"/>
          <w:sz w:val="22"/>
          <w:szCs w:val="22"/>
        </w:rPr>
        <w:t xml:space="preserve">La direction rappelle que le rattrapage salarial des salariées de retour de congé maternité est une obligation légale depuis le 25 mars 2006 et est prévu à l’article L. 1225-26 du code du travail et que la société applique ce rattrapage conformément à ce que prévoit le code du travail. </w:t>
      </w:r>
    </w:p>
    <w:p>
      <w:pPr>
        <w:pStyle w:val="NormalWeb"/>
        <w:spacing w:before="79" w:after="0"/>
        <w:ind w:left="450" w:hanging="0"/>
        <w:jc w:val="both"/>
        <w:textAlignment w:val="baseline"/>
        <w:rPr>
          <w:rFonts w:ascii="Calibri" w:hAnsi="Calibri" w:eastAsia="MS Mincho;ＭＳ 明朝" w:cs="Calibri"/>
          <w:sz w:val="22"/>
          <w:szCs w:val="22"/>
        </w:rPr>
      </w:pPr>
      <w:r>
        <w:rPr>
          <w:rFonts w:eastAsia="MS Mincho;ＭＳ 明朝" w:cs="Calibri" w:ascii="Calibri" w:hAnsi="Calibri"/>
          <w:sz w:val="22"/>
          <w:szCs w:val="22"/>
        </w:rPr>
      </w:r>
    </w:p>
    <w:p>
      <w:pPr>
        <w:pStyle w:val="NormalWeb"/>
        <w:spacing w:before="79" w:after="0"/>
        <w:jc w:val="both"/>
        <w:textAlignment w:val="baseline"/>
        <w:rPr>
          <w:rFonts w:ascii="Calibri" w:hAnsi="Calibri" w:cs="Calibri"/>
          <w:iCs/>
          <w:sz w:val="22"/>
          <w:szCs w:val="22"/>
        </w:rPr>
      </w:pPr>
      <w:r>
        <w:rPr>
          <w:rFonts w:cs="Calibri" w:ascii="Calibri" w:hAnsi="Calibri"/>
          <w:iCs/>
          <w:sz w:val="22"/>
          <w:szCs w:val="22"/>
        </w:rPr>
        <w:t xml:space="preserve">De façon générale, la Direction veillera à ce que les mesures proposées en termes de rémunération et d’épargne salariale restent compétitives afin de conserver son attractivité en tant qu’employeur. </w:t>
      </w:r>
    </w:p>
    <w:p>
      <w:pPr>
        <w:pStyle w:val="NormalWeb"/>
        <w:spacing w:before="79" w:after="0"/>
        <w:jc w:val="both"/>
        <w:textAlignment w:val="baseline"/>
        <w:rPr>
          <w:rFonts w:ascii="Calibri" w:hAnsi="Calibri" w:cs="Calibri"/>
          <w:iCs/>
          <w:color w:val="000000"/>
          <w:sz w:val="22"/>
          <w:szCs w:val="22"/>
        </w:rPr>
      </w:pPr>
      <w:r>
        <w:rPr>
          <w:rFonts w:cs="Calibri" w:ascii="Calibri" w:hAnsi="Calibri"/>
          <w:iCs/>
          <w:color w:val="000000"/>
          <w:sz w:val="22"/>
          <w:szCs w:val="22"/>
        </w:rPr>
      </w:r>
    </w:p>
    <w:p>
      <w:pPr>
        <w:pStyle w:val="Texte"/>
        <w:rPr>
          <w:rFonts w:ascii="Calibri" w:hAnsi="Calibri" w:cs="Calibri"/>
          <w:szCs w:val="22"/>
        </w:rPr>
      </w:pPr>
      <w:r>
        <w:rPr>
          <w:rFonts w:cs="Calibri" w:ascii="Calibri" w:hAnsi="Calibri"/>
          <w:szCs w:val="22"/>
        </w:rPr>
        <w:t>Le présent procès-verbal a fait l’objet d’une information et consultation du comité d’entreprise le 19 décembre 2019.</w:t>
      </w:r>
    </w:p>
    <w:p>
      <w:pPr>
        <w:pStyle w:val="Texte"/>
        <w:rPr>
          <w:rFonts w:ascii="Calibri" w:hAnsi="Calibri" w:cs="Calibri"/>
          <w:szCs w:val="22"/>
        </w:rPr>
      </w:pPr>
      <w:r>
        <w:rPr>
          <w:rFonts w:cs="Calibri" w:ascii="Calibri" w:hAnsi="Calibri"/>
          <w:szCs w:val="22"/>
        </w:rPr>
      </w:r>
    </w:p>
    <w:p>
      <w:pPr>
        <w:pStyle w:val="Texte"/>
        <w:rPr>
          <w:rFonts w:ascii="Calibri" w:hAnsi="Calibri" w:cs="Calibri"/>
          <w:szCs w:val="22"/>
        </w:rPr>
      </w:pPr>
      <w:r>
        <w:rPr>
          <w:rFonts w:cs="Calibri" w:ascii="Calibri" w:hAnsi="Calibri"/>
          <w:szCs w:val="22"/>
        </w:rPr>
        <w:t>A Paris la Défense, le 19 décembre 2019</w:t>
      </w:r>
    </w:p>
    <w:tbl>
      <w:tblPr>
        <w:tblW w:w="9296"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095"/>
        <w:gridCol w:w="3095"/>
        <w:gridCol w:w="3106"/>
      </w:tblGrid>
      <w:tr>
        <w:trPr/>
        <w:tc>
          <w:tcPr>
            <w:tcW w:w="30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e"/>
              <w:rPr>
                <w:rFonts w:ascii="Calibri" w:hAnsi="Calibri" w:cs="Calibri"/>
                <w:szCs w:val="22"/>
              </w:rPr>
            </w:pPr>
            <w:r>
              <w:rPr>
                <w:rFonts w:cs="Calibri" w:ascii="Calibri" w:hAnsi="Calibri"/>
                <w:szCs w:val="22"/>
              </w:rPr>
              <w:t>Pour la Direction</w:t>
            </w:r>
          </w:p>
          <w:p>
            <w:pPr>
              <w:pStyle w:val="Texte"/>
              <w:rPr>
                <w:rFonts w:ascii="Calibri" w:hAnsi="Calibri" w:cs="Calibri"/>
                <w:szCs w:val="22"/>
              </w:rPr>
            </w:pPr>
            <w:r>
              <w:rPr>
                <w:rFonts w:cs="Calibri" w:ascii="Calibri" w:hAnsi="Calibri"/>
                <w:szCs w:val="22"/>
              </w:rPr>
            </w:r>
          </w:p>
        </w:tc>
        <w:tc>
          <w:tcPr>
            <w:tcW w:w="30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e"/>
              <w:rPr>
                <w:rFonts w:ascii="Calibri" w:hAnsi="Calibri" w:cs="Calibri"/>
                <w:szCs w:val="22"/>
              </w:rPr>
            </w:pPr>
            <w:r>
              <w:rPr>
                <w:rFonts w:cs="Calibri" w:ascii="Calibri" w:hAnsi="Calibri"/>
                <w:szCs w:val="22"/>
              </w:rPr>
              <w:t>Pour la CFDT</w:t>
            </w:r>
          </w:p>
          <w:p>
            <w:pPr>
              <w:pStyle w:val="Texte"/>
              <w:rPr>
                <w:rFonts w:ascii="Calibri" w:hAnsi="Calibri" w:cs="Calibri"/>
                <w:szCs w:val="22"/>
              </w:rPr>
            </w:pPr>
            <w:r>
              <w:rPr>
                <w:rFonts w:cs="Calibri" w:ascii="Calibri" w:hAnsi="Calibri"/>
                <w:szCs w:val="22"/>
              </w:rPr>
            </w:r>
          </w:p>
        </w:tc>
        <w:tc>
          <w:tcPr>
            <w:tcW w:w="3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e"/>
              <w:rPr>
                <w:rFonts w:ascii="Calibri" w:hAnsi="Calibri" w:cs="Calibri"/>
                <w:szCs w:val="22"/>
              </w:rPr>
            </w:pPr>
            <w:r>
              <w:rPr>
                <w:rFonts w:cs="Calibri" w:ascii="Calibri" w:hAnsi="Calibri"/>
                <w:szCs w:val="22"/>
              </w:rPr>
              <w:t>Pour le SNB – CFE/CGC</w:t>
            </w:r>
          </w:p>
          <w:p>
            <w:pPr>
              <w:pStyle w:val="Texte"/>
              <w:rPr>
                <w:rFonts w:ascii="Calibri" w:hAnsi="Calibri" w:cs="Calibri"/>
                <w:szCs w:val="22"/>
              </w:rPr>
            </w:pPr>
            <w:r>
              <w:rPr>
                <w:rFonts w:cs="Calibri" w:ascii="Calibri" w:hAnsi="Calibri"/>
                <w:szCs w:val="22"/>
              </w:rPr>
            </w:r>
          </w:p>
        </w:tc>
      </w:tr>
      <w:tr>
        <w:trPr/>
        <w:tc>
          <w:tcPr>
            <w:tcW w:w="30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e"/>
              <w:snapToGrid w:val="false"/>
              <w:rPr>
                <w:rFonts w:ascii="Calibri" w:hAnsi="Calibri" w:cs="Calibri"/>
                <w:szCs w:val="22"/>
              </w:rPr>
            </w:pPr>
            <w:r>
              <w:rPr>
                <w:rFonts w:cs="Calibri" w:ascii="Calibri" w:hAnsi="Calibri"/>
                <w:szCs w:val="22"/>
              </w:rPr>
            </w:r>
          </w:p>
          <w:p>
            <w:pPr>
              <w:pStyle w:val="Texte"/>
              <w:rPr>
                <w:rFonts w:ascii="Calibri" w:hAnsi="Calibri" w:cs="Calibri"/>
                <w:szCs w:val="22"/>
              </w:rPr>
            </w:pPr>
            <w:r>
              <w:rPr>
                <w:rFonts w:cs="Calibri" w:ascii="Calibri" w:hAnsi="Calibri"/>
                <w:szCs w:val="22"/>
              </w:rPr>
            </w:r>
          </w:p>
          <w:p>
            <w:pPr>
              <w:pStyle w:val="Texte"/>
              <w:rPr>
                <w:rFonts w:ascii="Calibri" w:hAnsi="Calibri" w:cs="Calibri"/>
                <w:szCs w:val="22"/>
              </w:rPr>
            </w:pPr>
            <w:r>
              <w:rPr>
                <w:rFonts w:cs="Calibri" w:ascii="Calibri" w:hAnsi="Calibri"/>
                <w:szCs w:val="22"/>
              </w:rPr>
            </w:r>
          </w:p>
          <w:p>
            <w:pPr>
              <w:pStyle w:val="Texte"/>
              <w:rPr>
                <w:rFonts w:ascii="Calibri" w:hAnsi="Calibri" w:cs="Calibri"/>
                <w:szCs w:val="22"/>
              </w:rPr>
            </w:pPr>
            <w:r>
              <w:rPr>
                <w:rFonts w:cs="Calibri" w:ascii="Calibri" w:hAnsi="Calibri"/>
                <w:szCs w:val="22"/>
              </w:rPr>
            </w:r>
          </w:p>
        </w:tc>
        <w:tc>
          <w:tcPr>
            <w:tcW w:w="30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e"/>
              <w:snapToGrid w:val="false"/>
              <w:rPr>
                <w:rFonts w:ascii="Calibri" w:hAnsi="Calibri" w:cs="Calibri"/>
                <w:szCs w:val="22"/>
              </w:rPr>
            </w:pPr>
            <w:r>
              <w:rPr>
                <w:rFonts w:cs="Calibri" w:ascii="Calibri" w:hAnsi="Calibri"/>
                <w:szCs w:val="22"/>
              </w:rPr>
            </w:r>
          </w:p>
        </w:tc>
        <w:tc>
          <w:tcPr>
            <w:tcW w:w="31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e"/>
              <w:snapToGrid w:val="false"/>
              <w:rPr>
                <w:rFonts w:ascii="Calibri" w:hAnsi="Calibri" w:cs="Calibri"/>
                <w:szCs w:val="22"/>
              </w:rPr>
            </w:pPr>
            <w:r>
              <w:rPr>
                <w:rFonts w:cs="Calibri" w:ascii="Calibri" w:hAnsi="Calibri"/>
                <w:szCs w:val="22"/>
              </w:rPr>
            </w:r>
          </w:p>
        </w:tc>
      </w:tr>
    </w:tbl>
    <w:p>
      <w:pPr>
        <w:pStyle w:val="Texte"/>
        <w:rPr>
          <w:rFonts w:ascii="Calibri" w:hAnsi="Calibri" w:cs="Calibri"/>
          <w:szCs w:val="22"/>
        </w:rPr>
      </w:pPr>
      <w:r>
        <w:rPr>
          <w:rFonts w:cs="Calibri" w:ascii="Calibri" w:hAnsi="Calibri"/>
          <w:szCs w:val="22"/>
        </w:rPr>
      </w:r>
    </w:p>
    <w:sectPr>
      <w:headerReference w:type="even" r:id="rId3"/>
      <w:headerReference w:type="default" r:id="rId4"/>
      <w:footerReference w:type="even" r:id="rId5"/>
      <w:footerReference w:type="default" r:id="rId6"/>
      <w:type w:val="nextPage"/>
      <w:pgSz w:w="11906" w:h="16838"/>
      <w:pgMar w:left="1418" w:right="1418" w:header="709" w:top="1170" w:footer="709"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Calibri">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lang w:val="en-GB"/>
      </w:rPr>
    </w:pPr>
    <w:bookmarkStart w:id="2" w:name="SSCStd1FooterEvenPages"/>
    <w:bookmarkStart w:id="3" w:name="SSCStd1FooterEvenPages"/>
    <w:bookmarkEnd w:id="3"/>
    <w:r>
      <w:rPr>
        <w:lang w:val="en-GB"/>
      </w:rPr>
    </w:r>
  </w:p>
  <w:p>
    <w:pPr>
      <w:pStyle w:val="Footer"/>
      <w:rPr>
        <w:lang w:val="en-GB"/>
      </w:rPr>
    </w:pPr>
    <w:bookmarkStart w:id="4" w:name="SSCStd1FooterEvenPages"/>
    <w:bookmarkStart w:id="5" w:name="SSCStd1FooterEvenPages"/>
    <w:bookmarkEnd w:id="5"/>
    <w:r>
      <w:rPr>
        <w:lang w:val="en-GB"/>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Calibri" w:hAnsi="Calibri" w:cs="Calibri"/>
        <w:sz w:val="16"/>
      </w:rPr>
    </w:pPr>
    <w:bookmarkStart w:id="6" w:name="SSCStd1FooterPrimary"/>
    <w:bookmarkStart w:id="7" w:name="SSCStd1FooterPrimary"/>
    <w:bookmarkEnd w:id="7"/>
    <w:r>
      <w:rPr>
        <w:rFonts w:cs="Calibri" w:ascii="Calibri" w:hAnsi="Calibri"/>
        <w:sz w:val="16"/>
      </w:rPr>
    </w:r>
  </w:p>
  <w:p>
    <w:pPr>
      <w:pStyle w:val="Footer"/>
      <w:rPr>
        <w:rFonts w:ascii="Calibri" w:hAnsi="Calibri" w:cs="Calibri"/>
        <w:sz w:val="16"/>
      </w:rPr>
    </w:pPr>
    <w:bookmarkStart w:id="8" w:name="SSCStd1FooterPrimary"/>
    <w:bookmarkStart w:id="9" w:name="SSCStd1FooterPrimary"/>
    <w:bookmarkEnd w:id="9"/>
    <w:r>
      <w:rPr>
        <w:rFonts w:cs="Calibri" w:ascii="Calibri" w:hAnsi="Calibri"/>
        <w:sz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sz w:val="44"/>
      </w:rPr>
    </w:pPr>
    <w:r>
      <w:rPr>
        <w:sz w:val="44"/>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810" w:hanging="360"/>
      </w:pPr>
      <w:rPr>
        <w:sz w:val="22"/>
        <w:szCs w:val="22"/>
        <w:rFonts w:ascii="Calibri" w:hAnsi="Calibri" w:eastAsia="MS Mincho;ＭＳ 明朝" w:cs="Calibri"/>
      </w:rPr>
    </w:lvl>
  </w:abstractNum>
  <w:abstractNum w:abstractNumId="3">
    <w:lvl w:ilvl="0">
      <w:numFmt w:val="bullet"/>
      <w:lvlText w:val="-"/>
      <w:lvlJc w:val="left"/>
      <w:pPr>
        <w:ind w:left="360" w:hanging="360"/>
      </w:pPr>
      <w:rPr>
        <w:rFonts w:ascii="Tahoma" w:hAnsi="Tahoma" w:cs="Tahoma" w:hint="default"/>
        <w:szCs w:val="24"/>
        <w:rFonts w:cs="Tahoma"/>
      </w:rPr>
    </w:lvl>
  </w:abstractNum>
  <w:abstractNum w:abstractNumId="4">
    <w:lvl w:ilvl="0">
      <w:start w:val="1"/>
      <w:numFmt w:val="decimal"/>
      <w:lvlText w:val="%1."/>
      <w:lvlJc w:val="left"/>
      <w:pPr>
        <w:ind w:left="72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4">
    <w:name w:val="Heading 4"/>
    <w:basedOn w:val="Normal"/>
    <w:next w:val="Normal"/>
    <w:qFormat/>
    <w:pPr>
      <w:keepNext/>
      <w:numPr>
        <w:ilvl w:val="3"/>
        <w:numId w:val="1"/>
      </w:numPr>
      <w:tabs>
        <w:tab w:val="left" w:pos="810" w:leader="none"/>
        <w:tab w:val="left" w:pos="1530" w:leader="none"/>
        <w:tab w:val="left" w:pos="2250" w:leader="none"/>
        <w:tab w:val="left" w:pos="2970" w:leader="none"/>
        <w:tab w:val="left" w:pos="3690" w:leader="none"/>
        <w:tab w:val="left" w:pos="4410" w:leader="none"/>
        <w:tab w:val="left" w:pos="5130" w:leader="none"/>
        <w:tab w:val="left" w:pos="5850" w:leader="none"/>
        <w:tab w:val="left" w:pos="6570" w:leader="none"/>
        <w:tab w:val="left" w:pos="7290" w:leader="none"/>
        <w:tab w:val="left" w:pos="8010" w:leader="none"/>
        <w:tab w:val="left" w:pos="8730" w:leader="none"/>
        <w:tab w:val="left" w:pos="9450" w:leader="none"/>
        <w:tab w:val="left" w:pos="10170" w:leader="none"/>
        <w:tab w:val="left" w:pos="10890" w:leader="none"/>
        <w:tab w:val="left" w:pos="11610" w:leader="none"/>
        <w:tab w:val="left" w:pos="12330" w:leader="none"/>
        <w:tab w:val="left" w:pos="13050" w:leader="none"/>
        <w:tab w:val="left" w:pos="13770" w:leader="none"/>
        <w:tab w:val="left" w:pos="14490" w:leader="none"/>
      </w:tabs>
      <w:autoSpaceDE w:val="false"/>
      <w:spacing w:lineRule="auto" w:line="312"/>
      <w:jc w:val="center"/>
      <w:outlineLvl w:val="3"/>
      <w:outlineLvl w:val="3"/>
    </w:pPr>
    <w:rPr>
      <w:rFonts w:ascii="Tahoma" w:hAnsi="Tahoma" w:cs="Tahoma"/>
      <w:b/>
      <w:bCs/>
      <w:color w:val="000000"/>
      <w:sz w:val="22"/>
    </w:rPr>
  </w:style>
  <w:style w:type="paragraph" w:styleId="Heading5">
    <w:name w:val="Heading 5"/>
    <w:basedOn w:val="Normal"/>
    <w:next w:val="Normal"/>
    <w:qFormat/>
    <w:pPr>
      <w:keepNext/>
      <w:numPr>
        <w:ilvl w:val="4"/>
        <w:numId w:val="1"/>
      </w:numPr>
      <w:autoSpaceDE w:val="false"/>
      <w:spacing w:lineRule="auto" w:line="312"/>
      <w:jc w:val="center"/>
      <w:outlineLvl w:val="4"/>
      <w:outlineLvl w:val="4"/>
    </w:pPr>
    <w:rPr>
      <w:rFonts w:ascii="Tahoma" w:hAnsi="Tahoma" w:cs="Tahoma"/>
      <w:b/>
      <w:bCs/>
      <w:color w:val="000000"/>
      <w:sz w:val="22"/>
      <w:u w:val="single"/>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ahoma" w:hAnsi="Tahoma" w:eastAsia="MS Mincho;ＭＳ 明朝" w:cs="Tahoma"/>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Calibri" w:hAnsi="Calibri" w:eastAsia="MS Mincho;ＭＳ 明朝" w:cs="Calibri"/>
      <w:sz w:val="22"/>
      <w:szCs w:val="22"/>
    </w:rPr>
  </w:style>
  <w:style w:type="character" w:styleId="WW8Num3z1">
    <w:name w:val="WW8Num3z1"/>
    <w:qFormat/>
    <w:rPr>
      <w:rFonts w:ascii="Symbol" w:hAnsi="Symbol" w:cs="Symbol"/>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ahoma" w:hAnsi="Tahoma" w:eastAsia="MS Mincho;ＭＳ 明朝" w:cs="Tahoma"/>
      <w:szCs w:val="24"/>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rFonts w:ascii="Symbol" w:hAnsi="Symbol" w:cs="Symbol"/>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Tahoma" w:hAnsi="Tahoma" w:eastAsia="MS Mincho;ＭＳ 明朝" w:cs="Tahoma"/>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DefaultParagraphFont">
    <w:name w:val="Default Paragraph Font"/>
    <w:qFormat/>
    <w:rPr/>
  </w:style>
  <w:style w:type="character" w:styleId="FooterChar">
    <w:name w:val="Footer Char"/>
    <w:qFormat/>
    <w:rPr>
      <w:sz w:val="24"/>
      <w:szCs w:val="24"/>
      <w:lang w:val="fr-FR"/>
    </w:rPr>
  </w:style>
  <w:style w:type="character" w:styleId="CommentReference">
    <w:name w:val="Comment Reference"/>
    <w:qFormat/>
    <w:rPr>
      <w:sz w:val="16"/>
      <w:szCs w:val="16"/>
    </w:rPr>
  </w:style>
  <w:style w:type="character" w:styleId="CommentTextChar">
    <w:name w:val="Comment Text Char"/>
    <w:qFormat/>
    <w:rPr>
      <w:lang w:val="fr-FR"/>
    </w:rPr>
  </w:style>
  <w:style w:type="character" w:styleId="CommentSubjectChar">
    <w:name w:val="Comment Subject Char"/>
    <w:qFormat/>
    <w:rPr>
      <w:b/>
      <w:bCs/>
      <w:lang w:val="fr-FR"/>
    </w:rPr>
  </w:style>
  <w:style w:type="character" w:styleId="BodyText3Char">
    <w:name w:val="Body Text 3 Char"/>
    <w:qFormat/>
    <w:rPr>
      <w:rFonts w:ascii="Tahoma" w:hAnsi="Tahoma" w:cs="Tahoma"/>
      <w:color w:val="000000"/>
      <w:sz w:val="22"/>
      <w:szCs w:val="24"/>
      <w:lang w:val="fr-FR"/>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qFormat/>
    <w:pPr>
      <w:spacing w:before="280" w:after="280"/>
    </w:pPr>
    <w:rPr/>
  </w:style>
  <w:style w:type="paragraph" w:styleId="PlainText">
    <w:name w:val="Plain Text"/>
    <w:basedOn w:val="Normal"/>
    <w:qFormat/>
    <w:pPr/>
    <w:rPr>
      <w:rFonts w:ascii="Courier New" w:hAnsi="Courier New" w:cs="Courier New"/>
      <w:sz w:val="20"/>
      <w:szCs w:val="20"/>
    </w:rPr>
  </w:style>
  <w:style w:type="paragraph" w:styleId="Texte">
    <w:name w:val="texte"/>
    <w:basedOn w:val="PlainText"/>
    <w:qFormat/>
    <w:pPr>
      <w:jc w:val="both"/>
    </w:pPr>
    <w:rPr>
      <w:rFonts w:ascii="Arial" w:hAnsi="Arial" w:eastAsia="MS Mincho;ＭＳ 明朝" w:cs="Arial"/>
      <w:sz w:val="22"/>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ind w:left="720" w:hanging="0"/>
    </w:pPr>
    <w:rPr/>
  </w:style>
  <w:style w:type="paragraph" w:styleId="CommentText">
    <w:name w:val="Comment Text"/>
    <w:basedOn w:val="Normal"/>
    <w:qFormat/>
    <w:pPr/>
    <w:rPr>
      <w:sz w:val="20"/>
      <w:szCs w:val="20"/>
    </w:rPr>
  </w:style>
  <w:style w:type="paragraph" w:styleId="CommentSubject">
    <w:name w:val="Comment Subject"/>
    <w:basedOn w:val="CommentText"/>
    <w:next w:val="CommentText"/>
    <w:qFormat/>
    <w:pPr/>
    <w:rPr>
      <w:b/>
      <w:bCs/>
    </w:rPr>
  </w:style>
  <w:style w:type="paragraph" w:styleId="BodyText3">
    <w:name w:val="Body Text 3"/>
    <w:basedOn w:val="Normal"/>
    <w:qFormat/>
    <w:pPr>
      <w:autoSpaceDE w:val="false"/>
      <w:spacing w:lineRule="atLeast" w:line="240"/>
      <w:jc w:val="both"/>
    </w:pPr>
    <w:rPr>
      <w:rFonts w:ascii="Tahoma" w:hAnsi="Tahoma" w:cs="Tahoma"/>
      <w:color w:val="000000"/>
      <w:sz w:val="2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2020-01-21T18:19:00Z</dcterms:created>
  <cp:keywords>Limited Access</cp:keywords>
  <dc:language>en-GB</dc:language>
  <cp:lastPrinted>2019-12-10T14:27:00Z</cp:lastPrinted>
  <dcterms:modified xsi:type="dcterms:W3CDTF">2020-01-21T18:19:00Z</dcterms:modified>
  <cp:revision>2</cp:revision>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CClassification">
    <vt:lpwstr>LA</vt:lpwstr>
  </property>
  <property fmtid="{D5CDD505-2E9C-101B-9397-08002B2CF9AE}" pid="3" name="SSCVisualMarks">
    <vt:lpwstr>N</vt:lpwstr>
  </property>
  <property fmtid="{D5CDD505-2E9C-101B-9397-08002B2CF9AE}" pid="4" name="TitusGUID">
    <vt:lpwstr>7c072187-d920-4e7e-ab68-2a0d8763ac5e</vt:lpwstr>
  </property>
</Properties>
</file>