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2" w:space="1" w:color="000080" w:shadow="1"/>
          <w:left w:val="single" w:sz="2" w:space="4" w:color="000080" w:shadow="1"/>
          <w:bottom w:val="single" w:sz="2" w:space="1" w:color="000080" w:shadow="1"/>
          <w:right w:val="single" w:sz="2" w:space="4" w:color="000080" w:shadow="1"/>
        </w:pBdr>
        <w:jc w:val="center"/>
        <w:rPr>
          <w:rFonts w:ascii="Arial" w:hAnsi="Arial" w:cs="Arial"/>
          <w:b/>
          <w:b/>
        </w:rPr>
      </w:pPr>
      <w:r>
        <w:rPr>
          <w:rFonts w:cs="Arial" w:ascii="Arial" w:hAnsi="Arial"/>
          <w:b/>
        </w:rPr>
        <w:tab/>
      </w:r>
    </w:p>
    <w:p>
      <w:pPr>
        <w:pStyle w:val="Normal"/>
        <w:pBdr>
          <w:top w:val="single" w:sz="2" w:space="1" w:color="000080" w:shadow="1"/>
          <w:left w:val="single" w:sz="2" w:space="4" w:color="000080" w:shadow="1"/>
          <w:bottom w:val="single" w:sz="2" w:space="1" w:color="000080" w:shadow="1"/>
          <w:right w:val="single" w:sz="2" w:space="4" w:color="000080" w:shadow="1"/>
        </w:pBdr>
        <w:jc w:val="center"/>
        <w:rPr>
          <w:rFonts w:ascii="Arial" w:hAnsi="Arial" w:cs="Arial"/>
          <w:b/>
          <w:b/>
        </w:rPr>
      </w:pPr>
      <w:r>
        <w:rPr>
          <w:rFonts w:cs="Arial" w:ascii="Arial" w:hAnsi="Arial"/>
          <w:b/>
        </w:rPr>
        <w:t>ACCORD D’ENTREPRISE RELATIF A l’INDEMNITE DE SALISSURE</w:t>
      </w:r>
    </w:p>
    <w:p>
      <w:pPr>
        <w:pStyle w:val="Normal"/>
        <w:pBdr>
          <w:top w:val="single" w:sz="2" w:space="1" w:color="000080" w:shadow="1"/>
          <w:left w:val="single" w:sz="2" w:space="4" w:color="000080" w:shadow="1"/>
          <w:bottom w:val="single" w:sz="2" w:space="1" w:color="000080" w:shadow="1"/>
          <w:right w:val="single" w:sz="2" w:space="4" w:color="000080" w:shadow="1"/>
        </w:pBdr>
        <w:jc w:val="center"/>
        <w:rPr>
          <w:rFonts w:ascii="Arial" w:hAnsi="Arial" w:cs="Arial"/>
          <w:b/>
          <w:b/>
        </w:rPr>
      </w:pPr>
      <w:r>
        <w:rPr>
          <w:rFonts w:cs="Arial" w:ascii="Arial" w:hAnsi="Arial"/>
          <w:b/>
        </w:rPr>
      </w:r>
    </w:p>
    <w:p>
      <w:pPr>
        <w:pStyle w:val="Normal"/>
        <w:rPr>
          <w:rFonts w:ascii="Arial" w:hAnsi="Arial" w:cs="Arial"/>
          <w:b/>
          <w:b/>
          <w:i/>
          <w:i/>
          <w:color w:val="000080"/>
        </w:rPr>
      </w:pPr>
      <w:r>
        <w:rPr>
          <w:rFonts w:cs="Arial" w:ascii="Arial" w:hAnsi="Arial"/>
          <w:b/>
          <w:i/>
          <w:color w:val="000080"/>
        </w:rPr>
      </w:r>
    </w:p>
    <w:p>
      <w:pPr>
        <w:pStyle w:val="Normal"/>
        <w:rPr>
          <w:rFonts w:ascii="Arial" w:hAnsi="Arial" w:cs="Arial"/>
          <w:b/>
          <w:b/>
          <w:i/>
          <w:i/>
          <w:color w:val="000080"/>
        </w:rPr>
      </w:pPr>
      <w:r>
        <w:rPr>
          <w:rFonts w:cs="Arial" w:ascii="Arial" w:hAnsi="Arial"/>
          <w:b/>
          <w:i/>
          <w:color w:val="000080"/>
        </w:rPr>
      </w:r>
    </w:p>
    <w:p>
      <w:pPr>
        <w:pStyle w:val="Normal"/>
        <w:jc w:val="both"/>
        <w:rPr>
          <w:rFonts w:ascii="Arial" w:hAnsi="Arial" w:cs="Arial"/>
        </w:rPr>
      </w:pPr>
      <w:r>
        <w:rPr>
          <w:rFonts w:cs="Arial" w:ascii="Arial" w:hAnsi="Arial"/>
        </w:rPr>
        <w:t xml:space="preserve">Entre les soussignés :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La société FRANCE BOISSONS BRETAGNE NORMANDIE, dont le siège social est situé  au ZA de la Giraudiere – CS 53 311 – 35 538 NOYAL SUR VILAINE, représentée par XXX, Directeur de région, dénommée ci-après la société,</w:t>
      </w:r>
    </w:p>
    <w:p>
      <w:pPr>
        <w:pStyle w:val="Normal"/>
        <w:ind w:left="720" w:hanging="0"/>
        <w:jc w:val="both"/>
        <w:rPr>
          <w:rFonts w:ascii="Arial" w:hAnsi="Arial" w:cs="Arial"/>
        </w:rPr>
      </w:pPr>
      <w:r>
        <w:rPr>
          <w:rFonts w:cs="Arial" w:ascii="Arial" w:hAnsi="Arial"/>
        </w:rPr>
      </w:r>
    </w:p>
    <w:p>
      <w:pPr>
        <w:pStyle w:val="Normal"/>
        <w:jc w:val="both"/>
        <w:rPr/>
      </w:pPr>
      <w:r>
        <w:rPr>
          <w:rFonts w:cs="Arial" w:ascii="Arial" w:hAnsi="Arial"/>
          <w:b/>
          <w:bCs/>
        </w:rPr>
        <w:t>ci-après dénommée « la Société »</w:t>
      </w:r>
    </w:p>
    <w:p>
      <w:pPr>
        <w:pStyle w:val="Normal"/>
        <w:ind w:left="7799" w:hanging="0"/>
        <w:jc w:val="both"/>
        <w:rPr>
          <w:rFonts w:ascii="Arial" w:hAnsi="Arial" w:cs="Arial"/>
          <w:b/>
          <w:b/>
        </w:rPr>
      </w:pPr>
      <w:r>
        <w:rPr>
          <w:rFonts w:cs="Arial" w:ascii="Arial" w:hAnsi="Arial"/>
          <w:b/>
        </w:rPr>
        <w:t>d’une part,</w:t>
      </w:r>
    </w:p>
    <w:p>
      <w:pPr>
        <w:pStyle w:val="Normal"/>
        <w:jc w:val="both"/>
        <w:rPr>
          <w:rFonts w:ascii="Arial" w:hAnsi="Arial" w:cs="Arial"/>
        </w:rPr>
      </w:pPr>
      <w:r>
        <w:rPr>
          <w:rFonts w:cs="Arial" w:ascii="Arial" w:hAnsi="Arial"/>
        </w:rPr>
        <w:tab/>
      </w:r>
    </w:p>
    <w:p>
      <w:pPr>
        <w:pStyle w:val="Normal"/>
        <w:jc w:val="both"/>
        <w:rPr/>
      </w:pPr>
      <w:r>
        <w:rPr>
          <w:rFonts w:cs="Arial" w:ascii="Arial" w:hAnsi="Arial"/>
        </w:rPr>
        <w:t xml:space="preserve">ET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L’organisation syndicale représentative de la région BRETAGNE NORMANDIE, la CFDT, représentée par XXX, dénommée ci-après l’organisation syndicale,</w:t>
      </w:r>
    </w:p>
    <w:p>
      <w:pPr>
        <w:pStyle w:val="Normal"/>
        <w:jc w:val="both"/>
        <w:rPr>
          <w:rFonts w:ascii="Arial" w:hAnsi="Arial" w:cs="Arial"/>
        </w:rPr>
      </w:pPr>
      <w:r>
        <w:rPr>
          <w:rFonts w:cs="Arial" w:ascii="Arial" w:hAnsi="Arial"/>
        </w:rPr>
      </w:r>
    </w:p>
    <w:p>
      <w:pPr>
        <w:pStyle w:val="Normal"/>
        <w:jc w:val="right"/>
        <w:rPr>
          <w:rFonts w:ascii="Arial" w:hAnsi="Arial" w:cs="Arial"/>
          <w:b/>
          <w:b/>
        </w:rPr>
      </w:pPr>
      <w:r>
        <w:rPr>
          <w:rFonts w:cs="Arial" w:ascii="Arial" w:hAnsi="Arial"/>
          <w:b/>
        </w:rPr>
        <w:t>d’autre part,</w:t>
      </w:r>
    </w:p>
    <w:p>
      <w:pPr>
        <w:pStyle w:val="TextBody"/>
        <w:rPr>
          <w:rFonts w:ascii="Arial" w:hAnsi="Arial" w:cs="Arial"/>
          <w:b/>
          <w:b/>
          <w:sz w:val="20"/>
        </w:rPr>
      </w:pPr>
      <w:r>
        <w:rPr>
          <w:rFonts w:cs="Arial" w:ascii="Arial" w:hAnsi="Arial"/>
          <w:b/>
          <w:sz w:val="20"/>
        </w:rPr>
      </w:r>
    </w:p>
    <w:p>
      <w:pPr>
        <w:pStyle w:val="TextBody"/>
        <w:rPr>
          <w:rFonts w:ascii="Arial" w:hAnsi="Arial" w:cs="Arial"/>
          <w:sz w:val="20"/>
        </w:rPr>
      </w:pPr>
      <w:r>
        <w:rPr>
          <w:rFonts w:cs="Arial" w:ascii="Arial" w:hAnsi="Arial"/>
          <w:sz w:val="20"/>
        </w:rPr>
      </w:r>
    </w:p>
    <w:p>
      <w:pPr>
        <w:pStyle w:val="TextBody"/>
        <w:rPr>
          <w:rFonts w:ascii="Arial" w:hAnsi="Arial" w:cs="Arial"/>
          <w:sz w:val="20"/>
        </w:rPr>
      </w:pPr>
      <w:r>
        <w:rPr>
          <w:rFonts w:cs="Arial" w:ascii="Arial" w:hAnsi="Arial"/>
          <w:sz w:val="20"/>
        </w:rPr>
        <w:t xml:space="preserve">Il a été convenu et arrêté les dispositions suivantes : </w:t>
      </w:r>
    </w:p>
    <w:p>
      <w:pPr>
        <w:pStyle w:val="Normal"/>
        <w:rPr>
          <w:rFonts w:ascii="Arial" w:hAnsi="Arial" w:cs="Arial"/>
          <w:sz w:val="20"/>
        </w:rPr>
      </w:pPr>
      <w:r>
        <w:rPr>
          <w:rFonts w:cs="Arial" w:ascii="Arial" w:hAnsi="Arial"/>
          <w:sz w:val="20"/>
        </w:rPr>
      </w:r>
    </w:p>
    <w:p>
      <w:pPr>
        <w:pStyle w:val="Normal"/>
        <w:spacing w:lineRule="atLeast" w:line="280"/>
        <w:jc w:val="center"/>
        <w:rPr>
          <w:rFonts w:ascii="Arial" w:hAnsi="Arial" w:cs="Arial"/>
          <w:b/>
          <w:b/>
        </w:rPr>
      </w:pPr>
      <w:r>
        <w:rPr>
          <w:rFonts w:cs="Arial" w:ascii="Arial" w:hAnsi="Arial"/>
          <w:b/>
        </w:rPr>
        <w:t>PREAMBULE</w:t>
      </w:r>
    </w:p>
    <w:p>
      <w:pPr>
        <w:pStyle w:val="Normal"/>
        <w:spacing w:lineRule="atLeast" w:line="280"/>
        <w:jc w:val="center"/>
        <w:rPr>
          <w:rFonts w:ascii="Arial" w:hAnsi="Arial" w:cs="Arial"/>
          <w:b/>
          <w:b/>
        </w:rPr>
      </w:pPr>
      <w:r>
        <w:rPr>
          <w:rFonts w:cs="Arial" w:ascii="Arial" w:hAnsi="Arial"/>
          <w:b/>
        </w:rPr>
      </w:r>
    </w:p>
    <w:p>
      <w:pPr>
        <w:pStyle w:val="Normal"/>
        <w:ind w:right="56" w:hanging="0"/>
        <w:jc w:val="both"/>
        <w:rPr>
          <w:rFonts w:ascii="Arial" w:hAnsi="Arial" w:cs="Arial"/>
        </w:rPr>
      </w:pPr>
      <w:r>
        <w:rPr>
          <w:rFonts w:cs="Arial" w:ascii="Arial" w:hAnsi="Arial"/>
        </w:rPr>
        <w:t xml:space="preserve">L’activité de nos salariés nécessite le port de tenues de travail particulières fournies par l’entreprise et dont le port est obligatoire. </w:t>
      </w:r>
    </w:p>
    <w:p>
      <w:pPr>
        <w:pStyle w:val="Normal"/>
        <w:ind w:right="56" w:hanging="0"/>
        <w:jc w:val="both"/>
        <w:rPr>
          <w:rFonts w:ascii="Arial" w:hAnsi="Arial" w:cs="Arial"/>
        </w:rPr>
      </w:pPr>
      <w:r>
        <w:rPr>
          <w:rFonts w:cs="Arial" w:ascii="Arial" w:hAnsi="Arial"/>
        </w:rPr>
      </w:r>
    </w:p>
    <w:p>
      <w:pPr>
        <w:pStyle w:val="Normal"/>
        <w:ind w:right="56" w:hanging="0"/>
        <w:jc w:val="both"/>
        <w:rPr>
          <w:rFonts w:ascii="Arial" w:hAnsi="Arial" w:cs="Arial"/>
        </w:rPr>
      </w:pPr>
      <w:r>
        <w:rPr>
          <w:rFonts w:cs="Arial" w:ascii="Arial" w:hAnsi="Arial"/>
        </w:rPr>
        <w:t xml:space="preserve">Ces tenues tiennent compte des impératifs de sécurité (notamment visibilité, protection individuelle etc.), et sont prévues pour une activité pouvant être réalisée alternativement à l’extérieur et à l’intérieur. </w:t>
      </w:r>
    </w:p>
    <w:p>
      <w:pPr>
        <w:pStyle w:val="Normal"/>
        <w:ind w:right="56" w:hanging="0"/>
        <w:jc w:val="both"/>
        <w:rPr>
          <w:rFonts w:ascii="Arial" w:hAnsi="Arial" w:cs="Arial"/>
        </w:rPr>
      </w:pPr>
      <w:r>
        <w:rPr>
          <w:rFonts w:cs="Arial" w:ascii="Arial" w:hAnsi="Arial"/>
        </w:rPr>
      </w:r>
    </w:p>
    <w:p>
      <w:pPr>
        <w:pStyle w:val="Normal"/>
        <w:ind w:right="56" w:hanging="0"/>
        <w:jc w:val="both"/>
        <w:rPr>
          <w:rFonts w:ascii="Arial" w:hAnsi="Arial" w:cs="Arial"/>
        </w:rPr>
      </w:pPr>
      <w:r>
        <w:rPr>
          <w:rFonts w:cs="Arial" w:ascii="Arial" w:hAnsi="Arial"/>
        </w:rPr>
        <w:t>De ce fait, les parties se sont rencontrées afin de définir comment l’entretien de ces tenues doit être pris en compte, étant entendu que cette prise en charge doit s’inscrire dans les règles fixées par l’URSSAF.</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u w:val="single"/>
        </w:rPr>
      </w:pPr>
      <w:r>
        <w:rPr>
          <w:rFonts w:cs="Arial" w:ascii="Arial" w:hAnsi="Arial"/>
          <w:b/>
          <w:u w:val="single"/>
        </w:rPr>
        <w:t xml:space="preserve">Article 1 – Champ d’application et objet du présent accord </w:t>
      </w:r>
    </w:p>
    <w:p>
      <w:pPr>
        <w:pStyle w:val="Normal"/>
        <w:jc w:val="both"/>
        <w:rPr>
          <w:rFonts w:ascii="Arial" w:hAnsi="Arial" w:cs="Arial"/>
          <w:b/>
          <w:b/>
          <w:u w:val="single"/>
        </w:rPr>
      </w:pPr>
      <w:r>
        <w:rPr>
          <w:rFonts w:cs="Arial" w:ascii="Arial" w:hAnsi="Arial"/>
          <w:b/>
          <w:u w:val="single"/>
        </w:rPr>
      </w:r>
    </w:p>
    <w:p>
      <w:pPr>
        <w:pStyle w:val="Normal"/>
        <w:spacing w:lineRule="atLeast" w:line="280"/>
        <w:jc w:val="both"/>
        <w:rPr>
          <w:rFonts w:ascii="Arial" w:hAnsi="Arial" w:cs="Arial"/>
        </w:rPr>
      </w:pPr>
      <w:r>
        <w:rPr>
          <w:rFonts w:cs="Arial" w:ascii="Arial" w:hAnsi="Arial"/>
        </w:rPr>
        <w:t>Le bénéfice de l’indemnité de salissure est ouvert aux salariés occupant les fonctions suivantes :</w:t>
      </w:r>
    </w:p>
    <w:p>
      <w:pPr>
        <w:pStyle w:val="Normal"/>
        <w:spacing w:lineRule="atLeast" w:line="280"/>
        <w:rPr>
          <w:rFonts w:ascii="Arial" w:hAnsi="Arial" w:cs="Arial"/>
          <w:b/>
          <w:b/>
        </w:rPr>
      </w:pPr>
      <w:r>
        <w:rPr>
          <w:rFonts w:cs="Arial" w:ascii="Arial" w:hAnsi="Arial"/>
          <w:b/>
        </w:rPr>
      </w:r>
    </w:p>
    <w:p>
      <w:pPr>
        <w:pStyle w:val="Paragraphedeliste"/>
        <w:numPr>
          <w:ilvl w:val="0"/>
          <w:numId w:val="2"/>
        </w:numPr>
        <w:jc w:val="both"/>
        <w:rPr>
          <w:rFonts w:ascii="Arial" w:hAnsi="Arial" w:cs="Arial"/>
          <w:sz w:val="20"/>
          <w:szCs w:val="20"/>
        </w:rPr>
      </w:pPr>
      <w:r>
        <w:rPr>
          <w:rFonts w:cs="Arial" w:ascii="Arial" w:hAnsi="Arial"/>
          <w:sz w:val="20"/>
          <w:szCs w:val="20"/>
        </w:rPr>
        <w:t>Chauffeur livreur,</w:t>
      </w:r>
    </w:p>
    <w:p>
      <w:pPr>
        <w:pStyle w:val="Paragraphedeliste"/>
        <w:numPr>
          <w:ilvl w:val="0"/>
          <w:numId w:val="2"/>
        </w:numPr>
        <w:jc w:val="both"/>
        <w:rPr>
          <w:rFonts w:ascii="Arial" w:hAnsi="Arial" w:cs="Arial"/>
          <w:sz w:val="20"/>
          <w:szCs w:val="20"/>
        </w:rPr>
      </w:pPr>
      <w:r>
        <w:rPr>
          <w:rFonts w:cs="Arial" w:ascii="Arial" w:hAnsi="Arial"/>
          <w:sz w:val="20"/>
          <w:szCs w:val="20"/>
        </w:rPr>
        <w:t>Aide Livreur,</w:t>
      </w:r>
    </w:p>
    <w:p>
      <w:pPr>
        <w:pStyle w:val="Paragraphedeliste"/>
        <w:numPr>
          <w:ilvl w:val="0"/>
          <w:numId w:val="2"/>
        </w:numPr>
        <w:jc w:val="both"/>
        <w:rPr/>
      </w:pPr>
      <w:r>
        <w:rPr>
          <w:rFonts w:cs="Arial" w:ascii="Arial" w:hAnsi="Arial"/>
          <w:sz w:val="20"/>
          <w:szCs w:val="20"/>
        </w:rPr>
        <w:t>Technicien STC,</w:t>
      </w:r>
    </w:p>
    <w:p>
      <w:pPr>
        <w:pStyle w:val="Paragraphedeliste"/>
        <w:numPr>
          <w:ilvl w:val="0"/>
          <w:numId w:val="2"/>
        </w:numPr>
        <w:jc w:val="both"/>
        <w:rPr>
          <w:rFonts w:ascii="Arial" w:hAnsi="Arial" w:cs="Arial"/>
          <w:sz w:val="20"/>
          <w:szCs w:val="20"/>
        </w:rPr>
      </w:pPr>
      <w:r>
        <w:rPr>
          <w:rFonts w:cs="Arial" w:ascii="Arial" w:hAnsi="Arial"/>
          <w:sz w:val="20"/>
          <w:szCs w:val="20"/>
        </w:rPr>
        <w:t>Agent logistique,</w:t>
      </w:r>
    </w:p>
    <w:p>
      <w:pPr>
        <w:pStyle w:val="Paragraphedeliste"/>
        <w:numPr>
          <w:ilvl w:val="0"/>
          <w:numId w:val="2"/>
        </w:numPr>
        <w:jc w:val="both"/>
        <w:rPr>
          <w:rFonts w:ascii="Arial" w:hAnsi="Arial" w:cs="Arial"/>
          <w:sz w:val="20"/>
          <w:szCs w:val="20"/>
        </w:rPr>
      </w:pPr>
      <w:r>
        <w:rPr>
          <w:rFonts w:cs="Arial" w:ascii="Arial" w:hAnsi="Arial"/>
          <w:sz w:val="20"/>
          <w:szCs w:val="20"/>
        </w:rPr>
        <w:t>Responsable préparation,</w:t>
      </w:r>
    </w:p>
    <w:p>
      <w:pPr>
        <w:pStyle w:val="Paragraphedeliste"/>
        <w:numPr>
          <w:ilvl w:val="0"/>
          <w:numId w:val="2"/>
        </w:numPr>
        <w:jc w:val="both"/>
        <w:rPr>
          <w:rFonts w:ascii="Arial" w:hAnsi="Arial" w:cs="Arial"/>
          <w:sz w:val="20"/>
          <w:szCs w:val="20"/>
        </w:rPr>
      </w:pPr>
      <w:r>
        <w:rPr>
          <w:rFonts w:cs="Arial" w:ascii="Arial" w:hAnsi="Arial"/>
          <w:sz w:val="20"/>
          <w:szCs w:val="20"/>
        </w:rPr>
        <w:t>Gestionnaire de flux,</w:t>
      </w:r>
    </w:p>
    <w:p>
      <w:pPr>
        <w:pStyle w:val="Paragraphedeliste"/>
        <w:numPr>
          <w:ilvl w:val="0"/>
          <w:numId w:val="2"/>
        </w:numPr>
        <w:jc w:val="both"/>
        <w:rPr>
          <w:rFonts w:ascii="Arial" w:hAnsi="Arial" w:cs="Arial"/>
          <w:sz w:val="20"/>
          <w:szCs w:val="20"/>
        </w:rPr>
      </w:pPr>
      <w:r>
        <w:rPr>
          <w:rFonts w:cs="Arial" w:ascii="Arial" w:hAnsi="Arial"/>
          <w:sz w:val="20"/>
          <w:szCs w:val="20"/>
        </w:rPr>
        <w:t>Gestionnaire distribution,</w:t>
      </w:r>
    </w:p>
    <w:p>
      <w:pPr>
        <w:pStyle w:val="Paragraphedeliste"/>
        <w:numPr>
          <w:ilvl w:val="0"/>
          <w:numId w:val="2"/>
        </w:numPr>
        <w:jc w:val="both"/>
        <w:rPr>
          <w:rFonts w:ascii="Arial" w:hAnsi="Arial" w:cs="Arial"/>
          <w:sz w:val="20"/>
          <w:szCs w:val="20"/>
        </w:rPr>
      </w:pPr>
      <w:r>
        <w:rPr>
          <w:rFonts w:cs="Arial" w:ascii="Arial" w:hAnsi="Arial"/>
          <w:sz w:val="20"/>
          <w:szCs w:val="20"/>
        </w:rPr>
        <w:t>Adjoint au responsable distribution,</w:t>
      </w:r>
    </w:p>
    <w:p>
      <w:pPr>
        <w:pStyle w:val="Paragraphedeliste"/>
        <w:numPr>
          <w:ilvl w:val="0"/>
          <w:numId w:val="2"/>
        </w:numPr>
        <w:jc w:val="both"/>
        <w:rPr>
          <w:rFonts w:ascii="Arial" w:hAnsi="Arial" w:cs="Arial"/>
          <w:sz w:val="20"/>
          <w:szCs w:val="20"/>
        </w:rPr>
      </w:pPr>
      <w:r>
        <w:rPr>
          <w:rFonts w:cs="Arial" w:ascii="Arial" w:hAnsi="Arial"/>
          <w:sz w:val="20"/>
          <w:szCs w:val="20"/>
        </w:rPr>
        <w:t>Référent technique</w:t>
      </w:r>
    </w:p>
    <w:p>
      <w:pPr>
        <w:pStyle w:val="Paragraphedeliste"/>
        <w:ind w:left="720" w:hanging="0"/>
        <w:jc w:val="both"/>
        <w:rPr>
          <w:rFonts w:ascii="Arial" w:hAnsi="Arial" w:cs="Arial"/>
          <w:sz w:val="20"/>
          <w:szCs w:val="20"/>
        </w:rPr>
      </w:pPr>
      <w:r>
        <w:rPr>
          <w:rFonts w:cs="Arial" w:ascii="Arial" w:hAnsi="Arial"/>
          <w:sz w:val="20"/>
          <w:szCs w:val="20"/>
        </w:rPr>
      </w:r>
    </w:p>
    <w:p>
      <w:pPr>
        <w:pStyle w:val="Normal"/>
        <w:ind w:right="56" w:hanging="0"/>
        <w:jc w:val="both"/>
        <w:rPr>
          <w:rFonts w:ascii="Arial" w:hAnsi="Arial" w:cs="Arial"/>
          <w:sz w:val="20"/>
          <w:szCs w:val="20"/>
        </w:rPr>
      </w:pPr>
      <w:r>
        <w:rPr>
          <w:rFonts w:cs="Arial" w:ascii="Arial" w:hAnsi="Arial"/>
          <w:sz w:val="20"/>
          <w:szCs w:val="20"/>
        </w:rPr>
      </w:r>
    </w:p>
    <w:p>
      <w:pPr>
        <w:pStyle w:val="Normal"/>
        <w:ind w:right="56" w:hanging="0"/>
        <w:jc w:val="both"/>
        <w:rPr>
          <w:rFonts w:ascii="Arial" w:hAnsi="Arial" w:cs="Arial"/>
          <w:b/>
          <w:b/>
          <w:u w:val="single"/>
        </w:rPr>
      </w:pPr>
      <w:r>
        <w:rPr>
          <w:rFonts w:cs="Arial" w:ascii="Arial" w:hAnsi="Arial"/>
          <w:b/>
          <w:u w:val="single"/>
        </w:rPr>
        <w:t>Article 2 – Critères d’attribution</w:t>
      </w:r>
    </w:p>
    <w:p>
      <w:pPr>
        <w:pStyle w:val="Normal"/>
        <w:ind w:right="56" w:hanging="0"/>
        <w:jc w:val="both"/>
        <w:rPr>
          <w:rFonts w:ascii="Arial" w:hAnsi="Arial" w:cs="Arial"/>
          <w:b/>
          <w:b/>
          <w:color w:val="000000"/>
          <w:u w:val="single"/>
        </w:rPr>
      </w:pPr>
      <w:r>
        <w:rPr>
          <w:rFonts w:cs="Arial" w:ascii="Arial" w:hAnsi="Arial"/>
          <w:b/>
          <w:color w:val="000000"/>
          <w:u w:val="single"/>
        </w:rPr>
      </w:r>
    </w:p>
    <w:p>
      <w:pPr>
        <w:pStyle w:val="Normal"/>
        <w:ind w:right="56" w:hanging="0"/>
        <w:jc w:val="both"/>
        <w:rPr>
          <w:rFonts w:ascii="Arial" w:hAnsi="Arial" w:cs="Arial"/>
          <w:b/>
          <w:b/>
        </w:rPr>
      </w:pPr>
      <w:r>
        <w:rPr>
          <w:rFonts w:cs="Arial" w:ascii="Arial" w:hAnsi="Arial"/>
          <w:b/>
        </w:rPr>
        <w:t xml:space="preserve">2.1-  Ancienneté - Contrats : </w:t>
      </w:r>
    </w:p>
    <w:p>
      <w:pPr>
        <w:pStyle w:val="Normal"/>
        <w:ind w:right="56" w:hanging="0"/>
        <w:jc w:val="both"/>
        <w:rPr>
          <w:rFonts w:ascii="Arial" w:hAnsi="Arial" w:cs="Arial"/>
          <w:b/>
          <w:b/>
        </w:rPr>
      </w:pPr>
      <w:r>
        <w:rPr>
          <w:rFonts w:cs="Arial" w:ascii="Arial" w:hAnsi="Arial"/>
          <w:b/>
        </w:rPr>
      </w:r>
    </w:p>
    <w:p>
      <w:pPr>
        <w:pStyle w:val="Normal"/>
        <w:spacing w:lineRule="atLeast" w:line="280"/>
        <w:jc w:val="both"/>
        <w:rPr>
          <w:rFonts w:ascii="Arial" w:hAnsi="Arial" w:cs="Arial"/>
        </w:rPr>
      </w:pPr>
      <w:r>
        <w:rPr>
          <w:rFonts w:cs="Arial" w:ascii="Arial" w:hAnsi="Arial"/>
        </w:rPr>
        <w:t xml:space="preserve">Le personnel éligible doit avoir une présence continue dans l’entreprise d’au moins 6 mois pleins, que ce soit en tant qu’intérimaire ou en tant que salarié. </w:t>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t>Le déclenchement du calcul de la prime interviendra donc le 1er jour du 7ème mois de présence continue.</w:t>
      </w:r>
    </w:p>
    <w:p>
      <w:pPr>
        <w:pStyle w:val="Normal"/>
        <w:ind w:right="56" w:hanging="0"/>
        <w:jc w:val="both"/>
        <w:rPr>
          <w:rFonts w:ascii="Arial" w:hAnsi="Arial" w:cs="Arial"/>
          <w:b/>
          <w:b/>
          <w:color w:val="000000"/>
        </w:rPr>
      </w:pPr>
      <w:r>
        <w:rPr>
          <w:rFonts w:cs="Arial" w:ascii="Arial" w:hAnsi="Arial"/>
          <w:b/>
          <w:color w:val="000000"/>
        </w:rPr>
      </w:r>
    </w:p>
    <w:p>
      <w:pPr>
        <w:pStyle w:val="Normal"/>
        <w:ind w:right="56" w:hanging="0"/>
        <w:jc w:val="both"/>
        <w:rPr>
          <w:rFonts w:ascii="Arial" w:hAnsi="Arial" w:cs="Arial"/>
          <w:b/>
          <w:b/>
          <w:color w:val="000000"/>
        </w:rPr>
      </w:pPr>
      <w:r>
        <w:rPr>
          <w:rFonts w:cs="Arial" w:ascii="Arial" w:hAnsi="Arial"/>
          <w:b/>
          <w:color w:val="000000"/>
        </w:rPr>
      </w:r>
    </w:p>
    <w:p>
      <w:pPr>
        <w:pStyle w:val="Normal"/>
        <w:ind w:right="56" w:hanging="0"/>
        <w:jc w:val="both"/>
        <w:rPr>
          <w:rFonts w:ascii="Arial" w:hAnsi="Arial" w:cs="Arial"/>
          <w:b/>
          <w:b/>
          <w:u w:val="single"/>
        </w:rPr>
      </w:pPr>
      <w:r>
        <w:rPr>
          <w:rFonts w:cs="Arial" w:ascii="Arial" w:hAnsi="Arial"/>
          <w:b/>
          <w:u w:val="single"/>
        </w:rPr>
        <w:t>Article 3 – Montant et modalités de calcul</w:t>
      </w:r>
    </w:p>
    <w:p>
      <w:pPr>
        <w:pStyle w:val="Normal"/>
        <w:ind w:right="56" w:hanging="0"/>
        <w:jc w:val="both"/>
        <w:rPr>
          <w:rFonts w:ascii="Arial" w:hAnsi="Arial" w:cs="Arial"/>
          <w:b/>
          <w:b/>
          <w:color w:val="000000"/>
          <w:u w:val="single"/>
        </w:rPr>
      </w:pPr>
      <w:r>
        <w:rPr>
          <w:rFonts w:cs="Arial" w:ascii="Arial" w:hAnsi="Arial"/>
          <w:b/>
          <w:color w:val="000000"/>
          <w:u w:val="single"/>
        </w:rPr>
      </w:r>
    </w:p>
    <w:p>
      <w:pPr>
        <w:pStyle w:val="Normal"/>
        <w:jc w:val="both"/>
        <w:rPr>
          <w:rFonts w:ascii="Arial" w:hAnsi="Arial" w:cs="Arial"/>
          <w:bCs/>
        </w:rPr>
      </w:pPr>
      <w:r>
        <w:rPr>
          <w:rFonts w:cs="Arial" w:ascii="Arial" w:hAnsi="Arial"/>
        </w:rPr>
        <w:t>Au 1</w:t>
      </w:r>
      <w:r>
        <w:rPr>
          <w:rFonts w:cs="Arial" w:ascii="Arial" w:hAnsi="Arial"/>
          <w:vertAlign w:val="superscript"/>
        </w:rPr>
        <w:t>er</w:t>
      </w:r>
      <w:r>
        <w:rPr>
          <w:rFonts w:cs="Arial" w:ascii="Arial" w:hAnsi="Arial"/>
        </w:rPr>
        <w:t xml:space="preserve"> avril 2020, le montant de référence de l’indemnité de salissure est de 12,90€ nets mensuels. Ce montant est calculé au prorata du taux d’emploi et au temps de présence (en cas d’absence maladie, accident de travail, absence non rémunérée).</w:t>
      </w:r>
    </w:p>
    <w:p>
      <w:pPr>
        <w:pStyle w:val="Normal"/>
        <w:spacing w:before="0" w:after="0"/>
        <w:ind w:right="56" w:hanging="0"/>
        <w:contextualSpacing/>
        <w:jc w:val="both"/>
        <w:rPr>
          <w:rFonts w:ascii="Arial" w:hAnsi="Arial" w:cs="Arial"/>
          <w:bCs/>
        </w:rPr>
      </w:pPr>
      <w:r>
        <w:rPr>
          <w:rFonts w:cs="Arial" w:ascii="Arial" w:hAnsi="Arial"/>
          <w:bCs/>
        </w:rPr>
      </w:r>
    </w:p>
    <w:p>
      <w:pPr>
        <w:pStyle w:val="Normal"/>
        <w:spacing w:before="0" w:after="0"/>
        <w:ind w:right="56" w:hanging="0"/>
        <w:contextualSpacing/>
        <w:jc w:val="both"/>
        <w:rPr/>
      </w:pPr>
      <w:r>
        <w:rPr>
          <w:rFonts w:cs="Arial" w:ascii="Arial" w:hAnsi="Arial"/>
        </w:rPr>
        <w:t>Le versement de la prime tiendra compte du décalage existant entre les éléments variables et la paie (soit un mois).</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ind w:left="567" w:hanging="0"/>
        <w:rPr>
          <w:rFonts w:ascii="Arial" w:hAnsi="Arial" w:cs="Arial"/>
          <w:b/>
          <w:b/>
        </w:rPr>
      </w:pPr>
      <w:r>
        <w:rPr>
          <w:rFonts w:cs="Arial" w:ascii="Arial" w:hAnsi="Arial"/>
          <w:b/>
        </w:rPr>
        <w:t>3.1 - Détail du calcul :</w:t>
      </w:r>
    </w:p>
    <w:p>
      <w:pPr>
        <w:pStyle w:val="Normal"/>
        <w:rPr>
          <w:rFonts w:ascii="Arial" w:hAnsi="Arial" w:cs="Arial"/>
          <w:b/>
          <w:b/>
          <w:color w:val="000000"/>
          <w:u w:val="single"/>
        </w:rPr>
      </w:pPr>
      <w:r>
        <w:rPr>
          <w:rFonts w:cs="Arial" w:ascii="Arial" w:hAnsi="Arial"/>
          <w:b/>
          <w:color w:val="000000"/>
          <w:u w:val="single"/>
        </w:rPr>
      </w:r>
    </w:p>
    <w:tbl>
      <w:tblPr>
        <w:tblW w:w="7572"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524"/>
        <w:gridCol w:w="2174"/>
        <w:gridCol w:w="1874"/>
      </w:tblGrid>
      <w:tr>
        <w:trPr>
          <w:trHeight w:val="104" w:hRule="atLeast"/>
        </w:trPr>
        <w:tc>
          <w:tcPr>
            <w:tcW w:w="35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Arial" w:hAnsi="Arial" w:cs="Arial"/>
                <w:color w:val="000000"/>
              </w:rPr>
            </w:pPr>
            <w:r>
              <w:rPr>
                <w:rFonts w:cs="Arial" w:ascii="Arial" w:hAnsi="Arial"/>
                <w:color w:val="000000"/>
              </w:rPr>
            </w:r>
          </w:p>
        </w:tc>
        <w:tc>
          <w:tcPr>
            <w:tcW w:w="21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b/>
                <w:b/>
                <w:color w:val="000000"/>
              </w:rPr>
            </w:pPr>
            <w:r>
              <w:rPr>
                <w:rFonts w:cs="Arial" w:ascii="Arial" w:hAnsi="Arial"/>
                <w:b/>
                <w:color w:val="000000"/>
              </w:rPr>
              <w:t>Coût par cycle</w:t>
            </w:r>
          </w:p>
        </w:tc>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Arial" w:hAnsi="Arial" w:cs="Arial"/>
                <w:b/>
                <w:b/>
                <w:color w:val="000000"/>
              </w:rPr>
            </w:pPr>
            <w:r>
              <w:rPr>
                <w:rFonts w:cs="Arial" w:ascii="Arial" w:hAnsi="Arial"/>
                <w:b/>
                <w:color w:val="000000"/>
              </w:rPr>
              <w:t xml:space="preserve">Total mensuel </w:t>
            </w:r>
          </w:p>
        </w:tc>
      </w:tr>
      <w:tr>
        <w:trPr/>
        <w:tc>
          <w:tcPr>
            <w:tcW w:w="35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color w:val="000000"/>
              </w:rPr>
            </w:pPr>
            <w:r>
              <w:rPr>
                <w:rFonts w:cs="Arial" w:ascii="Arial" w:hAnsi="Arial"/>
                <w:color w:val="000000"/>
              </w:rPr>
              <w:t xml:space="preserve">Consommation eau </w:t>
            </w:r>
          </w:p>
        </w:tc>
        <w:tc>
          <w:tcPr>
            <w:tcW w:w="21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color w:val="000000"/>
              </w:rPr>
            </w:pPr>
            <w:r>
              <w:rPr>
                <w:rFonts w:cs="Arial" w:ascii="Arial" w:hAnsi="Arial"/>
                <w:color w:val="000000"/>
              </w:rPr>
              <w:t>0,41€ par cycle</w:t>
            </w:r>
          </w:p>
        </w:tc>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Arial" w:hAnsi="Arial" w:cs="Arial"/>
                <w:color w:val="000000"/>
              </w:rPr>
            </w:pPr>
            <w:r>
              <w:rPr>
                <w:rFonts w:cs="Arial" w:ascii="Arial" w:hAnsi="Arial"/>
                <w:color w:val="000000"/>
              </w:rPr>
              <w:t xml:space="preserve">1,64€ </w:t>
            </w:r>
          </w:p>
        </w:tc>
      </w:tr>
      <w:tr>
        <w:trPr/>
        <w:tc>
          <w:tcPr>
            <w:tcW w:w="35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color w:val="000000"/>
              </w:rPr>
            </w:pPr>
            <w:r>
              <w:rPr>
                <w:rFonts w:cs="Arial" w:ascii="Arial" w:hAnsi="Arial"/>
                <w:color w:val="000000"/>
              </w:rPr>
              <w:t xml:space="preserve">Consommation en électricité </w:t>
            </w:r>
          </w:p>
        </w:tc>
        <w:tc>
          <w:tcPr>
            <w:tcW w:w="21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color w:val="000000"/>
              </w:rPr>
            </w:pPr>
            <w:r>
              <w:rPr>
                <w:rFonts w:cs="Arial" w:ascii="Arial" w:hAnsi="Arial"/>
                <w:color w:val="000000"/>
              </w:rPr>
              <w:t xml:space="preserve">0,73€ par cycle </w:t>
            </w:r>
          </w:p>
        </w:tc>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Arial" w:hAnsi="Arial" w:cs="Arial"/>
                <w:color w:val="000000"/>
              </w:rPr>
            </w:pPr>
            <w:r>
              <w:rPr>
                <w:rFonts w:cs="Arial" w:ascii="Arial" w:hAnsi="Arial"/>
                <w:color w:val="000000"/>
              </w:rPr>
              <w:t xml:space="preserve">2,92€ </w:t>
            </w:r>
          </w:p>
        </w:tc>
      </w:tr>
      <w:tr>
        <w:trPr/>
        <w:tc>
          <w:tcPr>
            <w:tcW w:w="35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color w:val="000000"/>
              </w:rPr>
            </w:pPr>
            <w:r>
              <w:rPr>
                <w:rFonts w:cs="Arial" w:ascii="Arial" w:hAnsi="Arial"/>
                <w:color w:val="000000"/>
              </w:rPr>
              <w:t>Consommation détergent</w:t>
            </w:r>
          </w:p>
        </w:tc>
        <w:tc>
          <w:tcPr>
            <w:tcW w:w="21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color w:val="000000"/>
              </w:rPr>
            </w:pPr>
            <w:r>
              <w:rPr>
                <w:rFonts w:cs="Arial" w:ascii="Arial" w:hAnsi="Arial"/>
                <w:color w:val="000000"/>
              </w:rPr>
              <w:t>0,27€ par cycle</w:t>
            </w:r>
          </w:p>
        </w:tc>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Arial" w:hAnsi="Arial" w:cs="Arial"/>
                <w:color w:val="000000"/>
              </w:rPr>
            </w:pPr>
            <w:r>
              <w:rPr>
                <w:rFonts w:cs="Arial" w:ascii="Arial" w:hAnsi="Arial"/>
                <w:color w:val="000000"/>
              </w:rPr>
              <w:t xml:space="preserve">1,08€ </w:t>
            </w:r>
          </w:p>
        </w:tc>
      </w:tr>
      <w:tr>
        <w:trPr/>
        <w:tc>
          <w:tcPr>
            <w:tcW w:w="35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Fonts w:cs="Arial" w:ascii="Arial" w:hAnsi="Arial"/>
                <w:color w:val="000000"/>
              </w:rPr>
              <w:t xml:space="preserve">Amortissement machine à laver </w:t>
            </w:r>
          </w:p>
        </w:tc>
        <w:tc>
          <w:tcPr>
            <w:tcW w:w="21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Arial" w:hAnsi="Arial" w:cs="Arial"/>
                <w:color w:val="000000"/>
              </w:rPr>
            </w:pPr>
            <w:r>
              <w:rPr>
                <w:rFonts w:cs="Arial" w:ascii="Arial" w:hAnsi="Arial"/>
                <w:color w:val="000000"/>
              </w:rPr>
              <w:t xml:space="preserve">1,81€ par cycle </w:t>
            </w:r>
          </w:p>
        </w:tc>
        <w:tc>
          <w:tcPr>
            <w:tcW w:w="1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Fonts w:cs="Arial" w:ascii="Arial" w:hAnsi="Arial"/>
                <w:color w:val="000000"/>
              </w:rPr>
              <w:t xml:space="preserve">7,26€ </w:t>
            </w:r>
          </w:p>
        </w:tc>
      </w:tr>
    </w:tbl>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r>
    </w:p>
    <w:p>
      <w:pPr>
        <w:pStyle w:val="Normal"/>
        <w:ind w:right="56" w:hanging="0"/>
        <w:jc w:val="both"/>
        <w:rPr>
          <w:rFonts w:ascii="Arial" w:hAnsi="Arial" w:cs="Arial"/>
          <w:b/>
          <w:b/>
          <w:u w:val="single"/>
        </w:rPr>
      </w:pPr>
      <w:r>
        <w:rPr>
          <w:rFonts w:cs="Arial" w:ascii="Arial" w:hAnsi="Arial"/>
          <w:b/>
          <w:u w:val="single"/>
        </w:rPr>
        <w:t xml:space="preserve">Article 4 – Durée et date d’entrée en vigueur – Dénonciation, révision </w:t>
      </w:r>
    </w:p>
    <w:p>
      <w:pPr>
        <w:pStyle w:val="Normal"/>
        <w:ind w:right="56" w:hanging="0"/>
        <w:jc w:val="both"/>
        <w:rPr>
          <w:rFonts w:ascii="Arial" w:hAnsi="Arial" w:cs="Arial"/>
          <w:b/>
          <w:b/>
          <w:u w:val="single"/>
        </w:rPr>
      </w:pPr>
      <w:r>
        <w:rPr>
          <w:rFonts w:cs="Arial" w:ascii="Arial" w:hAnsi="Arial"/>
          <w:b/>
          <w:u w:val="single"/>
        </w:rPr>
      </w:r>
    </w:p>
    <w:p>
      <w:pPr>
        <w:pStyle w:val="Normal"/>
        <w:ind w:right="56" w:hanging="0"/>
        <w:jc w:val="both"/>
        <w:rPr/>
      </w:pPr>
      <w:r>
        <w:rPr>
          <w:rFonts w:cs="Arial" w:ascii="Arial" w:hAnsi="Arial"/>
        </w:rPr>
        <w:t>Le présent accord est conclu pour une durée indéterminée. Il entrera en vigueur le 1</w:t>
      </w:r>
      <w:r>
        <w:rPr>
          <w:rFonts w:cs="Arial" w:ascii="Arial" w:hAnsi="Arial"/>
          <w:vertAlign w:val="superscript"/>
        </w:rPr>
        <w:t>er</w:t>
      </w:r>
      <w:r>
        <w:rPr>
          <w:rFonts w:cs="Arial" w:ascii="Arial" w:hAnsi="Arial"/>
        </w:rPr>
        <w:t xml:space="preserve"> avril 2020. </w:t>
      </w:r>
    </w:p>
    <w:p>
      <w:pPr>
        <w:pStyle w:val="Normal"/>
        <w:ind w:right="56" w:hanging="0"/>
        <w:jc w:val="both"/>
        <w:rPr>
          <w:rFonts w:ascii="Arial" w:hAnsi="Arial" w:cs="Arial"/>
        </w:rPr>
      </w:pPr>
      <w:r>
        <w:rPr>
          <w:rFonts w:cs="Arial" w:ascii="Arial" w:hAnsi="Arial"/>
        </w:rPr>
      </w:r>
    </w:p>
    <w:p>
      <w:pPr>
        <w:pStyle w:val="Normal"/>
        <w:ind w:right="56" w:hanging="0"/>
        <w:jc w:val="both"/>
        <w:rPr/>
      </w:pPr>
      <w:r>
        <w:rPr>
          <w:rFonts w:cs="Arial" w:ascii="Arial" w:hAnsi="Arial"/>
        </w:rPr>
        <w:t>La révision, la dénonciation et l’adhésion à l’accord pourront être réalisées dans le respect des dispositions légales en vigueur.</w:t>
      </w:r>
    </w:p>
    <w:p>
      <w:pPr>
        <w:pStyle w:val="Normal"/>
        <w:ind w:right="56" w:hanging="0"/>
        <w:jc w:val="both"/>
        <w:rPr>
          <w:rFonts w:ascii="Arial" w:hAnsi="Arial" w:cs="Arial"/>
        </w:rPr>
      </w:pPr>
      <w:r>
        <w:rPr>
          <w:rFonts w:cs="Arial" w:ascii="Arial" w:hAnsi="Arial"/>
        </w:rPr>
      </w:r>
    </w:p>
    <w:p>
      <w:pPr>
        <w:pStyle w:val="Normal"/>
        <w:ind w:right="56" w:hanging="0"/>
        <w:jc w:val="both"/>
        <w:rPr>
          <w:rFonts w:ascii="Arial" w:hAnsi="Arial" w:cs="Arial"/>
        </w:rPr>
      </w:pPr>
      <w:r>
        <w:rPr>
          <w:rFonts w:cs="Arial" w:ascii="Arial" w:hAnsi="Arial"/>
        </w:rPr>
      </w:r>
    </w:p>
    <w:p>
      <w:pPr>
        <w:pStyle w:val="Normal"/>
        <w:ind w:right="56" w:hanging="0"/>
        <w:jc w:val="both"/>
        <w:rPr>
          <w:rFonts w:ascii="Arial" w:hAnsi="Arial" w:cs="Arial"/>
          <w:b/>
          <w:b/>
          <w:u w:val="single"/>
        </w:rPr>
      </w:pPr>
      <w:r>
        <w:rPr>
          <w:rFonts w:cs="Arial" w:ascii="Arial" w:hAnsi="Arial"/>
          <w:b/>
          <w:u w:val="single"/>
        </w:rPr>
        <w:t>Article 5 - Dépôt et publicité</w:t>
      </w:r>
    </w:p>
    <w:p>
      <w:pPr>
        <w:pStyle w:val="Normal"/>
        <w:ind w:right="56" w:hanging="0"/>
        <w:jc w:val="both"/>
        <w:rPr>
          <w:rFonts w:ascii="Arial" w:hAnsi="Arial" w:cs="Arial"/>
          <w:b/>
          <w:b/>
          <w:u w:val="single"/>
        </w:rPr>
      </w:pPr>
      <w:r>
        <w:rPr>
          <w:rFonts w:cs="Arial" w:ascii="Arial" w:hAnsi="Arial"/>
          <w:b/>
          <w:u w:val="single"/>
        </w:rPr>
      </w:r>
    </w:p>
    <w:p>
      <w:pPr>
        <w:pStyle w:val="Normal"/>
        <w:jc w:val="both"/>
        <w:rPr>
          <w:rFonts w:ascii="Arial" w:hAnsi="Arial" w:cs="Arial"/>
        </w:rPr>
      </w:pPr>
      <w:r>
        <w:rPr>
          <w:rFonts w:cs="Arial" w:ascii="Arial" w:hAnsi="Arial"/>
        </w:rPr>
        <w:t>A l’expiration du délai d’opposition de huit (8) jours prévu à l’article L. 2232-12 du Code du travail, l’accord validé sera déposé par la Direction, d’une part, sur la plateforme en ligne Téléaccords et d’autre part, au secrétariat du Greffe du Conseil de Prud’hommes de de Rennes.</w:t>
      </w:r>
    </w:p>
    <w:p>
      <w:pPr>
        <w:pStyle w:val="Normal"/>
        <w:tabs>
          <w:tab w:val="decimal" w:pos="2622" w:leader="none"/>
          <w:tab w:val="left" w:pos="2835" w:leader="none"/>
          <w:tab w:val="decimal" w:pos="3756" w:leader="none"/>
        </w:tabs>
        <w:spacing w:lineRule="exact" w:line="240"/>
        <w:jc w:val="both"/>
        <w:rPr>
          <w:rFonts w:ascii="Arial" w:hAnsi="Arial" w:cs="Arial"/>
        </w:rPr>
      </w:pPr>
      <w:r>
        <w:rPr>
          <w:rFonts w:cs="Arial" w:ascii="Arial" w:hAnsi="Arial"/>
        </w:rPr>
      </w:r>
    </w:p>
    <w:p>
      <w:pPr>
        <w:pStyle w:val="Normal"/>
        <w:tabs>
          <w:tab w:val="decimal" w:pos="2622" w:leader="none"/>
          <w:tab w:val="left" w:pos="2835" w:leader="none"/>
          <w:tab w:val="decimal" w:pos="3756" w:leader="none"/>
        </w:tabs>
        <w:spacing w:lineRule="exact" w:line="240"/>
        <w:jc w:val="both"/>
        <w:rPr>
          <w:rFonts w:ascii="Arial" w:hAnsi="Arial" w:cs="Arial"/>
        </w:rPr>
      </w:pPr>
      <w:r>
        <w:rPr>
          <w:rFonts w:cs="Arial" w:ascii="Arial" w:hAnsi="Arial"/>
        </w:rPr>
      </w:r>
    </w:p>
    <w:p>
      <w:pPr>
        <w:pStyle w:val="Normal"/>
        <w:tabs>
          <w:tab w:val="decimal" w:pos="2622" w:leader="none"/>
          <w:tab w:val="left" w:pos="2835" w:leader="none"/>
          <w:tab w:val="decimal" w:pos="3756" w:leader="none"/>
        </w:tabs>
        <w:spacing w:lineRule="exact" w:line="240"/>
        <w:jc w:val="both"/>
        <w:rPr/>
      </w:pPr>
      <w:r>
        <w:rPr>
          <w:rFonts w:cs="Arial" w:ascii="Arial" w:hAnsi="Arial"/>
        </w:rPr>
        <w:t>Fait le 24/02/2020, à Noyal sur Vilaine en 5 exemplaires,</w:t>
      </w:r>
    </w:p>
    <w:p>
      <w:pPr>
        <w:pStyle w:val="Normal"/>
        <w:tabs>
          <w:tab w:val="decimal" w:pos="2622" w:leader="none"/>
          <w:tab w:val="left" w:pos="2835" w:leader="none"/>
          <w:tab w:val="decimal" w:pos="3756" w:leader="none"/>
        </w:tabs>
        <w:spacing w:lineRule="exact" w:line="240"/>
        <w:jc w:val="both"/>
        <w:rPr>
          <w:rFonts w:ascii="Arial" w:hAnsi="Arial" w:cs="Arial"/>
        </w:rPr>
      </w:pPr>
      <w:r>
        <w:rPr>
          <w:rFonts w:cs="Arial" w:ascii="Arial" w:hAnsi="Arial"/>
        </w:rPr>
      </w:r>
    </w:p>
    <w:p>
      <w:pPr>
        <w:pStyle w:val="Normal"/>
        <w:tabs>
          <w:tab w:val="decimal" w:pos="2622" w:leader="none"/>
          <w:tab w:val="left" w:pos="2835" w:leader="none"/>
          <w:tab w:val="decimal" w:pos="3756" w:leader="none"/>
        </w:tabs>
        <w:spacing w:lineRule="exact" w:line="240"/>
        <w:jc w:val="both"/>
        <w:rPr>
          <w:rFonts w:ascii="Arial" w:hAnsi="Arial" w:cs="Arial"/>
        </w:rPr>
      </w:pPr>
      <w:r>
        <w:rPr>
          <w:rFonts w:cs="Arial" w:ascii="Arial" w:hAnsi="Arial"/>
        </w:rPr>
      </w:r>
    </w:p>
    <w:p>
      <w:pPr>
        <w:pStyle w:val="Normal"/>
        <w:tabs>
          <w:tab w:val="decimal" w:pos="2622" w:leader="none"/>
          <w:tab w:val="left" w:pos="2835" w:leader="none"/>
          <w:tab w:val="decimal" w:pos="3756" w:leader="none"/>
        </w:tabs>
        <w:spacing w:lineRule="exact" w:line="240"/>
        <w:jc w:val="both"/>
        <w:rPr>
          <w:rFonts w:ascii="Arial" w:hAnsi="Arial" w:cs="Arial"/>
        </w:rPr>
      </w:pPr>
      <w:r>
        <w:rPr>
          <w:rFonts w:cs="Arial" w:ascii="Arial" w:hAnsi="Arial"/>
        </w:rPr>
        <w:t>Signature des parties :</w:t>
      </w:r>
    </w:p>
    <w:p>
      <w:pPr>
        <w:pStyle w:val="Normal"/>
        <w:tabs>
          <w:tab w:val="decimal" w:pos="2622" w:leader="none"/>
          <w:tab w:val="left" w:pos="2835" w:leader="none"/>
          <w:tab w:val="decimal" w:pos="3756" w:leader="none"/>
        </w:tabs>
        <w:spacing w:lineRule="exact" w:line="240"/>
        <w:jc w:val="both"/>
        <w:rPr>
          <w:rFonts w:ascii="Arial" w:hAnsi="Arial" w:cs="Arial"/>
        </w:rPr>
      </w:pPr>
      <w:r>
        <w:rPr>
          <w:rFonts w:cs="Arial" w:ascii="Arial" w:hAnsi="Arial"/>
        </w:rPr>
        <w:tab/>
        <w:tab/>
        <w:tab/>
        <w:tab/>
        <w:tab/>
      </w:r>
    </w:p>
    <w:p>
      <w:pPr>
        <w:pStyle w:val="Normal"/>
        <w:tabs>
          <w:tab w:val="decimal" w:pos="2622" w:leader="none"/>
          <w:tab w:val="left" w:pos="2835" w:leader="none"/>
          <w:tab w:val="decimal" w:pos="3756" w:leader="none"/>
        </w:tabs>
        <w:spacing w:lineRule="exact" w:line="240"/>
        <w:jc w:val="both"/>
        <w:rPr>
          <w:rFonts w:ascii="Arial" w:hAnsi="Arial" w:cs="Arial"/>
        </w:rPr>
      </w:pPr>
      <w:r>
        <w:rPr>
          <w:rFonts w:cs="Arial" w:ascii="Arial" w:hAnsi="Arial"/>
        </w:rPr>
        <w:t>France BOISSONS Bretagne Normandie</w:t>
        <w:tab/>
        <w:tab/>
        <w:tab/>
        <w:tab/>
        <w:t>CFDT</w:t>
      </w:r>
    </w:p>
    <w:p>
      <w:pPr>
        <w:pStyle w:val="Normal"/>
        <w:tabs>
          <w:tab w:val="decimal" w:pos="2622" w:leader="none"/>
          <w:tab w:val="left" w:pos="2835" w:leader="none"/>
          <w:tab w:val="decimal" w:pos="3756" w:leader="none"/>
        </w:tabs>
        <w:spacing w:lineRule="exact" w:line="240"/>
        <w:jc w:val="both"/>
        <w:rPr>
          <w:rFonts w:ascii="Arial" w:hAnsi="Arial" w:cs="Arial"/>
          <w:lang w:val="en-US"/>
        </w:rPr>
      </w:pPr>
      <w:r>
        <w:rPr>
          <w:rFonts w:cs="Arial" w:ascii="Arial" w:hAnsi="Arial"/>
          <w:lang w:val="en-US"/>
        </w:rPr>
        <w:t>XXX</w:t>
        <w:tab/>
        <w:tab/>
        <w:tab/>
        <w:tab/>
        <w:tab/>
        <w:tab/>
        <w:t>XXX</w:t>
      </w:r>
    </w:p>
    <w:p>
      <w:pPr>
        <w:pStyle w:val="Normal"/>
        <w:tabs>
          <w:tab w:val="decimal" w:pos="2622" w:leader="none"/>
          <w:tab w:val="left" w:pos="2835" w:leader="none"/>
          <w:tab w:val="decimal" w:pos="3756" w:leader="none"/>
        </w:tabs>
        <w:spacing w:lineRule="exact" w:line="240"/>
        <w:jc w:val="both"/>
        <w:rPr>
          <w:rFonts w:ascii="Arial" w:hAnsi="Arial" w:cs="Arial"/>
          <w:lang w:val="en-US"/>
        </w:rPr>
      </w:pPr>
      <w:r>
        <w:rPr>
          <w:rFonts w:cs="Arial" w:ascii="Arial" w:hAnsi="Arial"/>
          <w:lang w:val="en-US"/>
        </w:rPr>
      </w:r>
    </w:p>
    <w:p>
      <w:pPr>
        <w:pStyle w:val="Normal"/>
        <w:tabs>
          <w:tab w:val="decimal" w:pos="2622" w:leader="none"/>
          <w:tab w:val="left" w:pos="2835" w:leader="none"/>
          <w:tab w:val="decimal" w:pos="3756" w:leader="none"/>
        </w:tabs>
        <w:spacing w:lineRule="exact" w:line="240"/>
        <w:jc w:val="both"/>
        <w:rPr>
          <w:rFonts w:ascii="Arial" w:hAnsi="Arial" w:cs="Arial"/>
          <w:lang w:val="en-US"/>
        </w:rPr>
      </w:pPr>
      <w:r>
        <w:rPr>
          <w:rFonts w:cs="Arial" w:ascii="Arial" w:hAnsi="Arial"/>
          <w:lang w:val="en-US"/>
        </w:rPr>
      </w:r>
    </w:p>
    <w:p>
      <w:pPr>
        <w:pStyle w:val="Corpsdetexte21"/>
        <w:rPr>
          <w:rFonts w:ascii="Arial" w:hAnsi="Arial" w:cs="Arial"/>
          <w:sz w:val="20"/>
          <w:lang w:val="en-US"/>
        </w:rPr>
      </w:pPr>
      <w:r>
        <w:rPr>
          <w:rFonts w:cs="Arial" w:ascii="Arial" w:hAnsi="Arial"/>
          <w:sz w:val="20"/>
          <w:lang w:val="en-US"/>
        </w:rPr>
      </w:r>
    </w:p>
    <w:p>
      <w:pPr>
        <w:pStyle w:val="Normal"/>
        <w:ind w:firstLine="7080"/>
        <w:rPr>
          <w:rFonts w:ascii="Arial" w:hAnsi="Arial" w:cs="Arial"/>
          <w:sz w:val="20"/>
          <w:lang w:val="en-US"/>
        </w:rPr>
      </w:pPr>
      <w:r>
        <w:rPr>
          <w:rFonts w:cs="Arial" w:ascii="Arial" w:hAnsi="Arial"/>
          <w:sz w:val="20"/>
          <w:lang w:val="en-US"/>
        </w:rPr>
      </w:r>
    </w:p>
    <w:p>
      <w:pPr>
        <w:pStyle w:val="Header"/>
        <w:tabs>
          <w:tab w:val="center" w:pos="4819" w:leader="none"/>
        </w:tabs>
        <w:rPr>
          <w:rFonts w:ascii="Arial" w:hAnsi="Arial" w:cs="Arial"/>
          <w:lang w:val="en-US"/>
        </w:rPr>
      </w:pPr>
      <w:r>
        <w:rPr>
          <w:rFonts w:cs="Arial" w:ascii="Arial" w:hAnsi="Arial"/>
          <w:lang w:val="en-US"/>
        </w:rPr>
      </w:r>
    </w:p>
    <w:p>
      <w:pPr>
        <w:pStyle w:val="Heading9"/>
        <w:numPr>
          <w:ilvl w:val="8"/>
          <w:numId w:val="1"/>
        </w:numPr>
        <w:rPr>
          <w:rFonts w:ascii="Arial" w:hAnsi="Arial" w:cs="Arial"/>
          <w:sz w:val="20"/>
          <w:lang w:val="en-US"/>
        </w:rPr>
      </w:pPr>
      <w:r>
        <w:rPr>
          <w:rFonts w:cs="Arial" w:ascii="Arial" w:hAnsi="Arial"/>
          <w:sz w:val="20"/>
          <w:lang w:val="en-US"/>
        </w:rPr>
      </w:r>
    </w:p>
    <w:p>
      <w:pPr>
        <w:pStyle w:val="Heading9"/>
        <w:numPr>
          <w:ilvl w:val="8"/>
          <w:numId w:val="1"/>
        </w:numPr>
        <w:rPr>
          <w:rFonts w:ascii="Arial" w:hAnsi="Arial" w:cs="Arial"/>
          <w:sz w:val="20"/>
          <w:lang w:val="en-US"/>
        </w:rPr>
      </w:pPr>
      <w:r>
        <w:rPr>
          <w:rFonts w:cs="Arial" w:ascii="Arial" w:hAnsi="Arial"/>
          <w:sz w:val="20"/>
          <w:lang w:val="en-US"/>
        </w:rPr>
      </w:r>
    </w:p>
    <w:p>
      <w:pPr>
        <w:pStyle w:val="Heading9"/>
        <w:numPr>
          <w:ilvl w:val="8"/>
          <w:numId w:val="1"/>
        </w:numPr>
        <w:rPr>
          <w:rFonts w:ascii="Arial" w:hAnsi="Arial" w:cs="Arial"/>
          <w:sz w:val="20"/>
          <w:lang w:val="en-US"/>
        </w:rPr>
      </w:pPr>
      <w:r>
        <w:rPr>
          <w:rFonts w:cs="Arial" w:ascii="Arial" w:hAnsi="Arial"/>
          <w:sz w:val="20"/>
          <w:lang w:val="en-US"/>
        </w:rPr>
      </w:r>
    </w:p>
    <w:p>
      <w:pPr>
        <w:pStyle w:val="Heading9"/>
        <w:numPr>
          <w:ilvl w:val="8"/>
          <w:numId w:val="1"/>
        </w:numPr>
        <w:rPr>
          <w:rFonts w:ascii="Arial" w:hAnsi="Arial" w:cs="Arial"/>
          <w:sz w:val="20"/>
          <w:lang w:val="en-US"/>
        </w:rPr>
      </w:pPr>
      <w:r>
        <w:rPr>
          <w:rFonts w:cs="Arial" w:ascii="Arial" w:hAnsi="Arial"/>
          <w:sz w:val="20"/>
          <w:lang w:val="en-US"/>
        </w:rPr>
      </w:r>
    </w:p>
    <w:p>
      <w:pPr>
        <w:pStyle w:val="Header"/>
        <w:rPr>
          <w:rFonts w:ascii="Arial" w:hAnsi="Arial" w:cs="Arial"/>
          <w:sz w:val="20"/>
          <w:lang w:val="en-US"/>
        </w:rPr>
      </w:pPr>
      <w:r>
        <w:rPr>
          <w:rFonts w:cs="Arial" w:ascii="Arial" w:hAnsi="Arial"/>
          <w:sz w:val="20"/>
          <w:lang w:val="en-US"/>
        </w:rPr>
      </w:r>
    </w:p>
    <w:p>
      <w:pPr>
        <w:pStyle w:val="Header"/>
        <w:rPr>
          <w:rFonts w:ascii="Arial" w:hAnsi="Arial" w:cs="Arial"/>
          <w:lang w:val="en-US"/>
        </w:rPr>
      </w:pPr>
      <w:r>
        <w:rPr>
          <w:rFonts w:cs="Arial" w:ascii="Arial" w:hAnsi="Arial"/>
          <w:lang w:val="en-US"/>
        </w:rPr>
      </w:r>
    </w:p>
    <w:sectPr>
      <w:footerReference w:type="default" r:id="rId2"/>
      <w:footerReference w:type="first" r:id="rId3"/>
      <w:type w:val="nextPage"/>
      <w:pgSz w:w="11906" w:h="16838"/>
      <w:pgMar w:left="1418" w:right="1418" w:header="0" w:top="1247" w:footer="720" w:bottom="124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G Times (W1)">
    <w:altName w:val="Times New Roman"/>
    <w:charset w:val="00"/>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Calibri Light">
    <w:charset w:val="00"/>
    <w:family w:val="swiss"/>
    <w:pitch w:val="variable"/>
  </w:font>
  <w:font w:name="Liberation Sans">
    <w:altName w:val="Arial"/>
    <w:charset w:val="01"/>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b/>
        <w:sz w:val="24"/>
      </w:rPr>
      <w:fldChar w:fldCharType="begin"/>
    </w:r>
    <w:r>
      <w:instrText> PAGE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sz w:val="20"/>
        <w:szCs w:val="20"/>
        <w:rFonts w:cs="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CG Times (W1);Times New Roman" w:hAnsi="CG Times (W1);Times New Roman" w:eastAsia="Times New Roman" w:cs="CG Times (W1);Times New Roman"/>
      <w:color w:val="auto"/>
      <w:sz w:val="20"/>
      <w:szCs w:val="20"/>
      <w:lang w:val="fr-FR" w:bidi="ar-SA" w:eastAsia="zh-CN"/>
    </w:rPr>
  </w:style>
  <w:style w:type="paragraph" w:styleId="Heading1">
    <w:name w:val="Heading 1"/>
    <w:basedOn w:val="Normal"/>
    <w:next w:val="Normal"/>
    <w:qFormat/>
    <w:pPr>
      <w:keepNext/>
      <w:numPr>
        <w:ilvl w:val="0"/>
        <w:numId w:val="1"/>
      </w:numPr>
      <w:tabs>
        <w:tab w:val="decimal" w:pos="2622" w:leader="none"/>
        <w:tab w:val="left" w:pos="2835" w:leader="none"/>
        <w:tab w:val="decimal" w:pos="3756" w:leader="none"/>
      </w:tabs>
      <w:spacing w:lineRule="exact" w:line="240"/>
      <w:jc w:val="both"/>
      <w:outlineLvl w:val="0"/>
      <w:outlineLvl w:val="0"/>
    </w:pPr>
    <w:rPr>
      <w:rFonts w:ascii="Times New Roman" w:hAnsi="Times New Roman" w:cs="Times New Roman"/>
      <w:b/>
      <w:sz w:val="24"/>
    </w:rPr>
  </w:style>
  <w:style w:type="paragraph" w:styleId="Heading2">
    <w:name w:val="Heading 2"/>
    <w:basedOn w:val="Normal"/>
    <w:next w:val="Normal"/>
    <w:qFormat/>
    <w:pPr>
      <w:keepNext/>
      <w:numPr>
        <w:ilvl w:val="1"/>
        <w:numId w:val="1"/>
      </w:numPr>
      <w:jc w:val="center"/>
      <w:outlineLvl w:val="1"/>
      <w:outlineLvl w:val="1"/>
    </w:pPr>
    <w:rPr>
      <w:b/>
      <w:sz w:val="24"/>
    </w:rPr>
  </w:style>
  <w:style w:type="paragraph" w:styleId="Heading3">
    <w:name w:val="Heading 3"/>
    <w:basedOn w:val="Normal"/>
    <w:next w:val="Normal"/>
    <w:qFormat/>
    <w:pPr>
      <w:keepNext/>
      <w:numPr>
        <w:ilvl w:val="2"/>
        <w:numId w:val="1"/>
      </w:numPr>
      <w:outlineLvl w:val="2"/>
      <w:outlineLvl w:val="2"/>
    </w:pPr>
    <w:rPr>
      <w:rFonts w:ascii="Times New Roman" w:hAnsi="Times New Roman" w:cs="Times New Roman"/>
      <w:b/>
      <w:sz w:val="24"/>
    </w:rPr>
  </w:style>
  <w:style w:type="paragraph" w:styleId="Heading4">
    <w:name w:val="Heading 4"/>
    <w:basedOn w:val="Normal"/>
    <w:next w:val="Normal"/>
    <w:qFormat/>
    <w:pPr>
      <w:keepNext/>
      <w:numPr>
        <w:ilvl w:val="3"/>
        <w:numId w:val="1"/>
      </w:numPr>
      <w:jc w:val="center"/>
      <w:outlineLvl w:val="3"/>
      <w:outlineLvl w:val="3"/>
    </w:pPr>
    <w:rPr>
      <w:b/>
      <w:u w:val="single"/>
    </w:rPr>
  </w:style>
  <w:style w:type="paragraph" w:styleId="Heading5">
    <w:name w:val="Heading 5"/>
    <w:basedOn w:val="Normal"/>
    <w:next w:val="Normal"/>
    <w:qFormat/>
    <w:pPr>
      <w:keepNext/>
      <w:numPr>
        <w:ilvl w:val="4"/>
        <w:numId w:val="1"/>
      </w:numPr>
      <w:spacing w:lineRule="exact" w:line="240"/>
      <w:ind w:right="2268" w:hanging="0"/>
      <w:jc w:val="both"/>
      <w:outlineLvl w:val="4"/>
      <w:outlineLvl w:val="4"/>
    </w:pPr>
    <w:rPr>
      <w:rFonts w:ascii="Times New Roman" w:hAnsi="Times New Roman" w:cs="Times New Roman"/>
      <w:b/>
      <w:sz w:val="24"/>
    </w:rPr>
  </w:style>
  <w:style w:type="paragraph" w:styleId="Heading9">
    <w:name w:val="Heading 9"/>
    <w:basedOn w:val="Normal"/>
    <w:next w:val="Normal"/>
    <w:qFormat/>
    <w:pPr>
      <w:keepNext/>
      <w:numPr>
        <w:ilvl w:val="8"/>
        <w:numId w:val="1"/>
      </w:numPr>
      <w:outlineLvl w:val="8"/>
      <w:outlineLvl w:val="8"/>
    </w:pPr>
    <w:rPr>
      <w:rFonts w:ascii="Times New Roman" w:hAnsi="Times New Roman" w:cs="Times New Roman"/>
      <w:sz w:val="24"/>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Wingdings" w:hAnsi="Wingdings" w:cs="Wingdings"/>
    </w:rPr>
  </w:style>
  <w:style w:type="character" w:styleId="WW8Num5z0">
    <w:name w:val="WW8Num5z0"/>
    <w:qFormat/>
    <w:rPr>
      <w:rFonts w:ascii="Symbol" w:hAnsi="Symbol" w:cs="Symbol"/>
    </w:rPr>
  </w:style>
  <w:style w:type="character" w:styleId="WW8Num6z0">
    <w:name w:val="WW8Num6z0"/>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Arial" w:hAnsi="Arial" w:eastAsia="Times New Roman" w:cs="Aria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Calibri Light" w:hAnsi="Calibri Light" w:cs="Times New Roman"/>
      <w:color w:val="2D5AA8"/>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4z0">
    <w:name w:val="WW8Num14z0"/>
    <w:qFormat/>
    <w:rPr>
      <w:rFonts w:ascii="Wingdings" w:hAnsi="Wingdings" w:cs="Wingdings"/>
    </w:rPr>
  </w:style>
  <w:style w:type="character" w:styleId="WW8Num15z0">
    <w:name w:val="WW8Num15z0"/>
    <w:qFormat/>
    <w:rPr>
      <w:rFonts w:ascii="Arial" w:hAnsi="Arial" w:eastAsia="Times New Roman" w:cs="Aria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7z0">
    <w:name w:val="WW8Num17z0"/>
    <w:qFormat/>
    <w:rPr/>
  </w:style>
  <w:style w:type="character" w:styleId="WW8Num18z0">
    <w:name w:val="WW8Num18z0"/>
    <w:qFormat/>
    <w:rPr/>
  </w:style>
  <w:style w:type="character" w:styleId="WW8Num19z0">
    <w:name w:val="WW8Num19z0"/>
    <w:qFormat/>
    <w:rPr>
      <w:rFonts w:ascii="Arial" w:hAnsi="Arial" w:eastAsia="Times New Roman" w:cs="Aria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style>
  <w:style w:type="character" w:styleId="WW8Num24z0">
    <w:name w:val="WW8Num24z0"/>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Calibri Light" w:hAnsi="Calibri Light" w:cs="Times New Roman"/>
      <w:color w:val="2D5AA8"/>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Wingdings" w:hAnsi="Wingdings" w:cs="Wingdings"/>
    </w:rPr>
  </w:style>
  <w:style w:type="character" w:styleId="WW8Num28z0">
    <w:name w:val="WW8Num28z0"/>
    <w:qFormat/>
    <w:rPr>
      <w:rFonts w:ascii="Arial" w:hAnsi="Arial" w:eastAsia="Times New Roman" w:cs="Aria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Wingdings" w:hAnsi="Wingdings" w:cs="Wingdings"/>
    </w:rPr>
  </w:style>
  <w:style w:type="character" w:styleId="WW8Num30z0">
    <w:name w:val="WW8Num30z0"/>
    <w:qFormat/>
    <w:rPr>
      <w:rFonts w:ascii="Symbol" w:hAnsi="Symbol" w:cs="Symbol"/>
      <w:sz w:val="20"/>
      <w:szCs w:val="20"/>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color w:val="auto"/>
      <w:sz w:val="28"/>
    </w:rPr>
  </w:style>
  <w:style w:type="character" w:styleId="WW8Num32z0">
    <w:name w:val="WW8Num32z0"/>
    <w:qFormat/>
    <w:rPr>
      <w:rFonts w:ascii="Arial" w:hAnsi="Arial" w:eastAsia="Times New Roman" w:cs="Aria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Wingdings" w:hAnsi="Wingdings" w:cs="Wingdings"/>
      <w:b w:val="false"/>
      <w:i w:val="false"/>
    </w:rPr>
  </w:style>
  <w:style w:type="character" w:styleId="WW8Num34z0">
    <w:name w:val="WW8Num34z0"/>
    <w:qFormat/>
    <w:rPr>
      <w:rFonts w:ascii="Symbol" w:hAnsi="Symbol" w:cs="Symbol"/>
      <w:sz w:val="20"/>
    </w:rPr>
  </w:style>
  <w:style w:type="character" w:styleId="WW8Num34z1">
    <w:name w:val="WW8Num34z1"/>
    <w:qFormat/>
    <w:rPr>
      <w:rFonts w:ascii="Courier New" w:hAnsi="Courier New" w:cs="Courier New"/>
      <w:sz w:val="20"/>
    </w:rPr>
  </w:style>
  <w:style w:type="character" w:styleId="WW8Num34z2">
    <w:name w:val="WW8Num34z2"/>
    <w:qFormat/>
    <w:rPr>
      <w:rFonts w:ascii="Wingdings" w:hAnsi="Wingdings" w:cs="Wingdings"/>
      <w:sz w:val="20"/>
    </w:rPr>
  </w:style>
  <w:style w:type="character" w:styleId="WW8Num35z0">
    <w:name w:val="WW8Num35z0"/>
    <w:qFormat/>
    <w:rPr/>
  </w:style>
  <w:style w:type="character" w:styleId="WW8Num36z0">
    <w:name w:val="WW8Num36z0"/>
    <w:qFormat/>
    <w:rPr>
      <w:rFonts w:ascii="Symbol" w:hAnsi="Symbol" w:cs="Symbol"/>
    </w:rPr>
  </w:style>
  <w:style w:type="character" w:styleId="WW8Num37z0">
    <w:name w:val="WW8Num37z0"/>
    <w:qFormat/>
    <w:rPr>
      <w:rFonts w:ascii="Arial" w:hAnsi="Arial" w:eastAsia="Times New Roman" w:cs="Aria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Symbol" w:hAnsi="Symbol" w:cs="Symbol"/>
    </w:rPr>
  </w:style>
  <w:style w:type="character" w:styleId="WW8Num39z0">
    <w:name w:val="WW8Num39z0"/>
    <w:qFormat/>
    <w:rPr/>
  </w:style>
  <w:style w:type="character" w:styleId="WW8Num40z0">
    <w:name w:val="WW8Num40z0"/>
    <w:qFormat/>
    <w:rPr>
      <w:rFonts w:ascii="Symbol" w:hAnsi="Symbol" w:cs="Symbol"/>
      <w:sz w:val="20"/>
    </w:rPr>
  </w:style>
  <w:style w:type="character" w:styleId="WW8Num40z1">
    <w:name w:val="WW8Num40z1"/>
    <w:qFormat/>
    <w:rPr>
      <w:rFonts w:ascii="Courier New" w:hAnsi="Courier New" w:cs="Courier New"/>
      <w:sz w:val="20"/>
    </w:rPr>
  </w:style>
  <w:style w:type="character" w:styleId="WW8Num40z2">
    <w:name w:val="WW8Num40z2"/>
    <w:qFormat/>
    <w:rPr>
      <w:rFonts w:ascii="Wingdings" w:hAnsi="Wingdings" w:cs="Wingdings"/>
      <w:sz w:val="20"/>
    </w:rPr>
  </w:style>
  <w:style w:type="character" w:styleId="Policepardfaut">
    <w:name w:val="Police par défaut"/>
    <w:qFormat/>
    <w:rPr/>
  </w:style>
  <w:style w:type="character" w:styleId="PageNumber">
    <w:name w:val="Page Number"/>
    <w:basedOn w:val="Policepardfaut"/>
    <w:rPr/>
  </w:style>
  <w:style w:type="character" w:styleId="Marquedecommentaire">
    <w:name w:val="Marque de commentaire"/>
    <w:qFormat/>
    <w:rPr>
      <w:sz w:val="16"/>
      <w:szCs w:val="16"/>
    </w:rPr>
  </w:style>
  <w:style w:type="character" w:styleId="CommentaireCar">
    <w:name w:val="Commentaire Car"/>
    <w:qFormat/>
    <w:rPr>
      <w:rFonts w:ascii="CG Times (W1);Times New Roman" w:hAnsi="CG Times (W1);Times New Roman" w:cs="CG Times (W1);Times New Roman"/>
    </w:rPr>
  </w:style>
  <w:style w:type="character" w:styleId="ObjetducommentaireCar">
    <w:name w:val="Objet du commentaire Car"/>
    <w:qFormat/>
    <w:rPr>
      <w:rFonts w:ascii="CG Times (W1);Times New Roman" w:hAnsi="CG Times (W1);Times New Roman" w:cs="CG Times (W1);Times New Roman"/>
      <w:b/>
      <w:bCs/>
    </w:rPr>
  </w:style>
  <w:style w:type="character" w:styleId="ParagraphedelisteCar">
    <w:name w:val="Paragraphe de liste Car"/>
    <w:qFormat/>
    <w:rPr>
      <w:sz w:val="24"/>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tabs>
        <w:tab w:val="decimal" w:pos="2622" w:leader="none"/>
        <w:tab w:val="left" w:pos="2835" w:leader="none"/>
        <w:tab w:val="decimal" w:pos="3756" w:leader="none"/>
      </w:tabs>
      <w:spacing w:lineRule="exact" w:line="240"/>
      <w:jc w:val="both"/>
    </w:pPr>
    <w:rPr>
      <w:rFonts w:ascii="Times New Roman" w:hAnsi="Times New Roman" w:cs="Times New Roman"/>
      <w:sz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819" w:leader="none"/>
        <w:tab w:val="right" w:pos="9071" w:leader="none"/>
      </w:tabs>
    </w:pPr>
    <w:rPr/>
  </w:style>
  <w:style w:type="paragraph" w:styleId="Corpsdetexte2">
    <w:name w:val="Corps de texte 2"/>
    <w:basedOn w:val="Normal"/>
    <w:qFormat/>
    <w:pPr>
      <w:jc w:val="both"/>
    </w:pPr>
    <w:rPr>
      <w:rFonts w:ascii="Times New Roman" w:hAnsi="Times New Roman" w:cs="Times New Roman"/>
      <w:sz w:val="24"/>
    </w:rPr>
  </w:style>
  <w:style w:type="paragraph" w:styleId="Corpsdetexte3">
    <w:name w:val="Corps de texte 3"/>
    <w:basedOn w:val="Normal"/>
    <w:qFormat/>
    <w:pPr>
      <w:tabs>
        <w:tab w:val="decimal" w:pos="2622" w:leader="none"/>
        <w:tab w:val="left" w:pos="2835" w:leader="none"/>
        <w:tab w:val="decimal" w:pos="3756" w:leader="none"/>
      </w:tabs>
      <w:spacing w:lineRule="exact" w:line="240"/>
      <w:jc w:val="both"/>
    </w:pPr>
    <w:rPr>
      <w:rFonts w:ascii="Times New Roman" w:hAnsi="Times New Roman" w:cs="Times New Roman"/>
      <w:i/>
      <w:sz w:val="24"/>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NormalWeb">
    <w:name w:val="Normal (Web)"/>
    <w:basedOn w:val="Normal"/>
    <w:qFormat/>
    <w:pPr>
      <w:spacing w:before="100" w:after="100"/>
    </w:pPr>
    <w:rPr>
      <w:rFonts w:ascii="Times New Roman" w:hAnsi="Times New Roman" w:cs="Times New Roman"/>
      <w:sz w:val="24"/>
      <w:szCs w:val="24"/>
    </w:rPr>
  </w:style>
  <w:style w:type="paragraph" w:styleId="Contents2">
    <w:name w:val="Contents 2"/>
    <w:basedOn w:val="Normal"/>
    <w:next w:val="Normal"/>
    <w:pPr>
      <w:jc w:val="center"/>
    </w:pPr>
    <w:rPr>
      <w:rFonts w:ascii="Arial" w:hAnsi="Arial" w:cs="Arial"/>
      <w:b/>
      <w:bCs/>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Rvision">
    <w:name w:val="Révision"/>
    <w:qFormat/>
    <w:pPr>
      <w:widowControl/>
    </w:pPr>
    <w:rPr>
      <w:rFonts w:ascii="CG Times (W1);Times New Roman" w:hAnsi="CG Times (W1);Times New Roman" w:eastAsia="Times New Roman" w:cs="CG Times (W1);Times New Roman"/>
      <w:color w:val="auto"/>
      <w:sz w:val="20"/>
      <w:szCs w:val="20"/>
      <w:lang w:val="fr-FR" w:bidi="ar-SA" w:eastAsia="zh-CN"/>
    </w:rPr>
  </w:style>
  <w:style w:type="paragraph" w:styleId="Paragraphedeliste">
    <w:name w:val="Paragraphe de liste"/>
    <w:basedOn w:val="Normal"/>
    <w:qFormat/>
    <w:pPr>
      <w:ind w:left="708" w:hanging="0"/>
    </w:pPr>
    <w:rPr>
      <w:rFonts w:ascii="Times New Roman" w:hAnsi="Times New Roman" w:cs="Times New Roman"/>
      <w:sz w:val="24"/>
      <w:szCs w:val="24"/>
    </w:rPr>
  </w:style>
  <w:style w:type="paragraph" w:styleId="Corpsdetexte21">
    <w:name w:val="Corps de texte 21"/>
    <w:basedOn w:val="Normal"/>
    <w:qFormat/>
    <w:pPr>
      <w:widowControl w:val="false"/>
      <w:spacing w:lineRule="atLeast" w:line="360"/>
      <w:jc w:val="both"/>
      <w:textAlignment w:val="baseline"/>
    </w:pPr>
    <w:rPr>
      <w:rFonts w:ascii="Times New Roman" w:hAnsi="Times New Roman" w:cs="Times New Roman"/>
      <w:sz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2020-03-05T09:08:00Z</dcterms:created>
  <dc:language>en-GB</dc:language>
  <cp:lastPrinted>2020-02-24T10:31:00Z</cp:lastPrinted>
  <dcterms:modified xsi:type="dcterms:W3CDTF">2020-03-05T09:08:00Z</dcterms:modified>
  <cp:revision>2</cp:revision>
  <dc:title>ORIGINAL ACCORD INTERESSEMENT</dc:title>
</cp:coreProperties>
</file>