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xcorpstexte"/>
        <w:spacing w:before="120" w:after="0"/>
        <w:rPr>
          <w:b/>
          <w:b/>
          <w:bCs/>
        </w:rPr>
      </w:pPr>
      <w:r>
        <w:rPr>
          <w:b/>
          <w:bCs/>
        </w:rPr>
      </w:r>
    </w:p>
    <w:p>
      <w:pPr>
        <w:pStyle w:val="Voxcorpstexte"/>
        <w:rPr>
          <w:b/>
          <w:b/>
          <w:bCs/>
          <w:color w:val="FF0000"/>
        </w:rPr>
      </w:pPr>
      <w:r>
        <w:drawing>
          <wp:anchor behindDoc="0" distT="0" distB="0" distL="114935" distR="114935" simplePos="0" locked="0" layoutInCell="1" allowOverlap="1" relativeHeight="2">
            <wp:simplePos x="0" y="0"/>
            <wp:positionH relativeFrom="column">
              <wp:posOffset>-474980</wp:posOffset>
            </wp:positionH>
            <wp:positionV relativeFrom="paragraph">
              <wp:posOffset>-527050</wp:posOffset>
            </wp:positionV>
            <wp:extent cx="1827530" cy="55626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13" t="-43" r="-13" b="-43"/>
                    <a:stretch>
                      <a:fillRect/>
                    </a:stretch>
                  </pic:blipFill>
                  <pic:spPr bwMode="auto">
                    <a:xfrm>
                      <a:off x="0" y="0"/>
                      <a:ext cx="1827530" cy="556260"/>
                    </a:xfrm>
                    <a:prstGeom prst="rect">
                      <a:avLst/>
                    </a:prstGeom>
                  </pic:spPr>
                </pic:pic>
              </a:graphicData>
            </a:graphic>
          </wp:anchor>
        </w:drawing>
      </w:r>
      <w:r>
        <w:rPr>
          <w:rFonts w:eastAsia="Arial"/>
          <w:b/>
          <w:bCs/>
          <w:color w:val="FF0000"/>
        </w:rPr>
        <w:t xml:space="preserve"> </w:t>
      </w:r>
    </w:p>
    <w:p>
      <w:pPr>
        <w:pStyle w:val="Titrecentr"/>
        <w:pBdr>
          <w:top w:val="single" w:sz="4" w:space="1" w:color="000000"/>
          <w:left w:val="single" w:sz="4" w:space="4" w:color="000000"/>
          <w:bottom w:val="single" w:sz="4" w:space="1" w:color="000000"/>
          <w:right w:val="single" w:sz="4" w:space="4" w:color="000000"/>
        </w:pBdr>
        <w:ind w:left="0" w:hanging="0"/>
        <w:rPr>
          <w:rFonts w:ascii="Calibri" w:hAnsi="Calibri" w:cs="Arial"/>
          <w:b w:val="false"/>
          <w:b w:val="false"/>
          <w:bCs/>
          <w:spacing w:val="0"/>
          <w:sz w:val="40"/>
          <w:szCs w:val="40"/>
        </w:rPr>
      </w:pPr>
      <w:r>
        <w:rPr>
          <w:rFonts w:cs="Arial" w:ascii="Calibri" w:hAnsi="Calibri"/>
          <w:b w:val="false"/>
          <w:bCs/>
          <w:spacing w:val="0"/>
          <w:sz w:val="40"/>
          <w:szCs w:val="40"/>
        </w:rPr>
        <w:t>ACCORD RELATIF AUX MESURES D’URGENCE EN MATIERE DE CONGES</w:t>
      </w:r>
    </w:p>
    <w:p>
      <w:pPr>
        <w:pStyle w:val="Titrecentr"/>
        <w:pBdr>
          <w:top w:val="single" w:sz="4" w:space="1" w:color="000000"/>
          <w:left w:val="single" w:sz="4" w:space="4" w:color="000000"/>
          <w:bottom w:val="single" w:sz="4" w:space="1" w:color="000000"/>
          <w:right w:val="single" w:sz="4" w:space="4" w:color="000000"/>
        </w:pBdr>
        <w:ind w:left="0" w:hanging="0"/>
        <w:rPr/>
      </w:pPr>
      <w:r>
        <w:rPr>
          <w:rFonts w:cs="Arial" w:ascii="Calibri" w:hAnsi="Calibri"/>
          <w:b w:val="false"/>
          <w:bCs/>
          <w:spacing w:val="0"/>
          <w:sz w:val="40"/>
          <w:szCs w:val="40"/>
        </w:rPr>
        <w:t>DALKIA EN</w:t>
      </w:r>
    </w:p>
    <w:p>
      <w:pPr>
        <w:pStyle w:val="Normal"/>
        <w:rPr>
          <w:rFonts w:ascii="Calibri" w:hAnsi="Calibri" w:cs="Arial"/>
          <w:b/>
          <w:b/>
          <w:bCs/>
          <w:spacing w:val="0"/>
          <w:sz w:val="40"/>
          <w:szCs w:val="40"/>
        </w:rPr>
      </w:pPr>
      <w:r>
        <w:rPr>
          <w:rFonts w:cs="Arial" w:ascii="Calibri" w:hAnsi="Calibri"/>
          <w:b/>
          <w:bCs/>
          <w:spacing w:val="0"/>
          <w:sz w:val="40"/>
          <w:szCs w:val="40"/>
        </w:rPr>
      </w:r>
    </w:p>
    <w:p>
      <w:pPr>
        <w:pStyle w:val="Normal"/>
        <w:numPr>
          <w:ilvl w:val="0"/>
          <w:numId w:val="0"/>
        </w:numPr>
        <w:outlineLvl w:val="0"/>
        <w:rPr/>
      </w:pPr>
      <w:r>
        <w:rPr>
          <w:rFonts w:cs="Tahoma" w:ascii="Calibri" w:hAnsi="Calibri"/>
          <w:sz w:val="20"/>
        </w:rPr>
        <w:t>ENTRE :</w:t>
      </w:r>
    </w:p>
    <w:p>
      <w:pPr>
        <w:pStyle w:val="Normal"/>
        <w:numPr>
          <w:ilvl w:val="0"/>
          <w:numId w:val="0"/>
        </w:numPr>
        <w:outlineLvl w:val="0"/>
        <w:rPr>
          <w:rFonts w:ascii="Calibri" w:hAnsi="Calibri" w:cs="Tahoma"/>
          <w:sz w:val="20"/>
        </w:rPr>
      </w:pPr>
      <w:r>
        <w:rPr>
          <w:rFonts w:cs="Tahoma" w:ascii="Calibri" w:hAnsi="Calibri"/>
          <w:sz w:val="20"/>
        </w:rPr>
      </w:r>
    </w:p>
    <w:p>
      <w:pPr>
        <w:pStyle w:val="Normal"/>
        <w:numPr>
          <w:ilvl w:val="0"/>
          <w:numId w:val="3"/>
        </w:numPr>
        <w:ind w:left="360" w:hanging="360"/>
        <w:outlineLvl w:val="0"/>
        <w:rPr>
          <w:rFonts w:ascii="Calibri" w:hAnsi="Calibri" w:cs="Tahoma"/>
          <w:sz w:val="20"/>
        </w:rPr>
      </w:pPr>
      <w:r>
        <w:rPr>
          <w:rFonts w:cs="Tahoma" w:ascii="Calibri" w:hAnsi="Calibri"/>
          <w:sz w:val="20"/>
        </w:rPr>
        <w:t xml:space="preserve">la Société </w:t>
      </w:r>
      <w:r>
        <w:rPr>
          <w:rFonts w:cs="Tahoma" w:ascii="Calibri" w:hAnsi="Calibri"/>
          <w:b/>
          <w:sz w:val="20"/>
        </w:rPr>
        <w:t xml:space="preserve">Dalkia EN </w:t>
      </w:r>
      <w:r>
        <w:rPr>
          <w:rFonts w:cs="Tahoma" w:ascii="Calibri" w:hAnsi="Calibri"/>
          <w:sz w:val="20"/>
        </w:rPr>
        <w:t xml:space="preserve">représentée par </w:t>
      </w:r>
    </w:p>
    <w:p>
      <w:pPr>
        <w:pStyle w:val="Normal"/>
        <w:numPr>
          <w:ilvl w:val="0"/>
          <w:numId w:val="0"/>
        </w:numPr>
        <w:ind w:left="360" w:hanging="0"/>
        <w:outlineLvl w:val="0"/>
        <w:rPr>
          <w:rFonts w:ascii="Calibri" w:hAnsi="Calibri" w:cs="Tahoma"/>
          <w:sz w:val="20"/>
        </w:rPr>
      </w:pPr>
      <w:r>
        <w:rPr>
          <w:rFonts w:cs="Tahoma" w:ascii="Calibri" w:hAnsi="Calibri"/>
          <w:sz w:val="20"/>
        </w:rPr>
        <w:t>Monsieur, Président</w:t>
      </w:r>
    </w:p>
    <w:p>
      <w:pPr>
        <w:pStyle w:val="Normal"/>
        <w:numPr>
          <w:ilvl w:val="0"/>
          <w:numId w:val="0"/>
        </w:numPr>
        <w:ind w:left="360" w:hanging="0"/>
        <w:outlineLvl w:val="0"/>
        <w:rPr>
          <w:rFonts w:ascii="Calibri" w:hAnsi="Calibri" w:cs="Tahoma"/>
          <w:sz w:val="20"/>
        </w:rPr>
      </w:pPr>
      <w:r>
        <w:rPr>
          <w:rFonts w:cs="Tahoma" w:ascii="Calibri" w:hAnsi="Calibri"/>
          <w:sz w:val="20"/>
        </w:rPr>
      </w:r>
    </w:p>
    <w:p>
      <w:pPr>
        <w:pStyle w:val="Normal"/>
        <w:numPr>
          <w:ilvl w:val="0"/>
          <w:numId w:val="0"/>
        </w:numPr>
        <w:outlineLvl w:val="0"/>
        <w:rPr/>
      </w:pPr>
      <w:r>
        <w:rPr>
          <w:rFonts w:cs="Tahoma" w:ascii="Calibri" w:hAnsi="Calibri"/>
          <w:sz w:val="20"/>
        </w:rPr>
        <w:t>D’une part</w:t>
      </w:r>
    </w:p>
    <w:p>
      <w:pPr>
        <w:pStyle w:val="Normal"/>
        <w:numPr>
          <w:ilvl w:val="0"/>
          <w:numId w:val="0"/>
        </w:numPr>
        <w:ind w:left="720" w:hanging="0"/>
        <w:outlineLvl w:val="0"/>
        <w:rPr>
          <w:rFonts w:ascii="Calibri" w:hAnsi="Calibri" w:cs="Tahoma"/>
          <w:sz w:val="20"/>
        </w:rPr>
      </w:pPr>
      <w:r>
        <w:rPr>
          <w:rFonts w:cs="Tahoma" w:ascii="Calibri" w:hAnsi="Calibri"/>
          <w:sz w:val="20"/>
        </w:rPr>
      </w:r>
    </w:p>
    <w:p>
      <w:pPr>
        <w:pStyle w:val="Normal"/>
        <w:numPr>
          <w:ilvl w:val="0"/>
          <w:numId w:val="3"/>
        </w:numPr>
        <w:outlineLvl w:val="0"/>
        <w:rPr>
          <w:rFonts w:ascii="Calibri" w:hAnsi="Calibri" w:cs="Tahoma"/>
          <w:sz w:val="20"/>
        </w:rPr>
      </w:pPr>
      <w:r>
        <w:rPr>
          <w:rFonts w:cs="Tahoma" w:ascii="Calibri" w:hAnsi="Calibri"/>
          <w:sz w:val="20"/>
        </w:rPr>
        <w:t xml:space="preserve">Et les </w:t>
      </w:r>
      <w:r>
        <w:rPr>
          <w:rFonts w:cs="Tahoma" w:ascii="Calibri" w:hAnsi="Calibri"/>
          <w:b/>
          <w:sz w:val="20"/>
        </w:rPr>
        <w:t>organisations syndicales</w:t>
      </w:r>
      <w:r>
        <w:rPr>
          <w:rFonts w:cs="Tahoma" w:ascii="Calibri" w:hAnsi="Calibri"/>
          <w:sz w:val="20"/>
        </w:rPr>
        <w:t xml:space="preserve"> suivantes :</w:t>
      </w:r>
    </w:p>
    <w:p>
      <w:pPr>
        <w:pStyle w:val="Normal"/>
        <w:numPr>
          <w:ilvl w:val="0"/>
          <w:numId w:val="0"/>
        </w:numPr>
        <w:ind w:left="720" w:hanging="0"/>
        <w:outlineLvl w:val="0"/>
        <w:rPr>
          <w:rFonts w:ascii="Calibri" w:hAnsi="Calibri" w:cs="Tahoma"/>
          <w:sz w:val="20"/>
        </w:rPr>
      </w:pPr>
      <w:r>
        <w:rPr>
          <w:rFonts w:cs="Tahoma" w:ascii="Calibri" w:hAnsi="Calibri"/>
          <w:sz w:val="20"/>
        </w:rPr>
      </w:r>
    </w:p>
    <w:p>
      <w:pPr>
        <w:pStyle w:val="Normal"/>
        <w:spacing w:before="0" w:after="0"/>
        <w:jc w:val="left"/>
        <w:rPr>
          <w:rFonts w:ascii="Calibri" w:hAnsi="Calibri" w:cs="Tahoma"/>
          <w:sz w:val="20"/>
        </w:rPr>
      </w:pPr>
      <w:r>
        <w:rPr>
          <w:rFonts w:cs="Tahoma" w:ascii="Calibri" w:hAnsi="Calibri"/>
          <w:sz w:val="20"/>
        </w:rPr>
        <w:t>- La Confédération Générale du Travail – Fédération Nationale des Travailleurs de la construction représentée par  Monsieur, délégué syndical</w:t>
      </w:r>
    </w:p>
    <w:p>
      <w:pPr>
        <w:pStyle w:val="Normal"/>
        <w:spacing w:before="0" w:after="0"/>
        <w:jc w:val="left"/>
        <w:rPr>
          <w:rFonts w:ascii="Calibri" w:hAnsi="Calibri" w:cs="Tahoma"/>
          <w:sz w:val="20"/>
        </w:rPr>
      </w:pPr>
      <w:r>
        <w:rPr>
          <w:rFonts w:cs="Tahoma" w:ascii="Calibri" w:hAnsi="Calibri"/>
          <w:sz w:val="20"/>
        </w:rPr>
      </w:r>
    </w:p>
    <w:p>
      <w:pPr>
        <w:pStyle w:val="Normal"/>
        <w:spacing w:before="0" w:after="0"/>
        <w:jc w:val="left"/>
        <w:rPr>
          <w:rFonts w:ascii="Calibri" w:hAnsi="Calibri" w:cs="Tahoma"/>
          <w:sz w:val="20"/>
        </w:rPr>
      </w:pPr>
      <w:r>
        <w:rPr>
          <w:rFonts w:cs="Tahoma" w:ascii="Calibri" w:hAnsi="Calibri"/>
          <w:sz w:val="20"/>
        </w:rPr>
        <w:t>- L’Union Nationale des Syndicats autonomes (UNSA), représentée par Monsieur, délégué syndical</w:t>
      </w:r>
    </w:p>
    <w:p>
      <w:pPr>
        <w:pStyle w:val="Normal"/>
        <w:spacing w:before="0" w:after="0"/>
        <w:jc w:val="left"/>
        <w:rPr>
          <w:rFonts w:ascii="Calibri" w:hAnsi="Calibri" w:cs="Tahoma"/>
          <w:sz w:val="20"/>
        </w:rPr>
      </w:pPr>
      <w:r>
        <w:rPr>
          <w:rFonts w:cs="Tahoma" w:ascii="Calibri" w:hAnsi="Calibri"/>
          <w:sz w:val="20"/>
        </w:rPr>
      </w:r>
    </w:p>
    <w:p>
      <w:pPr>
        <w:pStyle w:val="Normal"/>
        <w:spacing w:before="0" w:after="0"/>
        <w:jc w:val="left"/>
        <w:rPr>
          <w:rFonts w:ascii="Calibri" w:hAnsi="Calibri" w:cs="Tahoma"/>
          <w:sz w:val="20"/>
        </w:rPr>
      </w:pPr>
      <w:r>
        <w:rPr>
          <w:rFonts w:cs="Tahoma" w:ascii="Calibri" w:hAnsi="Calibri"/>
          <w:sz w:val="20"/>
        </w:rPr>
        <w:t>- La Fédération Générale Force Ouvrière (FGFO) – Construction, représentée par Monsieur, délégué syndical</w:t>
      </w:r>
    </w:p>
    <w:p>
      <w:pPr>
        <w:pStyle w:val="Normal"/>
        <w:numPr>
          <w:ilvl w:val="0"/>
          <w:numId w:val="0"/>
        </w:numPr>
        <w:outlineLvl w:val="0"/>
        <w:rPr>
          <w:rFonts w:ascii="Calibri" w:hAnsi="Calibri" w:cs="Tahoma"/>
          <w:sz w:val="20"/>
        </w:rPr>
      </w:pPr>
      <w:r>
        <w:rPr>
          <w:rFonts w:cs="Tahoma" w:ascii="Calibri" w:hAnsi="Calibri"/>
          <w:sz w:val="20"/>
        </w:rPr>
      </w:r>
    </w:p>
    <w:p>
      <w:pPr>
        <w:pStyle w:val="Normal"/>
        <w:spacing w:before="0" w:after="0"/>
        <w:jc w:val="left"/>
        <w:rPr>
          <w:rFonts w:ascii="Calibri" w:hAnsi="Calibri" w:cs="Tahoma"/>
          <w:sz w:val="20"/>
        </w:rPr>
      </w:pPr>
      <w:r>
        <w:rPr>
          <w:rFonts w:cs="Tahoma" w:ascii="Calibri" w:hAnsi="Calibri"/>
          <w:sz w:val="20"/>
        </w:rPr>
        <w:t>- La Confédération Française Démocratique du Travail (CFDT) – Fédération Nationale de la Construction et du Bois, représentée par Monsieur, délégué syndical</w:t>
      </w:r>
    </w:p>
    <w:p>
      <w:pPr>
        <w:pStyle w:val="Normal"/>
        <w:spacing w:before="0" w:after="0"/>
        <w:jc w:val="left"/>
        <w:rPr>
          <w:rFonts w:ascii="Calibri" w:hAnsi="Calibri" w:cs="Tahoma"/>
          <w:i/>
          <w:i/>
          <w:color w:val="0070C0"/>
          <w:sz w:val="20"/>
          <w:highlight w:val="yellow"/>
        </w:rPr>
      </w:pPr>
      <w:r>
        <w:rPr>
          <w:rFonts w:cs="Tahoma" w:ascii="Calibri" w:hAnsi="Calibri"/>
          <w:i/>
          <w:color w:val="0070C0"/>
          <w:sz w:val="20"/>
          <w:highlight w:val="yellow"/>
        </w:rPr>
      </w:r>
    </w:p>
    <w:p>
      <w:pPr>
        <w:pStyle w:val="Voxcorpstexte"/>
        <w:rPr>
          <w:rFonts w:ascii="Calibri" w:hAnsi="Calibri" w:cs="Tahoma"/>
          <w:bCs/>
          <w:i/>
          <w:i/>
          <w:color w:val="0070C0"/>
          <w:sz w:val="20"/>
          <w:szCs w:val="20"/>
          <w:highlight w:val="yellow"/>
        </w:rPr>
      </w:pPr>
      <w:r>
        <w:rPr>
          <w:rFonts w:cs="Tahoma" w:ascii="Calibri" w:hAnsi="Calibri"/>
          <w:bCs/>
          <w:i/>
          <w:color w:val="0070C0"/>
          <w:sz w:val="20"/>
          <w:szCs w:val="20"/>
          <w:highlight w:val="yellow"/>
        </w:rPr>
      </w:r>
    </w:p>
    <w:p>
      <w:pPr>
        <w:pStyle w:val="Voxcorpstexte"/>
        <w:rPr/>
      </w:pPr>
      <w:r>
        <w:rPr>
          <w:rFonts w:cs="Tahoma" w:ascii="Calibri" w:hAnsi="Calibri"/>
          <w:bCs/>
          <w:sz w:val="20"/>
          <w:szCs w:val="20"/>
        </w:rPr>
        <w:t>D’autre part</w:t>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pPr>
      <w:r>
        <w:rPr>
          <w:rFonts w:cs="Tahoma" w:ascii="Calibri" w:hAnsi="Calibri"/>
          <w:bCs/>
          <w:sz w:val="20"/>
          <w:szCs w:val="20"/>
        </w:rPr>
        <w:t>Il est convenu ce qui suit :</w:t>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
          <w:b/>
          <w:bCs/>
          <w:sz w:val="20"/>
          <w:szCs w:val="20"/>
          <w:u w:val="single"/>
        </w:rPr>
      </w:pPr>
      <w:r>
        <w:rPr>
          <w:rFonts w:cs="Tahoma" w:ascii="Calibri" w:hAnsi="Calibri"/>
          <w:b/>
          <w:bCs/>
          <w:sz w:val="20"/>
          <w:szCs w:val="20"/>
          <w:u w:val="single"/>
        </w:rPr>
        <w:t>PREAMBULE :</w:t>
      </w:r>
    </w:p>
    <w:p>
      <w:pPr>
        <w:pStyle w:val="Voxcorpstexte"/>
        <w:rPr>
          <w:rFonts w:ascii="Calibri" w:hAnsi="Calibri" w:cs="Tahoma"/>
          <w:b/>
          <w:b/>
          <w:bCs/>
          <w:sz w:val="20"/>
          <w:szCs w:val="20"/>
          <w:u w:val="single"/>
        </w:rPr>
      </w:pPr>
      <w:r>
        <w:rPr>
          <w:rFonts w:cs="Tahoma" w:ascii="Calibri" w:hAnsi="Calibri"/>
          <w:b/>
          <w:bCs/>
          <w:sz w:val="20"/>
          <w:szCs w:val="20"/>
          <w:u w:val="single"/>
        </w:rPr>
      </w:r>
    </w:p>
    <w:p>
      <w:pPr>
        <w:pStyle w:val="Voxcorpstexte"/>
        <w:rPr>
          <w:rFonts w:ascii="Calibri" w:hAnsi="Calibri" w:cs="Tahoma"/>
          <w:bCs/>
          <w:sz w:val="20"/>
          <w:szCs w:val="20"/>
        </w:rPr>
      </w:pPr>
      <w:r>
        <w:rPr>
          <w:rFonts w:cs="Tahoma" w:ascii="Calibri" w:hAnsi="Calibri"/>
          <w:bCs/>
          <w:sz w:val="20"/>
          <w:szCs w:val="20"/>
        </w:rPr>
        <w:t>Afin de faire face aux conséquences économiques, financières et sociales de la propagation du Covid-19, le gouvernement a été amené à prendre certaines mesures d’urgence par ses ordonnances du 25 mars 2020 prises en application de la loi N° 2020-290 du 23 mars 2020.</w:t>
      </w:r>
    </w:p>
    <w:p>
      <w:pPr>
        <w:pStyle w:val="Voxcorpstexte"/>
        <w:rPr>
          <w:rFonts w:ascii="Calibri" w:hAnsi="Calibri" w:cs="Tahoma"/>
          <w:bCs/>
          <w:sz w:val="20"/>
          <w:szCs w:val="20"/>
        </w:rPr>
      </w:pPr>
      <w:r>
        <w:rPr>
          <w:rFonts w:cs="Tahoma" w:ascii="Calibri" w:hAnsi="Calibri"/>
          <w:bCs/>
          <w:sz w:val="20"/>
          <w:szCs w:val="20"/>
        </w:rPr>
        <w:t>Dalkia EN souhaite s’inscrire pleinement dans l’objectif de ces ordonnances afin de limiter immédiatement les impacts économiques et financiers engendrés par la pandémie en cours de Covid-19 mais aussi de limiter les impacts sociaux pour ses salariés, notamment en matière de rémunération.</w:t>
      </w:r>
    </w:p>
    <w:p>
      <w:pPr>
        <w:pStyle w:val="Voxcorpstexte"/>
        <w:rPr>
          <w:rFonts w:ascii="Calibri" w:hAnsi="Calibri" w:cs="Tahoma"/>
          <w:bCs/>
          <w:sz w:val="20"/>
          <w:szCs w:val="20"/>
        </w:rPr>
      </w:pPr>
      <w:r>
        <w:rPr>
          <w:rFonts w:cs="Tahoma" w:ascii="Calibri" w:hAnsi="Calibri"/>
          <w:bCs/>
          <w:sz w:val="20"/>
          <w:szCs w:val="20"/>
        </w:rPr>
        <w:t>Le présent accord est mis en place pour répondre à des circonstances exceptionnelles et à des baisses d’activité dues à la reprogrammation des plannings d’interventions sur les CNPE.</w:t>
      </w:r>
    </w:p>
    <w:p>
      <w:pPr>
        <w:pStyle w:val="Voxcorpstexte"/>
        <w:rPr>
          <w:rFonts w:ascii="Calibri" w:hAnsi="Calibri" w:cs="Tahoma"/>
          <w:bCs/>
          <w:color w:val="4F81BD"/>
          <w:sz w:val="20"/>
          <w:szCs w:val="20"/>
        </w:rPr>
      </w:pPr>
      <w:r>
        <w:rPr>
          <w:rFonts w:cs="Tahoma" w:ascii="Calibri" w:hAnsi="Calibri"/>
          <w:bCs/>
          <w:color w:val="4F81BD"/>
          <w:sz w:val="20"/>
          <w:szCs w:val="20"/>
        </w:rPr>
      </w:r>
    </w:p>
    <w:p>
      <w:pPr>
        <w:pStyle w:val="Voxcorpstexte"/>
        <w:rPr>
          <w:rFonts w:ascii="Calibri" w:hAnsi="Calibri" w:cs="Tahoma"/>
          <w:b/>
          <w:b/>
          <w:bCs/>
          <w:sz w:val="20"/>
          <w:szCs w:val="20"/>
          <w:u w:val="single"/>
        </w:rPr>
      </w:pPr>
      <w:r>
        <w:rPr>
          <w:rFonts w:cs="Tahoma" w:ascii="Calibri" w:hAnsi="Calibri"/>
          <w:b/>
          <w:bCs/>
          <w:sz w:val="20"/>
          <w:szCs w:val="20"/>
          <w:u w:val="single"/>
        </w:rPr>
        <w:t>ARTICLE 1</w:t>
      </w:r>
      <w:r>
        <w:rPr>
          <w:rFonts w:cs="Tahoma" w:ascii="Calibri" w:hAnsi="Calibri"/>
          <w:b/>
          <w:bCs/>
          <w:sz w:val="20"/>
          <w:szCs w:val="20"/>
          <w:u w:val="single"/>
          <w:vertAlign w:val="superscript"/>
        </w:rPr>
        <w:t>er</w:t>
      </w:r>
      <w:r>
        <w:rPr>
          <w:rFonts w:cs="Tahoma" w:ascii="Calibri" w:hAnsi="Calibri"/>
          <w:b/>
          <w:bCs/>
          <w:sz w:val="20"/>
          <w:szCs w:val="20"/>
          <w:u w:val="single"/>
        </w:rPr>
        <w:t xml:space="preserve"> – CHAMP D’APPLICATION :</w:t>
      </w:r>
    </w:p>
    <w:p>
      <w:pPr>
        <w:pStyle w:val="Voxcorpstexte"/>
        <w:rPr>
          <w:rFonts w:ascii="Calibri" w:hAnsi="Calibri" w:cs="Tahoma"/>
          <w:b/>
          <w:b/>
          <w:bCs/>
          <w:sz w:val="20"/>
          <w:szCs w:val="20"/>
          <w:u w:val="single"/>
        </w:rPr>
      </w:pPr>
      <w:r>
        <w:rPr>
          <w:rFonts w:cs="Tahoma" w:ascii="Calibri" w:hAnsi="Calibri"/>
          <w:b/>
          <w:bCs/>
          <w:sz w:val="20"/>
          <w:szCs w:val="20"/>
          <w:u w:val="single"/>
        </w:rPr>
      </w:r>
    </w:p>
    <w:p>
      <w:pPr>
        <w:pStyle w:val="Voxcorpstexte"/>
        <w:rPr>
          <w:rFonts w:ascii="Calibri" w:hAnsi="Calibri" w:cs="Tahoma"/>
          <w:bCs/>
          <w:sz w:val="20"/>
          <w:szCs w:val="20"/>
        </w:rPr>
      </w:pPr>
      <w:r>
        <w:rPr>
          <w:rFonts w:cs="Tahoma" w:ascii="Calibri" w:hAnsi="Calibri"/>
          <w:bCs/>
          <w:sz w:val="20"/>
          <w:szCs w:val="20"/>
        </w:rPr>
        <w:t>Le présent accord s’applique à l’ensemble des salariés de la société Dalkia EN.</w:t>
      </w:r>
    </w:p>
    <w:p>
      <w:pPr>
        <w:pStyle w:val="Voxcorpstexte"/>
        <w:rPr>
          <w:rFonts w:ascii="Calibri" w:hAnsi="Calibri" w:cs="Tahoma"/>
          <w:bCs/>
          <w:color w:val="4F81BD"/>
          <w:sz w:val="20"/>
          <w:szCs w:val="20"/>
        </w:rPr>
      </w:pPr>
      <w:r>
        <w:rPr>
          <w:rFonts w:cs="Tahoma" w:ascii="Calibri" w:hAnsi="Calibri"/>
          <w:bCs/>
          <w:color w:val="4F81BD"/>
          <w:sz w:val="20"/>
          <w:szCs w:val="20"/>
        </w:rPr>
      </w:r>
    </w:p>
    <w:p>
      <w:pPr>
        <w:pStyle w:val="Voxcorpstexte"/>
        <w:rPr>
          <w:rFonts w:ascii="Calibri" w:hAnsi="Calibri" w:cs="Tahoma"/>
          <w:b/>
          <w:b/>
          <w:bCs/>
          <w:sz w:val="20"/>
          <w:szCs w:val="20"/>
          <w:u w:val="single"/>
        </w:rPr>
      </w:pPr>
      <w:r>
        <w:rPr>
          <w:rFonts w:cs="Tahoma" w:ascii="Calibri" w:hAnsi="Calibri"/>
          <w:b/>
          <w:bCs/>
          <w:sz w:val="20"/>
          <w:szCs w:val="20"/>
          <w:u w:val="single"/>
        </w:rPr>
        <w:t>ARTICLE 2 – PRISE DE JOURS DE REPOS ET DE CONGES :</w:t>
      </w:r>
    </w:p>
    <w:p>
      <w:pPr>
        <w:pStyle w:val="Voxcorpstexte"/>
        <w:rPr>
          <w:rFonts w:ascii="Calibri" w:hAnsi="Calibri" w:cs="Tahoma"/>
          <w:b/>
          <w:b/>
          <w:bCs/>
          <w:color w:val="4F81BD"/>
          <w:sz w:val="20"/>
          <w:szCs w:val="20"/>
          <w:u w:val="single"/>
        </w:rPr>
      </w:pPr>
      <w:r>
        <w:rPr>
          <w:rFonts w:cs="Tahoma" w:ascii="Calibri" w:hAnsi="Calibri"/>
          <w:b/>
          <w:bCs/>
          <w:color w:val="4F81BD"/>
          <w:sz w:val="20"/>
          <w:szCs w:val="20"/>
          <w:u w:val="single"/>
        </w:rPr>
      </w:r>
    </w:p>
    <w:p>
      <w:pPr>
        <w:pStyle w:val="Voxcorpstexte"/>
        <w:rPr>
          <w:rFonts w:ascii="Calibri" w:hAnsi="Calibri" w:cs="Tahoma"/>
          <w:bCs/>
          <w:sz w:val="20"/>
          <w:szCs w:val="20"/>
        </w:rPr>
      </w:pPr>
      <w:r>
        <w:rPr>
          <w:rFonts w:cs="Tahoma" w:ascii="Calibri" w:hAnsi="Calibri"/>
          <w:bCs/>
          <w:sz w:val="20"/>
          <w:szCs w:val="20"/>
        </w:rPr>
        <w:t>Chaque salarié sera concerné par la prise effective de jours de repos à l’initiative de l’employeur pour un nombre allant de 1 à 10 jours ouvrés maximum selon les nécessités d’activité ou à concurrence des stocks individuels disponibles en cas de soldes insuffisants.</w:t>
      </w:r>
    </w:p>
    <w:p>
      <w:pPr>
        <w:pStyle w:val="Voxcorpstexte"/>
        <w:rPr>
          <w:rFonts w:ascii="Calibri" w:hAnsi="Calibri" w:cs="Tahoma"/>
          <w:bCs/>
          <w:sz w:val="20"/>
          <w:szCs w:val="20"/>
        </w:rPr>
      </w:pPr>
      <w:r>
        <w:rPr>
          <w:rFonts w:cs="Tahoma" w:ascii="Calibri" w:hAnsi="Calibri"/>
          <w:bCs/>
          <w:sz w:val="20"/>
          <w:szCs w:val="20"/>
        </w:rPr>
        <w:t>Ces jours de repos devront être posés entre la date d’effet de l’accord et le 30 avril 2020.</w:t>
      </w:r>
    </w:p>
    <w:p>
      <w:pPr>
        <w:pStyle w:val="Voxcorpstexte"/>
        <w:rPr>
          <w:rFonts w:ascii="Calibri" w:hAnsi="Calibri" w:cs="Tahoma"/>
          <w:bCs/>
          <w:sz w:val="20"/>
          <w:szCs w:val="20"/>
        </w:rPr>
      </w:pPr>
      <w:r>
        <w:rPr>
          <w:rFonts w:cs="Tahoma" w:ascii="Calibri" w:hAnsi="Calibri"/>
          <w:bCs/>
          <w:sz w:val="20"/>
          <w:szCs w:val="20"/>
        </w:rPr>
        <w:t>La prise de ces jours sera faite selon l’ordre de priorité suivant :</w:t>
      </w:r>
    </w:p>
    <w:p>
      <w:pPr>
        <w:pStyle w:val="Voxcorpstexte"/>
        <w:numPr>
          <w:ilvl w:val="0"/>
          <w:numId w:val="7"/>
        </w:numPr>
        <w:rPr>
          <w:rFonts w:ascii="Calibri" w:hAnsi="Calibri" w:cs="Tahoma"/>
          <w:bCs/>
          <w:sz w:val="20"/>
          <w:szCs w:val="20"/>
        </w:rPr>
      </w:pPr>
      <w:r>
        <w:rPr>
          <w:rFonts w:cs="Tahoma" w:ascii="Calibri" w:hAnsi="Calibri"/>
          <w:bCs/>
          <w:sz w:val="20"/>
          <w:szCs w:val="20"/>
        </w:rPr>
        <w:t xml:space="preserve">Heures de Récupération </w:t>
      </w:r>
    </w:p>
    <w:p>
      <w:pPr>
        <w:pStyle w:val="Voxcorpstexte"/>
        <w:numPr>
          <w:ilvl w:val="0"/>
          <w:numId w:val="7"/>
        </w:numPr>
        <w:rPr/>
      </w:pPr>
      <w:r>
        <w:rPr>
          <w:rFonts w:cs="Tahoma" w:ascii="Calibri" w:hAnsi="Calibri"/>
          <w:bCs/>
          <w:sz w:val="20"/>
          <w:szCs w:val="20"/>
        </w:rPr>
        <w:t>Jours de Récupération Temps de Travail (JRTT)</w:t>
      </w:r>
    </w:p>
    <w:p>
      <w:pPr>
        <w:pStyle w:val="Voxcorpstexte"/>
        <w:numPr>
          <w:ilvl w:val="0"/>
          <w:numId w:val="7"/>
        </w:numPr>
        <w:rPr>
          <w:rFonts w:ascii="Calibri" w:hAnsi="Calibri" w:cs="Tahoma"/>
          <w:bCs/>
          <w:sz w:val="20"/>
          <w:szCs w:val="20"/>
        </w:rPr>
      </w:pPr>
      <w:r>
        <w:rPr>
          <w:rFonts w:cs="Tahoma" w:ascii="Calibri" w:hAnsi="Calibri"/>
          <w:bCs/>
          <w:sz w:val="20"/>
          <w:szCs w:val="20"/>
        </w:rPr>
        <w:t>Congés Payés et Congés d’ancienneté pris sur les soldes de la période en cours (période de prise de congés entre le 1</w:t>
      </w:r>
      <w:r>
        <w:rPr>
          <w:rFonts w:cs="Tahoma" w:ascii="Calibri" w:hAnsi="Calibri"/>
          <w:bCs/>
          <w:sz w:val="20"/>
          <w:szCs w:val="20"/>
          <w:vertAlign w:val="superscript"/>
        </w:rPr>
        <w:t>er</w:t>
      </w:r>
      <w:r>
        <w:rPr>
          <w:rFonts w:cs="Tahoma" w:ascii="Calibri" w:hAnsi="Calibri"/>
          <w:bCs/>
          <w:sz w:val="20"/>
          <w:szCs w:val="20"/>
        </w:rPr>
        <w:t xml:space="preserve"> juin 2019 et le 31 mai 2020), à concurrence d’un maximum de 5 jours ouvrés. </w:t>
      </w:r>
    </w:p>
    <w:p>
      <w:pPr>
        <w:pStyle w:val="Voxcorpstexte"/>
        <w:rPr>
          <w:rFonts w:ascii="Calibri" w:hAnsi="Calibri" w:cs="Tahoma"/>
          <w:bCs/>
          <w:sz w:val="20"/>
          <w:szCs w:val="20"/>
        </w:rPr>
      </w:pPr>
      <w:r>
        <w:rPr>
          <w:rFonts w:cs="Tahoma" w:ascii="Calibri" w:hAnsi="Calibri"/>
          <w:bCs/>
          <w:sz w:val="20"/>
          <w:szCs w:val="20"/>
        </w:rPr>
        <w:t>Il est convenu que les jours de repos et congés seront pris sous forme de journée entière.</w:t>
      </w:r>
    </w:p>
    <w:p>
      <w:pPr>
        <w:pStyle w:val="Voxcorpstexte"/>
        <w:rPr>
          <w:rFonts w:ascii="Calibri" w:hAnsi="Calibri" w:cs="Tahoma"/>
          <w:bCs/>
          <w:sz w:val="20"/>
          <w:szCs w:val="20"/>
        </w:rPr>
      </w:pPr>
      <w:r>
        <w:rPr>
          <w:rFonts w:cs="Tahoma" w:ascii="Calibri" w:hAnsi="Calibri"/>
          <w:bCs/>
          <w:sz w:val="20"/>
          <w:szCs w:val="20"/>
        </w:rPr>
        <w:t>En tout état de cause, aucun droit à congés en cours d’acquisition pour la nouvelle période ne sera prélevé par anticipation.</w:t>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
          <w:b/>
          <w:bCs/>
          <w:sz w:val="20"/>
          <w:szCs w:val="20"/>
          <w:u w:val="single"/>
        </w:rPr>
      </w:pPr>
      <w:r>
        <w:rPr>
          <w:rFonts w:cs="Tahoma" w:ascii="Calibri" w:hAnsi="Calibri"/>
          <w:b/>
          <w:bCs/>
          <w:sz w:val="20"/>
          <w:szCs w:val="20"/>
          <w:u w:val="single"/>
        </w:rPr>
        <w:t>ARTICLE 3 – MODALITES ET DELAI DE PREVENANCE :</w:t>
      </w:r>
    </w:p>
    <w:p>
      <w:pPr>
        <w:pStyle w:val="Voxcorpstexte"/>
        <w:rPr>
          <w:rFonts w:ascii="Calibri" w:hAnsi="Calibri" w:cs="Tahoma"/>
          <w:b/>
          <w:b/>
          <w:bCs/>
          <w:sz w:val="20"/>
          <w:szCs w:val="20"/>
          <w:u w:val="single"/>
        </w:rPr>
      </w:pPr>
      <w:r>
        <w:rPr>
          <w:rFonts w:cs="Tahoma" w:ascii="Calibri" w:hAnsi="Calibri"/>
          <w:b/>
          <w:bCs/>
          <w:sz w:val="20"/>
          <w:szCs w:val="20"/>
          <w:u w:val="single"/>
        </w:rPr>
      </w:r>
    </w:p>
    <w:p>
      <w:pPr>
        <w:pStyle w:val="Voxcorpstexte"/>
        <w:rPr>
          <w:rFonts w:ascii="Calibri" w:hAnsi="Calibri" w:cs="Tahoma"/>
          <w:bCs/>
          <w:sz w:val="20"/>
          <w:szCs w:val="20"/>
        </w:rPr>
      </w:pPr>
      <w:r>
        <w:rPr>
          <w:rFonts w:cs="Tahoma" w:ascii="Calibri" w:hAnsi="Calibri"/>
          <w:bCs/>
          <w:sz w:val="20"/>
          <w:szCs w:val="20"/>
        </w:rPr>
        <w:t>Les managers se rapprocheront de chaque salarié afin de déterminer les dates et les motifs des repos pris et remonteront l’information à la DRH. Chaque salarié, de son côté, renseignera les demandes de repos correspondantes dans Kiosque.</w:t>
      </w:r>
    </w:p>
    <w:p>
      <w:pPr>
        <w:pStyle w:val="Voxcorpstexte"/>
        <w:rPr/>
      </w:pPr>
      <w:r>
        <w:rPr>
          <w:rFonts w:cs="Tahoma" w:ascii="Calibri" w:hAnsi="Calibri"/>
          <w:bCs/>
          <w:sz w:val="20"/>
          <w:szCs w:val="20"/>
        </w:rPr>
        <w:t>Seront prioritairement sollicitées pour la pose des jours de repos les personnes non mobilisées en permanence.</w:t>
      </w:r>
    </w:p>
    <w:p>
      <w:pPr>
        <w:pStyle w:val="Voxcorpstexte"/>
        <w:rPr>
          <w:rFonts w:ascii="Calibri" w:hAnsi="Calibri" w:cs="Tahoma"/>
          <w:bCs/>
          <w:sz w:val="20"/>
          <w:szCs w:val="20"/>
        </w:rPr>
      </w:pPr>
      <w:r>
        <w:rPr>
          <w:rFonts w:cs="Tahoma" w:ascii="Calibri" w:hAnsi="Calibri"/>
          <w:bCs/>
          <w:sz w:val="20"/>
          <w:szCs w:val="20"/>
        </w:rPr>
        <w:t>En application des mesures dérogatoires prévues par les ordonnances du 25 mars 2020, le délai de prévenance entre la décision de l’employeur et le premier jour de congé est porté à 1 jour franc minimum.</w:t>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
          <w:b/>
          <w:bCs/>
          <w:sz w:val="20"/>
          <w:szCs w:val="20"/>
          <w:u w:val="single"/>
        </w:rPr>
      </w:pPr>
      <w:r>
        <w:rPr>
          <w:rFonts w:cs="Tahoma" w:ascii="Calibri" w:hAnsi="Calibri"/>
          <w:b/>
          <w:bCs/>
          <w:sz w:val="20"/>
          <w:szCs w:val="20"/>
          <w:u w:val="single"/>
        </w:rPr>
        <w:t>ARTICLE 4 – CAS PARTICULIERS :</w:t>
      </w:r>
    </w:p>
    <w:p>
      <w:pPr>
        <w:pStyle w:val="Voxcorpstexte"/>
        <w:rPr>
          <w:rFonts w:ascii="Calibri" w:hAnsi="Calibri" w:cs="Tahoma"/>
          <w:b/>
          <w:b/>
          <w:bCs/>
          <w:sz w:val="20"/>
          <w:szCs w:val="20"/>
          <w:u w:val="single"/>
        </w:rPr>
      </w:pPr>
      <w:r>
        <w:rPr>
          <w:rFonts w:cs="Tahoma" w:ascii="Calibri" w:hAnsi="Calibri"/>
          <w:b/>
          <w:bCs/>
          <w:sz w:val="20"/>
          <w:szCs w:val="20"/>
          <w:u w:val="single"/>
        </w:rPr>
      </w:r>
    </w:p>
    <w:p>
      <w:pPr>
        <w:pStyle w:val="Voxcorpstexte"/>
        <w:numPr>
          <w:ilvl w:val="0"/>
          <w:numId w:val="2"/>
        </w:numPr>
        <w:rPr>
          <w:rFonts w:ascii="Calibri" w:hAnsi="Calibri" w:cs="Tahoma"/>
          <w:b/>
          <w:b/>
          <w:bCs/>
          <w:sz w:val="20"/>
          <w:szCs w:val="20"/>
          <w:u w:val="single"/>
        </w:rPr>
      </w:pPr>
      <w:r>
        <w:rPr>
          <w:rFonts w:cs="Tahoma" w:ascii="Calibri" w:hAnsi="Calibri"/>
          <w:b/>
          <w:bCs/>
          <w:sz w:val="20"/>
          <w:szCs w:val="20"/>
          <w:u w:val="single"/>
        </w:rPr>
        <w:t xml:space="preserve">En cas de solde de jours de repos disponibles inférieur à 10 jours ouvrés : </w:t>
      </w:r>
    </w:p>
    <w:p>
      <w:pPr>
        <w:pStyle w:val="Voxcorpstexte"/>
        <w:rPr>
          <w:rFonts w:ascii="Calibri" w:hAnsi="Calibri" w:cs="Tahoma"/>
          <w:bCs/>
          <w:sz w:val="20"/>
          <w:szCs w:val="20"/>
        </w:rPr>
      </w:pPr>
      <w:r>
        <w:rPr>
          <w:rFonts w:cs="Tahoma" w:ascii="Calibri" w:hAnsi="Calibri"/>
          <w:bCs/>
          <w:sz w:val="20"/>
          <w:szCs w:val="20"/>
        </w:rPr>
        <w:t>Le salarié concerné se verra appliquer le dispositif à concurrence des soldes disponibles.</w:t>
      </w:r>
    </w:p>
    <w:p>
      <w:pPr>
        <w:pStyle w:val="Voxcorpstexte"/>
        <w:rPr>
          <w:rFonts w:ascii="Calibri" w:hAnsi="Calibri" w:cs="Tahoma"/>
          <w:bCs/>
          <w:sz w:val="20"/>
          <w:szCs w:val="20"/>
        </w:rPr>
      </w:pPr>
      <w:r>
        <w:rPr>
          <w:rFonts w:cs="Tahoma" w:ascii="Calibri" w:hAnsi="Calibri"/>
          <w:bCs/>
          <w:sz w:val="20"/>
          <w:szCs w:val="20"/>
        </w:rPr>
      </w:r>
    </w:p>
    <w:p>
      <w:pPr>
        <w:pStyle w:val="Voxcorpstexte"/>
        <w:numPr>
          <w:ilvl w:val="0"/>
          <w:numId w:val="2"/>
        </w:numPr>
        <w:rPr>
          <w:rFonts w:ascii="Calibri" w:hAnsi="Calibri" w:cs="Tahoma"/>
          <w:b/>
          <w:b/>
          <w:bCs/>
          <w:sz w:val="20"/>
          <w:szCs w:val="20"/>
          <w:u w:val="single"/>
        </w:rPr>
      </w:pPr>
      <w:r>
        <w:rPr>
          <w:rFonts w:cs="Tahoma" w:ascii="Calibri" w:hAnsi="Calibri"/>
          <w:b/>
          <w:bCs/>
          <w:sz w:val="20"/>
          <w:szCs w:val="20"/>
          <w:u w:val="single"/>
        </w:rPr>
        <w:t>En cas de jours de récupération, RTT ou congés déjà posés d’ici le 30 avril 2020 :</w:t>
      </w:r>
    </w:p>
    <w:p>
      <w:pPr>
        <w:pStyle w:val="Voxcorpstexte"/>
        <w:rPr>
          <w:rFonts w:ascii="Calibri" w:hAnsi="Calibri" w:cs="Tahoma"/>
          <w:bCs/>
          <w:sz w:val="20"/>
          <w:szCs w:val="20"/>
        </w:rPr>
      </w:pPr>
      <w:r>
        <w:rPr>
          <w:rFonts w:cs="Tahoma" w:ascii="Calibri" w:hAnsi="Calibri"/>
          <w:bCs/>
          <w:sz w:val="20"/>
          <w:szCs w:val="20"/>
        </w:rPr>
        <w:t>Si sur le seul mois d’avril le total des jours déjà posés n’atteint pas 10 jours ouvrés et en cas de solde disponible, alors le dispositif sera appliqué au salarié afin que le nombre maximum de jours soit atteint.</w:t>
      </w:r>
    </w:p>
    <w:p>
      <w:pPr>
        <w:pStyle w:val="Voxcorpstexte"/>
        <w:rPr>
          <w:rFonts w:ascii="Calibri" w:hAnsi="Calibri" w:cs="Tahoma"/>
          <w:bCs/>
          <w:sz w:val="20"/>
          <w:szCs w:val="20"/>
        </w:rPr>
      </w:pPr>
      <w:r>
        <w:rPr>
          <w:rFonts w:cs="Tahoma" w:ascii="Calibri" w:hAnsi="Calibri"/>
          <w:bCs/>
          <w:sz w:val="20"/>
          <w:szCs w:val="20"/>
        </w:rPr>
        <w:t>A contrario si le nombre de jours déjà posés est au moins égal à 10 jours ouvrés alors le dispositif ne sera pas appliqué. Toutefois, le salarié volontaire pourra décider de poser des jours supplémentaires selon les dispositions décrites en article 5.</w:t>
      </w:r>
    </w:p>
    <w:p>
      <w:pPr>
        <w:pStyle w:val="Voxcorpstexte"/>
        <w:rPr>
          <w:rFonts w:ascii="Calibri" w:hAnsi="Calibri" w:cs="Tahoma"/>
          <w:bCs/>
          <w:sz w:val="20"/>
          <w:szCs w:val="20"/>
        </w:rPr>
      </w:pPr>
      <w:r>
        <w:rPr>
          <w:rFonts w:cs="Tahoma" w:ascii="Calibri" w:hAnsi="Calibri"/>
          <w:bCs/>
          <w:sz w:val="20"/>
          <w:szCs w:val="20"/>
        </w:rPr>
      </w:r>
    </w:p>
    <w:p>
      <w:pPr>
        <w:pStyle w:val="Voxcorpstexte"/>
        <w:numPr>
          <w:ilvl w:val="0"/>
          <w:numId w:val="2"/>
        </w:numPr>
        <w:rPr>
          <w:rFonts w:ascii="Calibri" w:hAnsi="Calibri" w:cs="Tahoma"/>
          <w:b/>
          <w:b/>
          <w:bCs/>
          <w:sz w:val="20"/>
          <w:szCs w:val="20"/>
          <w:u w:val="single"/>
        </w:rPr>
      </w:pPr>
      <w:r>
        <w:rPr>
          <w:rFonts w:cs="Tahoma" w:ascii="Calibri" w:hAnsi="Calibri"/>
          <w:b/>
          <w:bCs/>
          <w:sz w:val="20"/>
          <w:szCs w:val="20"/>
          <w:u w:val="single"/>
        </w:rPr>
        <w:t>En cas d’arrêt exceptionnel pour Garde d’Enfants déjà posé :</w:t>
      </w:r>
    </w:p>
    <w:p>
      <w:pPr>
        <w:pStyle w:val="Voxcorpstexte"/>
        <w:rPr>
          <w:rFonts w:ascii="Calibri" w:hAnsi="Calibri" w:cs="Tahoma"/>
          <w:bCs/>
          <w:sz w:val="20"/>
          <w:szCs w:val="20"/>
        </w:rPr>
      </w:pPr>
      <w:r>
        <w:rPr>
          <w:rFonts w:cs="Tahoma" w:ascii="Calibri" w:hAnsi="Calibri"/>
          <w:bCs/>
          <w:sz w:val="20"/>
          <w:szCs w:val="20"/>
        </w:rPr>
        <w:t>L’arrêt exceptionnel pour Garde d’enfants déjà réceptionné et enregistré par la DRH à la date d’effet du présent accord s’appliquera selon les dates déclarées dans le respect de la durée prévue par la sécurité sociale.</w:t>
      </w:r>
    </w:p>
    <w:p>
      <w:pPr>
        <w:pStyle w:val="Voxcorpstexte"/>
        <w:rPr>
          <w:rFonts w:ascii="Calibri" w:hAnsi="Calibri" w:cs="Tahoma"/>
          <w:bCs/>
          <w:sz w:val="20"/>
          <w:szCs w:val="20"/>
        </w:rPr>
      </w:pPr>
      <w:r>
        <w:rPr>
          <w:rFonts w:cs="Tahoma" w:ascii="Calibri" w:hAnsi="Calibri"/>
          <w:bCs/>
          <w:sz w:val="20"/>
          <w:szCs w:val="20"/>
        </w:rPr>
        <w:t>A défaut ou avant tout renouvellement de ce type d’arrêt, la pose de jours de repos selon les modalités définies dans l’article 2, sera privilégiée.</w:t>
      </w:r>
    </w:p>
    <w:p>
      <w:pPr>
        <w:pStyle w:val="Voxcorpstexte"/>
        <w:rPr>
          <w:rFonts w:ascii="Calibri" w:hAnsi="Calibri" w:cs="Tahoma"/>
          <w:bCs/>
          <w:sz w:val="20"/>
          <w:szCs w:val="20"/>
        </w:rPr>
      </w:pPr>
      <w:r>
        <w:rPr>
          <w:rFonts w:cs="Tahoma" w:ascii="Calibri" w:hAnsi="Calibri"/>
          <w:bCs/>
          <w:sz w:val="20"/>
          <w:szCs w:val="20"/>
        </w:rPr>
      </w:r>
    </w:p>
    <w:p>
      <w:pPr>
        <w:pStyle w:val="Voxcorpstexte"/>
        <w:numPr>
          <w:ilvl w:val="0"/>
          <w:numId w:val="2"/>
        </w:numPr>
        <w:rPr>
          <w:rFonts w:ascii="Calibri" w:hAnsi="Calibri" w:cs="Tahoma"/>
          <w:b/>
          <w:b/>
          <w:bCs/>
          <w:sz w:val="20"/>
          <w:szCs w:val="20"/>
          <w:u w:val="single"/>
        </w:rPr>
      </w:pPr>
      <w:r>
        <w:rPr>
          <w:rFonts w:cs="Tahoma" w:ascii="Calibri" w:hAnsi="Calibri"/>
          <w:b/>
          <w:bCs/>
          <w:sz w:val="20"/>
          <w:szCs w:val="20"/>
          <w:u w:val="single"/>
        </w:rPr>
        <w:t>En cas de salarié en arrêt de travail pour maladie :</w:t>
      </w:r>
    </w:p>
    <w:p>
      <w:pPr>
        <w:pStyle w:val="Voxcorpstexte"/>
        <w:rPr>
          <w:rFonts w:ascii="Calibri" w:hAnsi="Calibri" w:cs="Tahoma"/>
          <w:bCs/>
          <w:sz w:val="20"/>
          <w:szCs w:val="20"/>
        </w:rPr>
      </w:pPr>
      <w:r>
        <w:rPr>
          <w:rFonts w:cs="Tahoma" w:ascii="Calibri" w:hAnsi="Calibri"/>
          <w:bCs/>
          <w:sz w:val="20"/>
          <w:szCs w:val="20"/>
        </w:rPr>
        <w:t xml:space="preserve">Le salarié qui reprend le travail au cours du mois d’avril après un arrêt de travail, se verra appliquer le même dispositif à concurrence des jours ouvrés restants jusqu’au 30 avril. </w:t>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Cs/>
          <w:sz w:val="20"/>
          <w:szCs w:val="20"/>
        </w:rPr>
      </w:pPr>
      <w:r>
        <w:rPr>
          <w:rFonts w:cs="Tahoma" w:ascii="Calibri" w:hAnsi="Calibri"/>
          <w:bCs/>
          <w:sz w:val="20"/>
          <w:szCs w:val="20"/>
        </w:rPr>
      </w:r>
    </w:p>
    <w:p>
      <w:pPr>
        <w:pStyle w:val="Voxcorpstexte"/>
        <w:rPr>
          <w:rFonts w:ascii="Calibri" w:hAnsi="Calibri" w:cs="Tahoma"/>
          <w:b/>
          <w:b/>
          <w:bCs/>
          <w:sz w:val="20"/>
          <w:szCs w:val="20"/>
          <w:u w:val="single"/>
        </w:rPr>
      </w:pPr>
      <w:r>
        <w:rPr>
          <w:rFonts w:cs="Tahoma" w:ascii="Calibri" w:hAnsi="Calibri"/>
          <w:b/>
          <w:bCs/>
          <w:sz w:val="20"/>
          <w:szCs w:val="20"/>
          <w:u w:val="single"/>
        </w:rPr>
        <w:t>ARTICLE 5 – VOLONTARIAT POUR POSE DE JOURS SUPPLEMENTAIRES :</w:t>
      </w:r>
    </w:p>
    <w:p>
      <w:pPr>
        <w:pStyle w:val="Voxcorpstexte"/>
        <w:rPr>
          <w:rFonts w:ascii="Calibri" w:hAnsi="Calibri" w:cs="Tahoma"/>
          <w:b/>
          <w:b/>
          <w:bCs/>
          <w:sz w:val="20"/>
          <w:szCs w:val="20"/>
          <w:u w:val="single"/>
        </w:rPr>
      </w:pPr>
      <w:r>
        <w:rPr>
          <w:rFonts w:cs="Tahoma" w:ascii="Calibri" w:hAnsi="Calibri"/>
          <w:b/>
          <w:bCs/>
          <w:sz w:val="20"/>
          <w:szCs w:val="20"/>
          <w:u w:val="single"/>
        </w:rPr>
      </w:r>
    </w:p>
    <w:p>
      <w:pPr>
        <w:pStyle w:val="Voxcorpstexte"/>
        <w:rPr/>
      </w:pPr>
      <w:r>
        <w:rPr>
          <w:rFonts w:cs="Tahoma" w:ascii="Calibri" w:hAnsi="Calibri"/>
          <w:bCs/>
          <w:sz w:val="20"/>
          <w:szCs w:val="20"/>
        </w:rPr>
        <w:t xml:space="preserve">Il est précisé que, sur la base du volontariat, chaque salarié aura la possibilité de poser plus de 5 jours ouvrés de congés payés. </w:t>
      </w:r>
    </w:p>
    <w:p>
      <w:pPr>
        <w:pStyle w:val="Voxcorpstexte"/>
        <w:rPr>
          <w:rFonts w:ascii="Calibri" w:hAnsi="Calibri" w:cs="Tahoma"/>
          <w:bCs/>
          <w:color w:val="4F81BD"/>
          <w:sz w:val="20"/>
          <w:szCs w:val="20"/>
        </w:rPr>
      </w:pPr>
      <w:r>
        <w:rPr>
          <w:rFonts w:cs="Tahoma" w:ascii="Calibri" w:hAnsi="Calibri"/>
          <w:bCs/>
          <w:color w:val="4F81BD"/>
          <w:sz w:val="20"/>
          <w:szCs w:val="20"/>
        </w:rPr>
      </w:r>
    </w:p>
    <w:p>
      <w:pPr>
        <w:pStyle w:val="Voxcorpstexte"/>
        <w:rPr>
          <w:rFonts w:ascii="Calibri" w:hAnsi="Calibri" w:cs="Tahoma"/>
          <w:bCs/>
          <w:color w:val="4F81BD"/>
          <w:sz w:val="20"/>
          <w:szCs w:val="20"/>
        </w:rPr>
      </w:pPr>
      <w:r>
        <w:rPr>
          <w:rFonts w:cs="Tahoma" w:ascii="Calibri" w:hAnsi="Calibri"/>
          <w:bCs/>
          <w:color w:val="4F81BD"/>
          <w:sz w:val="20"/>
          <w:szCs w:val="20"/>
        </w:rPr>
      </w:r>
    </w:p>
    <w:p>
      <w:pPr>
        <w:pStyle w:val="Voxcorpstexte"/>
        <w:rPr>
          <w:rFonts w:ascii="Calibri" w:hAnsi="Calibri" w:cs="Tahoma"/>
          <w:b/>
          <w:b/>
          <w:bCs/>
          <w:sz w:val="20"/>
          <w:szCs w:val="20"/>
          <w:u w:val="single"/>
        </w:rPr>
      </w:pPr>
      <w:r>
        <w:rPr>
          <w:rFonts w:cs="Tahoma" w:ascii="Calibri" w:hAnsi="Calibri"/>
          <w:b/>
          <w:bCs/>
          <w:sz w:val="20"/>
          <w:szCs w:val="20"/>
          <w:u w:val="single"/>
        </w:rPr>
        <w:t>ARTICLE 6 – DISPOSITIONS FINALES:</w:t>
      </w:r>
    </w:p>
    <w:p>
      <w:pPr>
        <w:pStyle w:val="Voxcorpstexte"/>
        <w:rPr>
          <w:rFonts w:ascii="Calibri" w:hAnsi="Calibri" w:cs="Tahoma"/>
          <w:b/>
          <w:b/>
          <w:bCs/>
          <w:sz w:val="20"/>
          <w:szCs w:val="20"/>
          <w:u w:val="single"/>
        </w:rPr>
      </w:pPr>
      <w:r>
        <w:rPr>
          <w:rFonts w:cs="Tahoma" w:ascii="Calibri" w:hAnsi="Calibri"/>
          <w:b/>
          <w:bCs/>
          <w:sz w:val="20"/>
          <w:szCs w:val="20"/>
          <w:u w:val="single"/>
        </w:rPr>
      </w:r>
    </w:p>
    <w:p>
      <w:pPr>
        <w:pStyle w:val="Voxcorpstexte"/>
        <w:numPr>
          <w:ilvl w:val="0"/>
          <w:numId w:val="6"/>
        </w:numPr>
        <w:rPr>
          <w:rFonts w:ascii="Calibri" w:hAnsi="Calibri" w:cs="Tahoma"/>
          <w:b/>
          <w:b/>
          <w:bCs/>
          <w:sz w:val="20"/>
          <w:szCs w:val="20"/>
          <w:u w:val="single"/>
        </w:rPr>
      </w:pPr>
      <w:r>
        <w:rPr>
          <w:rFonts w:cs="Tahoma" w:ascii="Calibri" w:hAnsi="Calibri"/>
          <w:b/>
          <w:bCs/>
          <w:sz w:val="20"/>
          <w:szCs w:val="20"/>
          <w:u w:val="single"/>
        </w:rPr>
        <w:t>Entrée en vigueur</w:t>
      </w:r>
    </w:p>
    <w:p>
      <w:pPr>
        <w:pStyle w:val="Paragraphedeliste"/>
        <w:numPr>
          <w:ilvl w:val="0"/>
          <w:numId w:val="4"/>
        </w:numPr>
        <w:rPr>
          <w:rFonts w:ascii="Calibri" w:hAnsi="Calibri" w:cs="Tahoma"/>
          <w:b/>
          <w:b/>
          <w:bCs/>
          <w:vanish/>
          <w:sz w:val="20"/>
          <w:szCs w:val="20"/>
          <w:u w:val="single"/>
        </w:rPr>
      </w:pPr>
      <w:r>
        <w:rPr>
          <w:rFonts w:cs="Tahoma" w:ascii="Calibri" w:hAnsi="Calibri"/>
          <w:b/>
          <w:bCs/>
          <w:vanish/>
          <w:sz w:val="20"/>
          <w:szCs w:val="20"/>
          <w:u w:val="single"/>
        </w:rPr>
      </w:r>
    </w:p>
    <w:p>
      <w:pPr>
        <w:pStyle w:val="Paragraphedeliste"/>
        <w:numPr>
          <w:ilvl w:val="0"/>
          <w:numId w:val="4"/>
        </w:numPr>
        <w:rPr>
          <w:rFonts w:ascii="Calibri" w:hAnsi="Calibri" w:cs="Tahoma"/>
          <w:b/>
          <w:b/>
          <w:bCs/>
          <w:vanish/>
          <w:sz w:val="20"/>
          <w:u w:val="single"/>
        </w:rPr>
      </w:pPr>
      <w:r>
        <w:rPr>
          <w:rFonts w:cs="Tahoma" w:ascii="Calibri" w:hAnsi="Calibri"/>
          <w:b/>
          <w:bCs/>
          <w:vanish/>
          <w:sz w:val="20"/>
          <w:u w:val="single"/>
        </w:rPr>
      </w:r>
    </w:p>
    <w:p>
      <w:pPr>
        <w:pStyle w:val="Voxcorpstexte"/>
        <w:rPr>
          <w:rFonts w:ascii="Calibri" w:hAnsi="Calibri" w:cs="Tahoma"/>
          <w:bCs/>
          <w:sz w:val="20"/>
          <w:szCs w:val="20"/>
        </w:rPr>
      </w:pPr>
      <w:r>
        <w:rPr>
          <w:rFonts w:cs="Tahoma" w:ascii="Calibri" w:hAnsi="Calibri"/>
          <w:bCs/>
          <w:sz w:val="20"/>
          <w:szCs w:val="20"/>
        </w:rPr>
        <w:t>Le présent accord entre en vigueur le lendemain du jour de son dépôt.</w:t>
      </w:r>
    </w:p>
    <w:p>
      <w:pPr>
        <w:pStyle w:val="Voxcorpstexte"/>
        <w:rPr>
          <w:rFonts w:ascii="Calibri" w:hAnsi="Calibri" w:cs="Tahoma"/>
          <w:bCs/>
          <w:sz w:val="20"/>
          <w:szCs w:val="20"/>
        </w:rPr>
      </w:pPr>
      <w:r>
        <w:rPr>
          <w:rFonts w:cs="Tahoma" w:ascii="Calibri" w:hAnsi="Calibri"/>
          <w:bCs/>
          <w:sz w:val="20"/>
          <w:szCs w:val="20"/>
        </w:rPr>
      </w:r>
    </w:p>
    <w:p>
      <w:pPr>
        <w:pStyle w:val="Voxcorpstexte"/>
        <w:numPr>
          <w:ilvl w:val="0"/>
          <w:numId w:val="6"/>
        </w:numPr>
        <w:rPr/>
      </w:pPr>
      <w:r>
        <w:rPr>
          <w:rFonts w:cs="Tahoma" w:ascii="Calibri" w:hAnsi="Calibri"/>
          <w:b/>
          <w:bCs/>
          <w:sz w:val="20"/>
          <w:szCs w:val="20"/>
          <w:u w:val="single"/>
        </w:rPr>
        <w:t>Durée et clause de revoyure:</w:t>
      </w:r>
    </w:p>
    <w:p>
      <w:pPr>
        <w:pStyle w:val="Voxcorpstexte"/>
        <w:rPr>
          <w:rFonts w:ascii="Calibri" w:hAnsi="Calibri" w:cs="Tahoma"/>
          <w:bCs/>
          <w:sz w:val="20"/>
          <w:szCs w:val="20"/>
        </w:rPr>
      </w:pPr>
      <w:r>
        <w:rPr>
          <w:rFonts w:cs="Tahoma" w:ascii="Calibri" w:hAnsi="Calibri"/>
          <w:bCs/>
          <w:sz w:val="20"/>
          <w:szCs w:val="20"/>
        </w:rPr>
        <w:t>Le présent accord est conclu pour une durée allant jusqu’au 30 avril 2020.</w:t>
      </w:r>
    </w:p>
    <w:p>
      <w:pPr>
        <w:pStyle w:val="Voxcorpstexte"/>
        <w:rPr>
          <w:rFonts w:ascii="Calibri" w:hAnsi="Calibri" w:cs="Tahoma"/>
          <w:bCs/>
          <w:sz w:val="20"/>
          <w:szCs w:val="20"/>
        </w:rPr>
      </w:pPr>
      <w:r>
        <w:rPr>
          <w:rFonts w:cs="Tahoma" w:ascii="Calibri" w:hAnsi="Calibri"/>
          <w:bCs/>
          <w:sz w:val="20"/>
          <w:szCs w:val="20"/>
        </w:rPr>
        <w:t>En cas de prolongation de la pandémie et des mesures de confinement associées au-delà du 1</w:t>
      </w:r>
      <w:r>
        <w:rPr>
          <w:rFonts w:cs="Tahoma" w:ascii="Calibri" w:hAnsi="Calibri"/>
          <w:bCs/>
          <w:sz w:val="20"/>
          <w:szCs w:val="20"/>
          <w:vertAlign w:val="superscript"/>
        </w:rPr>
        <w:t>er</w:t>
      </w:r>
      <w:r>
        <w:rPr>
          <w:rFonts w:cs="Tahoma" w:ascii="Calibri" w:hAnsi="Calibri"/>
          <w:bCs/>
          <w:sz w:val="20"/>
          <w:szCs w:val="20"/>
        </w:rPr>
        <w:t xml:space="preserve"> mai 2020, les parties conviennent que </w:t>
      </w:r>
      <w:r>
        <w:rPr>
          <w:rFonts w:cs="Tahoma" w:ascii="Calibri" w:hAnsi="Calibri"/>
          <w:bCs/>
          <w:iCs/>
          <w:sz w:val="20"/>
          <w:szCs w:val="20"/>
        </w:rPr>
        <w:t>la Direction et les Organisations Syndicales représentatives pourront se réunir avant la fin de validité prévue du présent accord pour discuter de l’opportunité d’ouvrir des négociations visant à sa révision.</w:t>
      </w:r>
    </w:p>
    <w:p>
      <w:pPr>
        <w:pStyle w:val="Voxcorpstexte"/>
        <w:rPr>
          <w:rFonts w:ascii="Calibri" w:hAnsi="Calibri" w:cs="Tahoma"/>
          <w:bCs/>
          <w:sz w:val="20"/>
          <w:szCs w:val="20"/>
        </w:rPr>
      </w:pPr>
      <w:r>
        <w:rPr>
          <w:rFonts w:cs="Tahoma" w:ascii="Calibri" w:hAnsi="Calibri"/>
          <w:bCs/>
          <w:sz w:val="20"/>
          <w:szCs w:val="20"/>
        </w:rPr>
      </w:r>
    </w:p>
    <w:p>
      <w:pPr>
        <w:pStyle w:val="Voxcorpstexte"/>
        <w:numPr>
          <w:ilvl w:val="0"/>
          <w:numId w:val="6"/>
        </w:numPr>
        <w:rPr>
          <w:rFonts w:ascii="Calibri" w:hAnsi="Calibri" w:cs="Tahoma"/>
          <w:b/>
          <w:b/>
          <w:bCs/>
          <w:sz w:val="20"/>
          <w:szCs w:val="20"/>
          <w:u w:val="single"/>
        </w:rPr>
      </w:pPr>
      <w:r>
        <w:rPr>
          <w:rFonts w:cs="Tahoma" w:ascii="Calibri" w:hAnsi="Calibri"/>
          <w:b/>
          <w:bCs/>
          <w:sz w:val="20"/>
          <w:szCs w:val="20"/>
          <w:u w:val="single"/>
        </w:rPr>
        <w:t>Révision, Dénonciation :</w:t>
      </w:r>
    </w:p>
    <w:p>
      <w:pPr>
        <w:pStyle w:val="Voxcorpstexte"/>
        <w:rPr>
          <w:rFonts w:ascii="Calibri" w:hAnsi="Calibri" w:cs="Tahoma"/>
          <w:bCs/>
          <w:sz w:val="20"/>
          <w:szCs w:val="20"/>
        </w:rPr>
      </w:pPr>
      <w:r>
        <w:rPr>
          <w:rFonts w:cs="Tahoma" w:ascii="Calibri" w:hAnsi="Calibri"/>
          <w:bCs/>
          <w:sz w:val="20"/>
          <w:szCs w:val="20"/>
        </w:rPr>
        <w:t>Le présent accord pourra être révisé à la demande de la direction ou des organisations syndicales représentatives dans les conditions et formes prévues par le code du travail. Notamment en cas d’évolution législative ou conventionnelle remettant en cause le contenu de tout ou partie du présent accord. Par ailleurs, le présent accord pourra être dénoncé dans les conditions prévues par le code du travail.</w:t>
      </w:r>
    </w:p>
    <w:p>
      <w:pPr>
        <w:pStyle w:val="Voxcorpstexte"/>
        <w:rPr>
          <w:rFonts w:ascii="Calibri" w:hAnsi="Calibri" w:cs="Tahoma"/>
          <w:bCs/>
          <w:sz w:val="20"/>
          <w:szCs w:val="20"/>
        </w:rPr>
      </w:pPr>
      <w:r>
        <w:rPr>
          <w:rFonts w:cs="Tahoma" w:ascii="Calibri" w:hAnsi="Calibri"/>
          <w:bCs/>
          <w:sz w:val="20"/>
          <w:szCs w:val="20"/>
        </w:rPr>
      </w:r>
    </w:p>
    <w:p>
      <w:pPr>
        <w:pStyle w:val="Voxcorpstexte"/>
        <w:numPr>
          <w:ilvl w:val="0"/>
          <w:numId w:val="6"/>
        </w:numPr>
        <w:rPr>
          <w:rFonts w:ascii="Calibri" w:hAnsi="Calibri" w:cs="Tahoma"/>
          <w:b/>
          <w:b/>
          <w:bCs/>
          <w:sz w:val="20"/>
          <w:szCs w:val="20"/>
          <w:u w:val="single"/>
        </w:rPr>
      </w:pPr>
      <w:r>
        <w:rPr>
          <w:rFonts w:cs="Tahoma" w:ascii="Calibri" w:hAnsi="Calibri"/>
          <w:b/>
          <w:bCs/>
          <w:sz w:val="20"/>
          <w:szCs w:val="20"/>
          <w:u w:val="single"/>
        </w:rPr>
        <w:t>Notification, dépôt et publicité :</w:t>
      </w:r>
    </w:p>
    <w:p>
      <w:pPr>
        <w:pStyle w:val="Voxcorpstexte"/>
        <w:rPr>
          <w:rFonts w:ascii="Calibri" w:hAnsi="Calibri" w:cs="Tahoma"/>
          <w:bCs/>
          <w:sz w:val="20"/>
          <w:szCs w:val="20"/>
        </w:rPr>
      </w:pPr>
      <w:r>
        <w:rPr>
          <w:rFonts w:cs="Tahoma" w:ascii="Calibri" w:hAnsi="Calibri"/>
          <w:bCs/>
          <w:sz w:val="20"/>
          <w:szCs w:val="20"/>
        </w:rPr>
        <w:t>Conformément aux dispositions du code du travail, la Direction procèdera aux formalités de notification et de dépôt du présent accord.</w:t>
      </w:r>
    </w:p>
    <w:p>
      <w:pPr>
        <w:pStyle w:val="Voxcorpstexte"/>
        <w:rPr>
          <w:rFonts w:ascii="Tahoma" w:hAnsi="Tahoma" w:cs="Tahoma"/>
          <w:bCs/>
          <w:sz w:val="20"/>
          <w:szCs w:val="20"/>
        </w:rPr>
      </w:pPr>
      <w:r>
        <w:rPr>
          <w:rFonts w:cs="Tahoma" w:ascii="Tahoma" w:hAnsi="Tahoma"/>
          <w:bCs/>
          <w:sz w:val="20"/>
          <w:szCs w:val="20"/>
        </w:rPr>
      </w:r>
    </w:p>
    <w:p>
      <w:pPr>
        <w:pStyle w:val="Voxcorpstexte"/>
        <w:keepNext w:val="true"/>
        <w:keepLines/>
        <w:rPr>
          <w:rFonts w:ascii="Tahoma" w:hAnsi="Tahoma" w:cs="Tahoma"/>
          <w:sz w:val="20"/>
          <w:szCs w:val="20"/>
        </w:rPr>
      </w:pPr>
      <w:r>
        <w:rPr>
          <w:rFonts w:cs="Tahoma" w:ascii="Tahoma" w:hAnsi="Tahoma"/>
          <w:sz w:val="20"/>
          <w:szCs w:val="20"/>
        </w:rPr>
        <w:t>Il est remis un exemplaire à chacune des parties signataires.</w:t>
      </w:r>
    </w:p>
    <w:p>
      <w:pPr>
        <w:pStyle w:val="Voxcorpstexte"/>
        <w:keepNext w:val="true"/>
        <w:keepLines/>
        <w:rPr>
          <w:rFonts w:ascii="Tahoma" w:hAnsi="Tahoma" w:cs="Tahoma"/>
          <w:sz w:val="20"/>
          <w:szCs w:val="20"/>
        </w:rPr>
      </w:pPr>
      <w:r>
        <w:rPr>
          <w:rFonts w:cs="Tahoma" w:ascii="Tahoma" w:hAnsi="Tahoma"/>
          <w:sz w:val="20"/>
          <w:szCs w:val="20"/>
        </w:rPr>
      </w:r>
    </w:p>
    <w:p>
      <w:pPr>
        <w:pStyle w:val="Voxcorpstexte"/>
        <w:keepNext w:val="true"/>
        <w:keepLines/>
        <w:rPr/>
      </w:pPr>
      <w:r>
        <w:rPr/>
        <w:t>Fait à Courbevoie,  en  8 exemplaires originaux, le 02 Avril 2020</w:t>
      </w:r>
    </w:p>
    <w:p>
      <w:pPr>
        <w:pStyle w:val="Voxcorpstexte"/>
        <w:keepNext w:val="true"/>
        <w:keepLines/>
        <w:rPr/>
      </w:pPr>
      <w:r>
        <w:rPr/>
      </w:r>
    </w:p>
    <w:p>
      <w:pPr>
        <w:pStyle w:val="Voxcorpstexte"/>
        <w:keepNext w:val="true"/>
        <w:keepLines/>
        <w:rPr/>
      </w:pPr>
      <w:r>
        <w:rPr/>
      </w:r>
    </w:p>
    <w:p>
      <w:pPr>
        <w:pStyle w:val="Voxcorpstexte"/>
        <w:keepNext w:val="true"/>
        <w:keepLines/>
        <w:rPr>
          <w:u w:val="single"/>
        </w:rPr>
      </w:pPr>
      <w:r>
        <w:rPr>
          <w:u w:val="single"/>
        </w:rPr>
        <w:t xml:space="preserve">Pour Dalkia EN </w:t>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t xml:space="preserve">Le Président, Monsieur </w:t>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t>Pour la CGT</w:t>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t xml:space="preserve">Monsieur </w:t>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t>Pour l’UNSA</w:t>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t xml:space="preserve">Monsieur </w:t>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r>
    </w:p>
    <w:p>
      <w:pPr>
        <w:pStyle w:val="Normal"/>
        <w:tabs>
          <w:tab w:val="left" w:pos="851" w:leader="none"/>
          <w:tab w:val="left" w:pos="2268" w:leader="none"/>
          <w:tab w:val="left" w:pos="4536" w:leader="none"/>
          <w:tab w:val="left" w:pos="7371" w:leader="none"/>
          <w:tab w:val="right" w:pos="9356" w:leader="none"/>
        </w:tabs>
        <w:rPr>
          <w:rFonts w:cs="Arial"/>
          <w:u w:val="single"/>
        </w:rPr>
      </w:pPr>
      <w:r>
        <w:rPr>
          <w:rFonts w:cs="Arial"/>
          <w:u w:val="single"/>
        </w:rPr>
      </w:r>
    </w:p>
    <w:p>
      <w:pPr>
        <w:pStyle w:val="Normal"/>
        <w:tabs>
          <w:tab w:val="left" w:pos="851" w:leader="none"/>
          <w:tab w:val="left" w:pos="2268" w:leader="none"/>
          <w:tab w:val="left" w:pos="4536" w:leader="none"/>
          <w:tab w:val="left" w:pos="7371" w:leader="none"/>
          <w:tab w:val="right" w:pos="9356" w:leader="none"/>
        </w:tabs>
        <w:rPr>
          <w:rFonts w:cs="Arial"/>
        </w:rPr>
      </w:pPr>
      <w:r>
        <w:rPr>
          <w:rFonts w:cs="Arial"/>
          <w:u w:val="single"/>
        </w:rPr>
        <w:t>Pour FO</w:t>
      </w:r>
      <w:r>
        <w:rPr>
          <w:rFonts w:cs="Arial"/>
        </w:rPr>
        <w:tab/>
        <w:tab/>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t xml:space="preserve">Monsieur </w:t>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r>
    </w:p>
    <w:p>
      <w:pPr>
        <w:pStyle w:val="Normal"/>
        <w:tabs>
          <w:tab w:val="left" w:pos="851" w:leader="none"/>
          <w:tab w:val="left" w:pos="2268" w:leader="none"/>
          <w:tab w:val="left" w:pos="4536" w:leader="none"/>
          <w:tab w:val="left" w:pos="7371" w:leader="none"/>
          <w:tab w:val="right" w:pos="9356" w:leader="none"/>
        </w:tabs>
        <w:rPr>
          <w:rFonts w:cs="Arial"/>
        </w:rPr>
      </w:pPr>
      <w:r>
        <w:rPr>
          <w:rFonts w:cs="Arial"/>
        </w:rPr>
      </w:r>
    </w:p>
    <w:p>
      <w:pPr>
        <w:pStyle w:val="Normal"/>
        <w:tabs>
          <w:tab w:val="left" w:pos="851" w:leader="none"/>
          <w:tab w:val="left" w:pos="2268" w:leader="none"/>
          <w:tab w:val="left" w:pos="4536" w:leader="none"/>
          <w:tab w:val="left" w:pos="7371" w:leader="none"/>
          <w:tab w:val="right" w:pos="9356" w:leader="none"/>
        </w:tabs>
        <w:rPr>
          <w:rFonts w:cs="Arial"/>
        </w:rPr>
      </w:pPr>
      <w:r>
        <w:rPr>
          <w:rFonts w:cs="Arial"/>
          <w:u w:val="single"/>
        </w:rPr>
        <w:t>Pour la CFDT</w:t>
      </w:r>
    </w:p>
    <w:p>
      <w:pPr>
        <w:pStyle w:val="Normal"/>
        <w:rPr>
          <w:rFonts w:cs="Arial"/>
        </w:rPr>
      </w:pPr>
      <w:r>
        <w:rPr>
          <w:rFonts w:cs="Arial"/>
        </w:rPr>
        <w:t xml:space="preserve">Monsieur </w:t>
      </w:r>
    </w:p>
    <w:sectPr>
      <w:headerReference w:type="default" r:id="rId3"/>
      <w:headerReference w:type="first" r:id="rId4"/>
      <w:footerReference w:type="default" r:id="rId5"/>
      <w:footerReference w:type="first" r:id="rId6"/>
      <w:type w:val="nextPage"/>
      <w:pgSz w:w="11906" w:h="16838"/>
      <w:pgMar w:left="1418" w:right="1418" w:header="720" w:top="1418" w:footer="720" w:bottom="1418"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Arial Unicode MS">
    <w:charset w:val="80"/>
    <w:family w:val="swiss"/>
    <w:pitch w:val="variable"/>
  </w:font>
  <w:font w:name="Universal Black">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356" w:leader="none"/>
      </w:tabs>
      <w:spacing w:before="120" w:after="0"/>
      <w:jc w:val="center"/>
      <w:rPr/>
    </w:pPr>
    <w:r>
      <w:rPr>
        <w:rFonts w:cs="Arial"/>
        <w:sz w:val="16"/>
      </w:rPr>
      <w:tab/>
      <w:t xml:space="preserve">Page </w:t>
    </w:r>
    <w:r>
      <w:rPr>
        <w:rStyle w:val="PageNumber"/>
        <w:rFonts w:cs="Arial"/>
        <w:sz w:val="16"/>
      </w:rPr>
      <w:fldChar w:fldCharType="begin"/>
    </w:r>
    <w:r>
      <w:instrText> PAGE </w:instrText>
    </w:r>
    <w:r>
      <w:fldChar w:fldCharType="separate"/>
    </w:r>
    <w:r>
      <w:t>4</w:t>
    </w:r>
    <w:r>
      <w:fldChar w:fldCharType="end"/>
    </w:r>
    <w:r>
      <w:rPr>
        <w:rStyle w:val="PageNumber"/>
        <w:rFonts w:cs="Arial"/>
        <w:sz w:val="16"/>
      </w:rPr>
      <w:t>/</w:t>
    </w:r>
    <w:r>
      <w:rPr>
        <w:rStyle w:val="PageNumber"/>
        <w:rFonts w:cs="Arial"/>
        <w:sz w:val="16"/>
      </w:rPr>
      <w:fldChar w:fldCharType="begin"/>
    </w:r>
    <w:r>
      <w:instrText> NUMPAGES \* ARABIC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356" w:leader="none"/>
      </w:tabs>
      <w:spacing w:before="120" w:after="0"/>
      <w:jc w:val="center"/>
      <w:rPr>
        <w:rFonts w:cs="Arial"/>
        <w:sz w:val="16"/>
      </w:rPr>
    </w:pPr>
    <w:r>
      <w:rPr>
        <w:rFonts w:cs="Arial"/>
        <w:sz w:val="16"/>
      </w:rPr>
      <w:tab/>
      <w:t xml:space="preserve">Page </w:t>
    </w:r>
    <w:r>
      <w:rPr>
        <w:rStyle w:val="PageNumber"/>
        <w:rFonts w:cs="Arial"/>
        <w:sz w:val="16"/>
      </w:rPr>
      <w:fldChar w:fldCharType="begin"/>
    </w:r>
    <w:r>
      <w:instrText> PAGE </w:instrText>
    </w:r>
    <w:r>
      <w:fldChar w:fldCharType="separate"/>
    </w:r>
    <w:r>
      <w:t>1</w:t>
    </w:r>
    <w:r>
      <w:fldChar w:fldCharType="end"/>
    </w:r>
    <w:r>
      <w:rPr>
        <w:rStyle w:val="PageNumber"/>
        <w:rFonts w:cs="Arial"/>
        <w:sz w:val="16"/>
      </w:rPr>
      <w:t>/</w:t>
    </w:r>
    <w:r>
      <w:rPr>
        <w:rStyle w:val="PageNumber"/>
        <w:rFonts w:cs="Arial"/>
        <w:sz w:val="16"/>
      </w:rPr>
      <w:fldChar w:fldCharType="begin"/>
    </w:r>
    <w:r>
      <w:instrText> NUMPAGES \* ARABIC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bottom w:val="single" w:sz="4" w:space="1" w:color="000000"/>
      </w:pBdr>
      <w:tabs>
        <w:tab w:val="right" w:pos="9356" w:leader="none"/>
      </w:tabs>
      <w:spacing w:before="120" w:after="0"/>
      <w:jc w:val="center"/>
      <w:rPr/>
    </w:pPr>
    <w:r>
      <w:rPr>
        <w:rFonts w:cs="Arial"/>
        <w:bCs/>
        <w:sz w:val="20"/>
        <w:szCs w:val="22"/>
      </w:rPr>
      <w:t>Accord Mesures d’Urgence en Matière de Congés Dalkia EN</w:t>
    </w:r>
  </w:p>
  <w:p>
    <w:pPr>
      <w:pStyle w:val="Header"/>
      <w:rPr>
        <w:rFonts w:cs="Arial"/>
        <w:bCs/>
        <w:sz w:val="20"/>
        <w:szCs w:val="22"/>
      </w:rPr>
    </w:pPr>
    <w:r>
      <w:rPr>
        <w:rFonts w:cs="Arial"/>
        <w:bCs/>
        <w:sz w:val="20"/>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120" w:after="0"/>
      <w:jc w:val="righ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ARTICLE %1 -"/>
      <w:lvlJc w:val="left"/>
      <w:pPr>
        <w:tabs>
          <w:tab w:val="num" w:pos="1800"/>
        </w:tabs>
        <w:ind w:left="624" w:hanging="624"/>
      </w:pPr>
      <w:rPr/>
    </w:lvl>
    <w:lvl w:ilvl="1">
      <w:start w:val="1"/>
      <w:pStyle w:val="Heading2"/>
      <w:numFmt w:val="upperRoman"/>
      <w:lvlText w:val="SECTION %1.%2 -"/>
      <w:lvlJc w:val="left"/>
      <w:pPr>
        <w:tabs>
          <w:tab w:val="num" w:pos="5486"/>
        </w:tabs>
        <w:ind w:left="4262" w:hanging="576"/>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4.%1"/>
      <w:lvlJc w:val="left"/>
      <w:pPr>
        <w:ind w:left="1428" w:hanging="360"/>
      </w:pPr>
      <w:rPr>
        <w:sz w:val="20"/>
        <w:b/>
        <w:szCs w:val="20"/>
        <w:bCs/>
        <w:rFonts w:ascii="Calibri" w:hAnsi="Calibri" w:cs="Tahoma"/>
      </w:rPr>
    </w:lvl>
  </w:abstractNum>
  <w:abstractNum w:abstractNumId="3">
    <w:lvl w:ilvl="0">
      <w:start w:val="1"/>
      <w:numFmt w:val="bullet"/>
      <w:lvlText w:val=""/>
      <w:lvlJc w:val="left"/>
      <w:pPr>
        <w:ind w:left="720" w:hanging="360"/>
      </w:pPr>
      <w:rPr>
        <w:rFonts w:ascii="Symbol" w:hAnsi="Symbol" w:cs="Symbol" w:hint="default"/>
        <w:sz w:val="20"/>
        <w:rFonts w:cs="Symbol"/>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abstractNum>
  <w:abstractNum w:abstractNumId="6">
    <w:lvl w:ilvl="0">
      <w:start w:val="1"/>
      <w:numFmt w:val="decimal"/>
      <w:lvlText w:val="6.%1"/>
      <w:lvlJc w:val="left"/>
      <w:pPr>
        <w:ind w:left="1776" w:hanging="360"/>
      </w:pPr>
      <w:rPr>
        <w:sz w:val="20"/>
        <w:b/>
        <w:szCs w:val="20"/>
        <w:bCs/>
        <w:rFonts w:ascii="Calibri" w:hAnsi="Calibri" w:cs="Tahoma"/>
      </w:rPr>
    </w:lvl>
  </w:abstractNum>
  <w:abstractNum w:abstractNumId="7">
    <w:lvl w:ilvl="0">
      <w:start w:val="2"/>
      <w:numFmt w:val="bullet"/>
      <w:lvlText w:val="-"/>
      <w:lvlJc w:val="left"/>
      <w:pPr>
        <w:ind w:left="720" w:hanging="360"/>
      </w:pPr>
      <w:rPr>
        <w:rFonts w:ascii="Calibri" w:hAnsi="Calibri" w:cs="Calibri" w:hint="default"/>
        <w:sz w:val="20"/>
        <w:szCs w:val="20"/>
        <w:rFonts w:cs="Calibri"/>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before="120" w:after="0"/>
      <w:jc w:val="both"/>
    </w:pPr>
    <w:rPr>
      <w:rFonts w:ascii="Arial" w:hAnsi="Arial" w:eastAsia="Times New Roman" w:cs="Arial"/>
      <w:color w:val="auto"/>
      <w:sz w:val="22"/>
      <w:szCs w:val="20"/>
      <w:lang w:val="fr-FR" w:bidi="ar-SA" w:eastAsia="zh-CN"/>
    </w:rPr>
  </w:style>
  <w:style w:type="paragraph" w:styleId="Heading1">
    <w:name w:val="Heading 1"/>
    <w:basedOn w:val="Normal"/>
    <w:next w:val="Voxcorpstexte"/>
    <w:qFormat/>
    <w:pPr>
      <w:keepNext w:val="true"/>
      <w:numPr>
        <w:ilvl w:val="0"/>
        <w:numId w:val="1"/>
      </w:numPr>
      <w:spacing w:before="600" w:after="240"/>
      <w:outlineLvl w:val="0"/>
    </w:pPr>
    <w:rPr>
      <w:rFonts w:cs="Arial"/>
      <w:b/>
      <w:bCs/>
      <w:sz w:val="24"/>
      <w:szCs w:val="32"/>
    </w:rPr>
  </w:style>
  <w:style w:type="paragraph" w:styleId="Heading2">
    <w:name w:val="Heading 2"/>
    <w:basedOn w:val="Normal"/>
    <w:next w:val="Normal"/>
    <w:qFormat/>
    <w:pPr>
      <w:keepNext w:val="true"/>
      <w:numPr>
        <w:ilvl w:val="1"/>
        <w:numId w:val="1"/>
      </w:numPr>
      <w:spacing w:before="480" w:after="240"/>
      <w:outlineLvl w:val="1"/>
    </w:pPr>
    <w:rPr>
      <w:rFonts w:cs="Arial"/>
      <w:b/>
      <w:bCs/>
      <w:i/>
      <w:iCs/>
      <w:sz w:val="24"/>
      <w:szCs w:val="28"/>
    </w:rPr>
  </w:style>
  <w:style w:type="paragraph" w:styleId="Heading3">
    <w:name w:val="Heading 3"/>
    <w:basedOn w:val="Normal"/>
    <w:next w:val="Normal"/>
    <w:qFormat/>
    <w:pPr>
      <w:keepNext w:val="true"/>
      <w:numPr>
        <w:ilvl w:val="2"/>
        <w:numId w:val="1"/>
      </w:numPr>
      <w:spacing w:before="240" w:after="60"/>
      <w:outlineLvl w:val="2"/>
    </w:pPr>
    <w:rPr>
      <w:rFonts w:cs="Arial"/>
      <w:b/>
      <w:bCs/>
      <w:i/>
      <w:iCs/>
      <w:sz w:val="26"/>
      <w:szCs w:val="26"/>
    </w:rPr>
  </w:style>
  <w:style w:type="paragraph" w:styleId="Heading4">
    <w:name w:val="Heading 4"/>
    <w:basedOn w:val="Normal"/>
    <w:next w:val="Normal"/>
    <w:qFormat/>
    <w:pPr>
      <w:keepNext w:val="true"/>
      <w:numPr>
        <w:ilvl w:val="3"/>
        <w:numId w:val="1"/>
      </w:numPr>
      <w:spacing w:before="240" w:after="60"/>
      <w:outlineLvl w:val="3"/>
    </w:pPr>
    <w:rPr>
      <w:rFonts w:cs="Arial"/>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rFonts w:ascii="Calibri" w:hAnsi="Calibri" w:eastAsia="Times New Roman" w:cs="Tahoma"/>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alibri" w:hAnsi="Calibri" w:cs="Tahoma"/>
      <w:b/>
      <w:bCs/>
      <w:sz w:val="20"/>
      <w:szCs w:val="2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Calibri" w:hAnsi="Calibri" w:eastAsia="Times New Roman" w:cs="Tahoma"/>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rFonts w:ascii="Calibri" w:hAnsi="Calibri" w:eastAsia="Times New Roman" w:cs="Tahoma"/>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Times New Roman" w:hAnsi="Times New Roman" w:eastAsia="Times New Roman" w:cs="Times New Roman"/>
    </w:rPr>
  </w:style>
  <w:style w:type="character" w:styleId="WW8Num15z0">
    <w:name w:val="WW8Num15z0"/>
    <w:qFormat/>
    <w:rPr/>
  </w:style>
  <w:style w:type="character" w:styleId="WW8Num16z0">
    <w:name w:val="WW8Num16z0"/>
    <w:qFormat/>
    <w:rPr/>
  </w:style>
  <w:style w:type="character" w:styleId="WW8Num17z0">
    <w:name w:val="WW8Num17z0"/>
    <w:qFormat/>
    <w:rPr>
      <w:rFonts w:ascii="Calibri" w:hAnsi="Calibri" w:cs="Tahoma"/>
      <w:b/>
      <w:bCs/>
      <w:sz w:val="20"/>
      <w:szCs w:val="2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20z0">
    <w:name w:val="WW8Num20z0"/>
    <w:qFormat/>
    <w:rPr>
      <w:rFonts w:ascii="Calibri" w:hAnsi="Calibri" w:eastAsia="Times New Roman" w:cs="Calibri"/>
      <w:sz w:val="20"/>
      <w:szCs w:val="2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WW8Num24z0">
    <w:name w:val="WW8Num24z0"/>
    <w:qFormat/>
    <w:rPr>
      <w:rFonts w:ascii="Calibri" w:hAnsi="Calibri" w:eastAsia="Times New Roman" w:cs="Tahoma"/>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Marquedecommentaire">
    <w:name w:val="Marque de commentaire"/>
    <w:qFormat/>
    <w:rPr>
      <w:sz w:val="16"/>
      <w:szCs w:val="16"/>
    </w:rPr>
  </w:style>
  <w:style w:type="character" w:styleId="FootnoteCharacters">
    <w:name w:val="Footnote Characters"/>
    <w:qFormat/>
    <w:rPr>
      <w:vertAlign w:val="superscript"/>
    </w:rPr>
  </w:style>
  <w:style w:type="character" w:styleId="MachinecrireHTML">
    <w:name w:val="Machine à écrire HTML"/>
    <w:qFormat/>
    <w:rPr>
      <w:rFonts w:ascii="Arial Unicode MS" w:hAnsi="Arial Unicode MS" w:eastAsia="Arial Unicode MS" w:cs="Arial Unicode MS"/>
      <w:sz w:val="20"/>
      <w:szCs w:val="20"/>
    </w:rPr>
  </w:style>
  <w:style w:type="character" w:styleId="VisitedInternetLink">
    <w:name w:val="Visited Internet Link"/>
    <w:rPr>
      <w:color w:val="800080"/>
      <w:u w:val="single"/>
    </w:rPr>
  </w:style>
  <w:style w:type="character" w:styleId="Titre3Car">
    <w:name w:val="Titre 3 Car"/>
    <w:qFormat/>
    <w:rPr>
      <w:rFonts w:ascii="Arial" w:hAnsi="Arial" w:cs="Arial"/>
      <w:b/>
      <w:bCs/>
      <w:i/>
      <w:iCs/>
      <w:sz w:val="26"/>
      <w:szCs w:val="26"/>
    </w:rPr>
  </w:style>
  <w:style w:type="character" w:styleId="EntteCar">
    <w:name w:val="En-tête Car"/>
    <w:qFormat/>
    <w:rPr>
      <w:rFonts w:ascii="Arial" w:hAnsi="Arial" w:cs="Arial"/>
      <w:sz w:val="22"/>
    </w:rPr>
  </w:style>
  <w:style w:type="character" w:styleId="Appleconvertedspace">
    <w:name w:val="apple-converted-space"/>
    <w:qFormat/>
    <w:rPr/>
  </w:style>
  <w:style w:type="character" w:styleId="ParagraphedelisteCar">
    <w:name w:val="Paragraphe de liste Car"/>
    <w:qFormat/>
    <w:rPr>
      <w:rFonts w:ascii="Arial" w:hAnsi="Arial" w:cs="Arial"/>
      <w:sz w:val="22"/>
    </w:rPr>
  </w:style>
  <w:style w:type="character" w:styleId="Emphasis">
    <w:name w:val="Emphasis"/>
    <w:qFormat/>
    <w:rPr>
      <w:i/>
      <w:iCs/>
    </w:rPr>
  </w:style>
  <w:style w:type="paragraph" w:styleId="Heading">
    <w:name w:val="Heading"/>
    <w:basedOn w:val="Normal"/>
    <w:next w:val="TextBody"/>
    <w:qFormat/>
    <w:pPr>
      <w:spacing w:before="240" w:after="60"/>
      <w:jc w:val="center"/>
      <w:outlineLvl w:val="0"/>
    </w:pPr>
    <w:rPr>
      <w:rFonts w:cs="Arial"/>
      <w:b/>
      <w:bCs/>
      <w:sz w:val="32"/>
      <w:szCs w:val="32"/>
    </w:rPr>
  </w:style>
  <w:style w:type="paragraph" w:styleId="TextBody">
    <w:name w:val="Body Text"/>
    <w:basedOn w:val="Normal"/>
    <w:next w:val="Normal"/>
    <w:pPr>
      <w:pBdr>
        <w:top w:val="single" w:sz="12" w:space="1" w:color="000000"/>
        <w:left w:val="single" w:sz="12" w:space="0" w:color="000000"/>
        <w:bottom w:val="single" w:sz="12" w:space="1" w:color="000000"/>
        <w:right w:val="single" w:sz="12" w:space="4" w:color="000000"/>
      </w:pBdr>
      <w:shd w:fill="F3F3F3" w:val="clear"/>
      <w:spacing w:before="60" w:after="0"/>
      <w:ind w:right="283" w:hanging="0"/>
      <w:jc w:val="center"/>
    </w:pPr>
    <w:rPr>
      <w:b/>
      <w:sz w:val="1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itrecentr">
    <w:name w:val="Titre centré"/>
    <w:basedOn w:val="Normal"/>
    <w:qFormat/>
    <w:pPr>
      <w:widowControl w:val="false"/>
      <w:tabs>
        <w:tab w:val="right" w:pos="1575" w:leader="none"/>
        <w:tab w:val="right" w:pos="3092" w:leader="none"/>
        <w:tab w:val="left" w:pos="6128" w:leader="none"/>
        <w:tab w:val="left" w:pos="7861" w:leader="none"/>
        <w:tab w:val="left" w:pos="9201" w:leader="none"/>
      </w:tabs>
      <w:overflowPunct w:val="false"/>
      <w:autoSpaceDE w:val="false"/>
      <w:spacing w:before="360" w:after="0"/>
      <w:ind w:left="40" w:hanging="0"/>
      <w:jc w:val="center"/>
      <w:textAlignment w:val="baseline"/>
    </w:pPr>
    <w:rPr>
      <w:rFonts w:ascii="Universal Black" w:hAnsi="Universal Black" w:cs="Universal Black"/>
      <w:b/>
      <w:spacing w:val="60"/>
      <w:sz w:val="28"/>
    </w:rPr>
  </w:style>
  <w:style w:type="paragraph" w:styleId="Commentaire">
    <w:name w:val="Commentaire"/>
    <w:basedOn w:val="Normal"/>
    <w:qFormat/>
    <w:pPr>
      <w:spacing w:before="60" w:after="0"/>
      <w:jc w:val="center"/>
    </w:pPr>
    <w:rPr>
      <w:sz w:val="24"/>
    </w:rPr>
  </w:style>
  <w:style w:type="paragraph" w:styleId="TableauCorps">
    <w:name w:val="TableauCorps"/>
    <w:basedOn w:val="Normal"/>
    <w:qFormat/>
    <w:pPr>
      <w:spacing w:before="60" w:after="60"/>
      <w:jc w:val="left"/>
    </w:pPr>
    <w:rPr/>
  </w:style>
  <w:style w:type="paragraph" w:styleId="TableauTitre">
    <w:name w:val="TableauTitre"/>
    <w:basedOn w:val="Normal"/>
    <w:qFormat/>
    <w:pPr>
      <w:spacing w:before="60" w:after="60"/>
      <w:jc w:val="center"/>
    </w:pPr>
    <w:rPr>
      <w:b/>
    </w:rPr>
  </w:style>
  <w:style w:type="paragraph" w:styleId="Contents1">
    <w:name w:val="TOC 1"/>
    <w:basedOn w:val="Normal"/>
    <w:next w:val="Normal"/>
    <w:pPr>
      <w:tabs>
        <w:tab w:val="right" w:pos="9072" w:leader="dot"/>
      </w:tabs>
      <w:spacing w:before="0" w:after="0"/>
      <w:jc w:val="left"/>
      <w:outlineLvl w:val="0"/>
    </w:pPr>
    <w:rPr>
      <w:b/>
      <w:bCs/>
      <w:smallCaps/>
      <w:szCs w:val="24"/>
    </w:rPr>
  </w:style>
  <w:style w:type="paragraph" w:styleId="Contents2">
    <w:name w:val="TOC 2"/>
    <w:basedOn w:val="Normal"/>
    <w:next w:val="Normal"/>
    <w:pPr>
      <w:tabs>
        <w:tab w:val="right" w:pos="9072" w:leader="dot"/>
      </w:tabs>
      <w:spacing w:before="0" w:after="0"/>
      <w:ind w:left="284" w:hanging="0"/>
      <w:jc w:val="left"/>
      <w:outlineLvl w:val="1"/>
    </w:pPr>
    <w:rPr>
      <w:sz w:val="20"/>
      <w:szCs w:val="24"/>
    </w:rPr>
  </w:style>
  <w:style w:type="paragraph" w:styleId="Objetducommentaire">
    <w:name w:val="Objet du commentaire"/>
    <w:basedOn w:val="Commentaire"/>
    <w:next w:val="Commentaire"/>
    <w:qFormat/>
    <w:pPr>
      <w:spacing w:before="120" w:after="0"/>
      <w:jc w:val="both"/>
    </w:pPr>
    <w:rPr>
      <w:b/>
      <w:bCs/>
      <w:sz w:val="20"/>
    </w:rPr>
  </w:style>
  <w:style w:type="paragraph" w:styleId="Textedebulles">
    <w:name w:val="Texte de bulles"/>
    <w:basedOn w:val="Normal"/>
    <w:qFormat/>
    <w:pPr/>
    <w:rPr>
      <w:rFonts w:ascii="Tahoma" w:hAnsi="Tahoma" w:cs="Tahoma"/>
      <w:sz w:val="16"/>
      <w:szCs w:val="16"/>
    </w:rPr>
  </w:style>
  <w:style w:type="paragraph" w:styleId="Footnote">
    <w:name w:val="Footnote Text"/>
    <w:basedOn w:val="Normal"/>
    <w:pPr/>
    <w:rPr>
      <w:sz w:val="20"/>
    </w:rPr>
  </w:style>
  <w:style w:type="paragraph" w:styleId="TextBodyIndent">
    <w:name w:val="Body Text Indent"/>
    <w:basedOn w:val="Normal"/>
    <w:pPr>
      <w:spacing w:before="120" w:after="120"/>
      <w:ind w:left="283" w:hanging="0"/>
    </w:pPr>
    <w:rPr/>
  </w:style>
  <w:style w:type="paragraph" w:styleId="RetraitCorpsdetexte2">
    <w:name w:val="Retrait Corps de texte 2"/>
    <w:basedOn w:val="TextBodyIndent"/>
    <w:qFormat/>
    <w:pPr>
      <w:ind w:left="0" w:hanging="0"/>
    </w:pPr>
    <w:rPr>
      <w:rFonts w:cs="Arial"/>
    </w:rPr>
  </w:style>
  <w:style w:type="paragraph" w:styleId="Explorateurdedocuments">
    <w:name w:val="Explorateur de documents"/>
    <w:basedOn w:val="Normal"/>
    <w:qFormat/>
    <w:pPr>
      <w:shd w:fill="000080" w:val="clear"/>
    </w:pPr>
    <w:rPr>
      <w:rFonts w:ascii="Tahoma" w:hAnsi="Tahoma" w:cs="Tahoma"/>
    </w:rPr>
  </w:style>
  <w:style w:type="paragraph" w:styleId="Corpsdetexte2">
    <w:name w:val="Corps de texte 2"/>
    <w:basedOn w:val="Normal"/>
    <w:qFormat/>
    <w:pPr>
      <w:jc w:val="center"/>
      <w:outlineLvl w:val="0"/>
    </w:pPr>
    <w:rPr>
      <w:sz w:val="40"/>
    </w:rPr>
  </w:style>
  <w:style w:type="paragraph" w:styleId="Puce2">
    <w:name w:val="puce 2"/>
    <w:basedOn w:val="Normal"/>
    <w:qFormat/>
    <w:pPr>
      <w:numPr>
        <w:ilvl w:val="0"/>
        <w:numId w:val="5"/>
      </w:numPr>
      <w:spacing w:before="0" w:after="120"/>
    </w:pPr>
    <w:rPr>
      <w:szCs w:val="24"/>
    </w:rPr>
  </w:style>
  <w:style w:type="paragraph" w:styleId="Corpsdetexte3">
    <w:name w:val="Corps de texte 3"/>
    <w:basedOn w:val="Normal"/>
    <w:qFormat/>
    <w:pPr>
      <w:jc w:val="left"/>
    </w:pPr>
    <w:rPr>
      <w:rFonts w:cs="Arial"/>
      <w:b/>
      <w:bCs/>
      <w:szCs w:val="22"/>
    </w:rPr>
  </w:style>
  <w:style w:type="paragraph" w:styleId="Voxcorpstexte">
    <w:name w:val="vox_corpstexte"/>
    <w:qFormat/>
    <w:pPr>
      <w:widowControl/>
      <w:spacing w:before="120" w:after="0"/>
      <w:jc w:val="both"/>
    </w:pPr>
    <w:rPr>
      <w:rFonts w:ascii="Arial" w:hAnsi="Arial" w:eastAsia="Times New Roman" w:cs="Arial"/>
      <w:color w:val="auto"/>
      <w:sz w:val="22"/>
      <w:szCs w:val="22"/>
      <w:lang w:val="fr-FR" w:bidi="ar-SA" w:eastAsia="zh-CN"/>
    </w:rPr>
  </w:style>
  <w:style w:type="paragraph" w:styleId="Paragraphedeliste">
    <w:name w:val="Paragraphe de liste"/>
    <w:basedOn w:val="Normal"/>
    <w:qFormat/>
    <w:pPr>
      <w:ind w:left="708"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Projet Accord sur le vote electronique_v1.dot</Template>
  <TotalTime>6</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2020-04-02T17:44:00Z</dcterms:created>
  <dc:creator/>
  <dc:description/>
  <dc:language>en-GB</dc:language>
  <cp:lastModifiedBy/>
  <cp:lastPrinted>2020-03-06T09:36:00Z</cp:lastPrinted>
  <dcterms:modified xsi:type="dcterms:W3CDTF">2020-05-04T10:15:00Z</dcterms:modified>
  <cp:revision>3</cp:revision>
  <dc:subject>CE, DP et DUP</dc:subject>
  <dc:title>Protocole préélectoral</dc:title>
</cp:coreProperties>
</file>