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pBdr>
          <w:top w:val="single" w:sz="4" w:space="1" w:color="000000"/>
          <w:left w:val="single" w:sz="4" w:space="4" w:color="000000"/>
          <w:bottom w:val="single" w:sz="4" w:space="1" w:color="000000"/>
          <w:right w:val="single" w:sz="4" w:space="4" w:color="000000"/>
        </w:pBdr>
        <w:shd w:fill="CCCCCC" w:val="clear"/>
        <w:spacing w:lineRule="auto" w:line="240" w:before="0" w:after="0"/>
        <w:jc w:val="center"/>
        <w:outlineLvl w:val="0"/>
        <w:rPr>
          <w:rFonts w:ascii="Times New Roman" w:hAnsi="Times New Roman" w:eastAsia="Times New Roman" w:cs="Times New Roman"/>
          <w:b/>
          <w:b/>
          <w:sz w:val="36"/>
          <w:szCs w:val="36"/>
          <w:lang w:eastAsia="fr-FR"/>
        </w:rPr>
      </w:pPr>
      <w:r>
        <w:rPr>
          <w:rFonts w:eastAsia="Times New Roman" w:cs="Times New Roman" w:ascii="Times New Roman" w:hAnsi="Times New Roman"/>
          <w:b/>
          <w:sz w:val="36"/>
          <w:szCs w:val="36"/>
          <w:lang w:eastAsia="fr-FR"/>
        </w:rPr>
      </w:r>
    </w:p>
    <w:p>
      <w:pPr>
        <w:pStyle w:val="Normal"/>
        <w:keepNext w:val="true"/>
        <w:numPr>
          <w:ilvl w:val="0"/>
          <w:numId w:val="0"/>
        </w:numPr>
        <w:pBdr>
          <w:top w:val="single" w:sz="4" w:space="1" w:color="000000"/>
          <w:left w:val="single" w:sz="4" w:space="4" w:color="000000"/>
          <w:bottom w:val="single" w:sz="4" w:space="1" w:color="000000"/>
          <w:right w:val="single" w:sz="4" w:space="4" w:color="000000"/>
        </w:pBdr>
        <w:shd w:fill="CCCCCC" w:val="clear"/>
        <w:spacing w:lineRule="auto" w:line="240" w:before="0" w:after="0"/>
        <w:jc w:val="center"/>
        <w:outlineLvl w:val="0"/>
        <w:rPr>
          <w:rFonts w:ascii="Times New Roman" w:hAnsi="Times New Roman" w:eastAsia="Times New Roman" w:cs="Times New Roman"/>
          <w:b/>
          <w:b/>
          <w:sz w:val="36"/>
          <w:szCs w:val="36"/>
          <w:lang w:eastAsia="fr-FR"/>
        </w:rPr>
      </w:pPr>
      <w:r>
        <w:rPr>
          <w:rFonts w:eastAsia="Times New Roman" w:cs="Times New Roman" w:ascii="Times New Roman" w:hAnsi="Times New Roman"/>
          <w:b/>
          <w:sz w:val="36"/>
          <w:szCs w:val="36"/>
          <w:lang w:eastAsia="fr-FR"/>
        </w:rPr>
        <w:t xml:space="preserve">AVENANT N°3 A L’ACCORD D’ENTREPRISE </w:t>
      </w:r>
    </w:p>
    <w:p>
      <w:pPr>
        <w:pStyle w:val="Normal"/>
        <w:keepNext w:val="true"/>
        <w:numPr>
          <w:ilvl w:val="0"/>
          <w:numId w:val="0"/>
        </w:numPr>
        <w:pBdr>
          <w:top w:val="single" w:sz="4" w:space="1" w:color="000000"/>
          <w:left w:val="single" w:sz="4" w:space="4" w:color="000000"/>
          <w:bottom w:val="single" w:sz="4" w:space="1" w:color="000000"/>
          <w:right w:val="single" w:sz="4" w:space="4" w:color="000000"/>
        </w:pBdr>
        <w:shd w:fill="CCCCCC" w:val="clear"/>
        <w:spacing w:lineRule="auto" w:line="240" w:before="0" w:after="0"/>
        <w:jc w:val="center"/>
        <w:outlineLvl w:val="0"/>
        <w:rPr/>
      </w:pPr>
      <w:r>
        <w:rPr>
          <w:rFonts w:eastAsia="Times New Roman" w:cs="Times New Roman" w:ascii="Times New Roman" w:hAnsi="Times New Roman"/>
          <w:b/>
          <w:sz w:val="36"/>
          <w:szCs w:val="36"/>
          <w:lang w:eastAsia="fr-FR"/>
        </w:rPr>
        <w:t xml:space="preserve">RELATIF A </w:t>
      </w:r>
    </w:p>
    <w:p>
      <w:pPr>
        <w:pStyle w:val="Normal"/>
        <w:keepNext w:val="true"/>
        <w:numPr>
          <w:ilvl w:val="0"/>
          <w:numId w:val="0"/>
        </w:numPr>
        <w:pBdr>
          <w:top w:val="single" w:sz="4" w:space="1" w:color="000000"/>
          <w:left w:val="single" w:sz="4" w:space="4" w:color="000000"/>
          <w:bottom w:val="single" w:sz="4" w:space="1" w:color="000000"/>
          <w:right w:val="single" w:sz="4" w:space="4" w:color="000000"/>
        </w:pBdr>
        <w:shd w:fill="CCCCCC" w:val="clear"/>
        <w:spacing w:lineRule="auto" w:line="240" w:before="0" w:after="0"/>
        <w:jc w:val="center"/>
        <w:outlineLvl w:val="0"/>
        <w:rPr>
          <w:rFonts w:ascii="Times New Roman" w:hAnsi="Times New Roman" w:eastAsia="Times New Roman" w:cs="Times New Roman"/>
          <w:b/>
          <w:b/>
          <w:sz w:val="36"/>
          <w:szCs w:val="36"/>
          <w:lang w:eastAsia="fr-FR"/>
        </w:rPr>
      </w:pPr>
      <w:r>
        <w:rPr>
          <w:rFonts w:eastAsia="Times New Roman" w:cs="Times New Roman" w:ascii="Times New Roman" w:hAnsi="Times New Roman"/>
          <w:b/>
          <w:sz w:val="36"/>
          <w:szCs w:val="36"/>
          <w:lang w:eastAsia="fr-FR"/>
        </w:rPr>
        <w:t>L’AMENAGEMENT DU TEMPS DE TRAVAIL</w:t>
      </w:r>
    </w:p>
    <w:p>
      <w:pPr>
        <w:pStyle w:val="Normal"/>
        <w:keepNext w:val="true"/>
        <w:numPr>
          <w:ilvl w:val="0"/>
          <w:numId w:val="0"/>
        </w:numPr>
        <w:pBdr>
          <w:top w:val="single" w:sz="4" w:space="1" w:color="000000"/>
          <w:left w:val="single" w:sz="4" w:space="4" w:color="000000"/>
          <w:bottom w:val="single" w:sz="4" w:space="1" w:color="000000"/>
          <w:right w:val="single" w:sz="4" w:space="4" w:color="000000"/>
        </w:pBdr>
        <w:shd w:fill="CCCCCC" w:val="clear"/>
        <w:spacing w:lineRule="auto" w:line="240" w:before="0" w:after="0"/>
        <w:jc w:val="center"/>
        <w:outlineLvl w:val="0"/>
        <w:rPr>
          <w:rFonts w:ascii="Times New Roman" w:hAnsi="Times New Roman" w:eastAsia="Times New Roman" w:cs="Times New Roman"/>
          <w:b/>
          <w:b/>
          <w:sz w:val="36"/>
          <w:szCs w:val="36"/>
          <w:lang w:eastAsia="fr-FR"/>
        </w:rPr>
      </w:pPr>
      <w:r>
        <w:rPr>
          <w:rFonts w:eastAsia="Times New Roman" w:cs="Times New Roman" w:ascii="Times New Roman" w:hAnsi="Times New Roman"/>
          <w:b/>
          <w:sz w:val="36"/>
          <w:szCs w:val="36"/>
          <w:lang w:eastAsia="fr-FR"/>
        </w:rPr>
      </w:r>
    </w:p>
    <w:p>
      <w:pPr>
        <w:pStyle w:val="Normal"/>
        <w:spacing w:lineRule="auto" w:line="240" w:before="0" w:after="0"/>
        <w:jc w:val="both"/>
        <w:rPr>
          <w:rFonts w:ascii="Times New Roman" w:hAnsi="Times New Roman" w:eastAsia="Times New Roman" w:cs="Times New Roman"/>
          <w:b/>
          <w:b/>
          <w:sz w:val="24"/>
          <w:szCs w:val="20"/>
          <w:lang w:eastAsia="fr-FR"/>
        </w:rPr>
      </w:pPr>
      <w:r>
        <w:rPr>
          <w:rFonts w:eastAsia="Times New Roman" w:cs="Times New Roman" w:ascii="Times New Roman" w:hAnsi="Times New Roman"/>
          <w:b/>
          <w:sz w:val="24"/>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eastAsia="Times New Roman" w:cs="Times New Roman"/>
          <w:sz w:val="24"/>
          <w:szCs w:val="24"/>
          <w:u w:val="single"/>
          <w:lang w:eastAsia="fr-FR"/>
        </w:rPr>
      </w:pPr>
      <w:r>
        <w:rPr>
          <w:rFonts w:eastAsia="Times New Roman" w:cs="Times New Roman" w:ascii="Times New Roman" w:hAnsi="Times New Roman"/>
          <w:sz w:val="24"/>
          <w:szCs w:val="24"/>
          <w:u w:val="single"/>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Entre : </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La SARL AMBROISE PARE</w:t>
      </w:r>
      <w:r>
        <w:rPr>
          <w:rFonts w:cs="Times New Roman" w:ascii="Times New Roman" w:hAnsi="Times New Roman"/>
          <w:sz w:val="24"/>
          <w:szCs w:val="24"/>
        </w:rPr>
        <w:t xml:space="preserve"> dont le siège social est situé r</w:t>
      </w:r>
      <w:r>
        <w:rPr>
          <w:rFonts w:cs="Times New Roman" w:ascii="Times New Roman" w:hAnsi="Times New Roman"/>
          <w:color w:val="222222"/>
          <w:sz w:val="24"/>
          <w:szCs w:val="24"/>
        </w:rPr>
        <w:t>ue Delbecque à Beuvry (62660)</w:t>
      </w:r>
      <w:r>
        <w:rPr>
          <w:rFonts w:cs="Times New Roman" w:ascii="Times New Roman" w:hAnsi="Times New Roman"/>
          <w:sz w:val="24"/>
          <w:szCs w:val="24"/>
        </w:rPr>
        <w:t xml:space="preserve">, immatriculée au Registre du Commerce et des Sociétés sous le n°36820046500020, représentée par </w:t>
      </w:r>
      <w:r>
        <w:rPr>
          <w:rFonts w:cs="Times New Roman" w:ascii="Times New Roman" w:hAnsi="Times New Roman"/>
          <w:b/>
          <w:sz w:val="24"/>
          <w:szCs w:val="24"/>
        </w:rPr>
        <w:t xml:space="preserve">                    .                  , gérant, dûment mandaté et habilité</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D’une part</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Et : </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Paragraphedeliste"/>
        <w:pBdr>
          <w:top w:val="single" w:sz="4" w:space="1" w:color="000000"/>
          <w:left w:val="single" w:sz="4" w:space="4" w:color="000000"/>
          <w:bottom w:val="single" w:sz="4" w:space="1" w:color="000000"/>
          <w:right w:val="single" w:sz="4" w:space="4" w:color="000000"/>
        </w:pBdr>
        <w:spacing w:lineRule="auto" w:line="240" w:before="0" w:after="0"/>
        <w:ind w:left="0" w:hanging="0"/>
        <w:contextualSpacing/>
        <w:jc w:val="both"/>
        <w:rPr>
          <w:rFonts w:ascii="Times New Roman" w:hAnsi="Times New Roman" w:cs="Times New Roman"/>
          <w:sz w:val="24"/>
          <w:szCs w:val="24"/>
        </w:rPr>
      </w:pPr>
      <w:bookmarkStart w:id="0" w:name="OLE_LINK2"/>
      <w:bookmarkStart w:id="1" w:name="OLE_LINK1"/>
      <w:r>
        <w:rPr>
          <w:rFonts w:cs="Times New Roman" w:ascii="Times New Roman" w:hAnsi="Times New Roman"/>
          <w:b/>
          <w:sz w:val="24"/>
          <w:szCs w:val="24"/>
        </w:rPr>
        <w:t>L’organisation syndicale</w:t>
      </w:r>
      <w:r>
        <w:rPr>
          <w:rFonts w:cs="Times New Roman" w:ascii="Times New Roman" w:hAnsi="Times New Roman"/>
          <w:sz w:val="24"/>
          <w:szCs w:val="24"/>
        </w:rPr>
        <w:t>, représentée par</w:t>
      </w:r>
      <w:bookmarkEnd w:id="0"/>
      <w:bookmarkEnd w:id="1"/>
      <w:r>
        <w:rPr>
          <w:rFonts w:cs="Times New Roman" w:ascii="Times New Roman" w:hAnsi="Times New Roman"/>
          <w:b/>
          <w:sz w:val="24"/>
          <w:szCs w:val="24"/>
        </w:rPr>
        <w:t xml:space="preserve">      </w:t>
      </w:r>
      <w:r>
        <w:rPr>
          <w:rFonts w:cs="Times New Roman" w:ascii="Times New Roman" w:hAnsi="Times New Roman"/>
          <w:sz w:val="24"/>
          <w:szCs w:val="24"/>
        </w:rPr>
        <w:t>, dûment mandatée à négocier et à signer le présent accord</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D’autre part</w:t>
      </w:r>
    </w:p>
    <w:p>
      <w:pPr>
        <w:pStyle w:val="Normal"/>
        <w:pBdr>
          <w:top w:val="single" w:sz="4" w:space="1" w:color="000000"/>
          <w:left w:val="single" w:sz="4" w:space="4" w:color="000000"/>
          <w:bottom w:val="single" w:sz="4" w:space="1" w:color="000000"/>
          <w:right w:val="single" w:sz="4" w:space="4" w:color="000000"/>
        </w:pBdr>
        <w:spacing w:lineRule="auto" w:line="240" w:before="0" w:after="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t>Préambule</w:t>
      </w:r>
    </w:p>
    <w:p>
      <w:pPr>
        <w:pStyle w:val="Normal"/>
        <w:spacing w:lineRule="auto" w:line="240" w:before="0" w:after="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Le présent avenant a pour objet de compléter l’accord d’entreprise relatif à l’aménagement du temps de travail signé le 18/06/2015.</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pPr>
      <w:r>
        <w:rPr>
          <w:rFonts w:cs="Times New Roman" w:ascii="Times New Roman" w:hAnsi="Times New Roman"/>
          <w:sz w:val="24"/>
          <w:szCs w:val="24"/>
          <w:lang w:eastAsia="fr-FR"/>
        </w:rPr>
        <w:t>Les négociations ont été engagées le 03 Octobre 2019. Aux termes de plusieurs réunions, les parties ont abouti à la conclusion du présent accord le 18 Décembre 2019.</w:t>
      </w:r>
    </w:p>
    <w:p>
      <w:pPr>
        <w:pStyle w:val="Normal"/>
        <w:spacing w:lineRule="auto" w:line="240" w:before="0" w:after="0"/>
        <w:contextualSpacing/>
        <w:jc w:val="both"/>
        <w:rPr>
          <w:rFonts w:ascii="Times New Roman" w:hAnsi="Times New Roman" w:cs="Times New Roman"/>
          <w:sz w:val="24"/>
          <w:szCs w:val="24"/>
          <w:lang w:eastAsia="fr-FR"/>
        </w:rPr>
      </w:pPr>
      <w:r>
        <w:rPr>
          <w:rFonts w:cs="Times New Roman" w:ascii="Times New Roman" w:hAnsi="Times New Roman"/>
          <w:sz w:val="24"/>
          <w:szCs w:val="24"/>
          <w:lang w:eastAsia="fr-FR"/>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Il a été convenu et arrêté les dispositions reprises ci-après.</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rFonts w:ascii="Times New Roman" w:hAnsi="Times New Roman" w:cs="Times New Roman"/>
          <w:sz w:val="24"/>
          <w:szCs w:val="24"/>
          <w:lang w:eastAsia="fr-FR"/>
        </w:rPr>
      </w:pPr>
      <w:r>
        <w:rPr>
          <w:rFonts w:cs="Times New Roman" w:ascii="Times New Roman" w:hAnsi="Times New Roman"/>
          <w:sz w:val="24"/>
          <w:szCs w:val="24"/>
          <w:lang w:eastAsia="fr-FR"/>
        </w:rPr>
        <w:t>Rappelons que le contexte économique dans lequel ont été placées les négociations était difficile, en raison d’une politique tarifaire rigoureuse, des marges de manœuvre financières de la clinique toujours très étroites.</w:t>
      </w:r>
    </w:p>
    <w:p>
      <w:pPr>
        <w:pStyle w:val="Normal"/>
        <w:spacing w:lineRule="auto" w:line="240" w:before="0" w:after="0"/>
        <w:contextualSpacing/>
        <w:jc w:val="both"/>
        <w:rPr>
          <w:rFonts w:ascii="Times New Roman" w:hAnsi="Times New Roman" w:cs="Times New Roman"/>
          <w:b/>
          <w:b/>
          <w:sz w:val="24"/>
          <w:szCs w:val="24"/>
          <w:lang w:eastAsia="fr-FR"/>
        </w:rPr>
      </w:pPr>
      <w:r>
        <w:rPr>
          <w:rFonts w:cs="Times New Roman" w:ascii="Times New Roman" w:hAnsi="Times New Roman"/>
          <w:b/>
          <w:sz w:val="24"/>
          <w:szCs w:val="24"/>
          <w:lang w:eastAsia="fr-FR"/>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Article 1 : Les engagements relatifs aux salaires effectifs</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rpsdetexte2"/>
        <w:jc w:val="both"/>
        <w:rPr>
          <w:b/>
          <w:b/>
          <w:color w:val="000000"/>
          <w:szCs w:val="24"/>
        </w:rPr>
      </w:pPr>
      <w:r>
        <w:rPr>
          <w:b/>
          <w:color w:val="000000"/>
          <w:szCs w:val="24"/>
          <w:lang w:val="it-IT"/>
        </w:rPr>
        <w:t>Article 1.1 : Octroi d’un repas à titre gracieux pour les salariés assurant un travail effectif le dimanche</w:t>
      </w:r>
    </w:p>
    <w:p>
      <w:pPr>
        <w:pStyle w:val="BodyText2"/>
        <w:rPr>
          <w:b w:val="false"/>
          <w:b w:val="false"/>
          <w:color w:val="000000"/>
          <w:szCs w:val="24"/>
          <w:lang w:val="it-IT"/>
        </w:rPr>
      </w:pPr>
      <w:r>
        <w:rPr>
          <w:b w:val="false"/>
          <w:color w:val="000000"/>
          <w:szCs w:val="24"/>
          <w:lang w:val="it-IT"/>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Pour les salariés assurant un travail effectif le dimanche, la Clinique octroiera un repas à titre gracieux, sans condition d’horaires.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Heading2"/>
        <w:numPr>
          <w:ilvl w:val="1"/>
          <w:numId w:val="1"/>
        </w:numPr>
        <w:rPr>
          <w:rFonts w:ascii="Times New Roman" w:hAnsi="Times New Roman" w:cs="Times New Roman"/>
          <w:bCs/>
          <w:sz w:val="24"/>
          <w:szCs w:val="24"/>
        </w:rPr>
      </w:pPr>
      <w:r>
        <w:rPr>
          <w:rFonts w:cs="Times New Roman"/>
          <w:bCs/>
          <w:sz w:val="24"/>
          <w:szCs w:val="24"/>
        </w:rPr>
      </w:r>
    </w:p>
    <w:p>
      <w:pPr>
        <w:pStyle w:val="Heading2"/>
        <w:numPr>
          <w:ilvl w:val="1"/>
          <w:numId w:val="1"/>
        </w:numPr>
        <w:rPr/>
      </w:pPr>
      <w:r>
        <w:rPr>
          <w:bCs/>
          <w:szCs w:val="24"/>
        </w:rPr>
        <w:t>Article 2 : Date d’application</w:t>
      </w:r>
    </w:p>
    <w:p>
      <w:pPr>
        <w:pStyle w:val="Normal"/>
        <w:spacing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Les mesures retenues dans le présent avenant seront mises en place à compter du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Janvier 2020.</w:t>
      </w:r>
    </w:p>
    <w:p>
      <w:pPr>
        <w:pStyle w:val="TextBody"/>
        <w:rPr>
          <w:rFonts w:ascii="Times New Roman" w:hAnsi="Times New Roman" w:cs="Times New Roman"/>
          <w:b/>
          <w:b/>
          <w:bCs/>
          <w:sz w:val="24"/>
          <w:szCs w:val="24"/>
        </w:rPr>
      </w:pPr>
      <w:r>
        <w:rPr>
          <w:rFonts w:cs="Times New Roman"/>
          <w:b/>
          <w:bCs/>
          <w:sz w:val="24"/>
          <w:szCs w:val="24"/>
        </w:rPr>
      </w:r>
    </w:p>
    <w:p>
      <w:pPr>
        <w:pStyle w:val="TextBody"/>
        <w:rPr>
          <w:b/>
          <w:b/>
          <w:bCs/>
          <w:szCs w:val="24"/>
        </w:rPr>
      </w:pPr>
      <w:r>
        <w:rPr>
          <w:b/>
          <w:bCs/>
          <w:szCs w:val="24"/>
        </w:rPr>
      </w:r>
    </w:p>
    <w:p>
      <w:pPr>
        <w:pStyle w:val="TextBody"/>
        <w:rPr/>
      </w:pPr>
      <w:r>
        <w:rPr>
          <w:b/>
          <w:bCs/>
          <w:szCs w:val="24"/>
        </w:rPr>
        <w:t xml:space="preserve">Article 3 : Durée – Révision – Dénonciation </w:t>
      </w:r>
    </w:p>
    <w:p>
      <w:pPr>
        <w:pStyle w:val="TextBody"/>
        <w:rPr>
          <w:b/>
          <w:b/>
          <w:bCs/>
          <w:szCs w:val="24"/>
        </w:rPr>
      </w:pPr>
      <w:r>
        <w:rPr>
          <w:b/>
          <w:bCs/>
          <w:szCs w:val="24"/>
        </w:rPr>
      </w:r>
    </w:p>
    <w:p>
      <w:pPr>
        <w:pStyle w:val="TextBody"/>
        <w:rPr/>
      </w:pPr>
      <w:r>
        <w:rPr>
          <w:szCs w:val="24"/>
        </w:rPr>
        <w:t xml:space="preserve">Le présent avenant est conclu pour une durée indéterminée. Il pourra être dénoncé conformément aux dispositions des articles L 2261-9 et suivants du Code du travail </w:t>
      </w:r>
    </w:p>
    <w:p>
      <w:pPr>
        <w:pStyle w:val="TextBody"/>
        <w:rPr>
          <w:szCs w:val="24"/>
        </w:rPr>
      </w:pPr>
      <w:r>
        <w:rPr>
          <w:szCs w:val="24"/>
        </w:rPr>
        <w:t>Il pourra faire l’objet d’une révision dans les conditions prévues aux articles L2222-5 et L2261-7 et 8 du Code du travail.</w:t>
      </w:r>
    </w:p>
    <w:p>
      <w:pPr>
        <w:pStyle w:val="TextBody"/>
        <w:rPr>
          <w:szCs w:val="24"/>
        </w:rPr>
      </w:pPr>
      <w:r>
        <w:rPr>
          <w:szCs w:val="24"/>
        </w:rPr>
      </w:r>
    </w:p>
    <w:p>
      <w:pPr>
        <w:pStyle w:val="TextBody"/>
        <w:rPr>
          <w:szCs w:val="24"/>
        </w:rPr>
      </w:pPr>
      <w:r>
        <w:rPr>
          <w:szCs w:val="24"/>
        </w:rPr>
      </w:r>
    </w:p>
    <w:p>
      <w:pPr>
        <w:pStyle w:val="TextBody"/>
        <w:rPr/>
      </w:pPr>
      <w:r>
        <w:rPr>
          <w:b/>
          <w:bCs/>
          <w:szCs w:val="24"/>
        </w:rPr>
        <w:t>Article 4 : Date d’effet – Publicité </w:t>
      </w:r>
    </w:p>
    <w:p>
      <w:pPr>
        <w:pStyle w:val="TextBody"/>
        <w:rPr>
          <w:b/>
          <w:b/>
          <w:bCs/>
          <w:szCs w:val="24"/>
        </w:rPr>
      </w:pPr>
      <w:r>
        <w:rPr>
          <w:b/>
          <w:bCs/>
          <w:szCs w:val="24"/>
        </w:rPr>
      </w:r>
    </w:p>
    <w:p>
      <w:pPr>
        <w:pStyle w:val="TextBody"/>
        <w:rPr/>
      </w:pPr>
      <w:r>
        <w:rPr>
          <w:szCs w:val="24"/>
        </w:rPr>
        <w:t xml:space="preserve">Le présent avenant entrera en vigueur à l’expiration du délai d’opposition de 8 jours prévu par l’article L2232-12 du Code du travail. </w:t>
      </w:r>
    </w:p>
    <w:p>
      <w:pPr>
        <w:pStyle w:val="TextBody"/>
        <w:rPr>
          <w:szCs w:val="24"/>
        </w:rPr>
      </w:pPr>
      <w:r>
        <w:rPr>
          <w:szCs w:val="24"/>
        </w:rPr>
      </w:r>
    </w:p>
    <w:p>
      <w:pPr>
        <w:pStyle w:val="Normal"/>
        <w:spacing w:lineRule="auto" w:line="240" w:before="0" w:after="0"/>
        <w:contextualSpacing/>
        <w:jc w:val="both"/>
        <w:rPr/>
      </w:pPr>
      <w:r>
        <w:rPr>
          <w:rFonts w:cs="Times New Roman" w:ascii="Times New Roman" w:hAnsi="Times New Roman"/>
          <w:sz w:val="24"/>
          <w:szCs w:val="24"/>
        </w:rPr>
        <w:t>Après signature, l’entreprise notifiera, sans délai, par remise en main propre contre décharge, le présent avenant à l’organisation syndicale représentative de l’entreprise, ainsi qu’au CSE.</w:t>
      </w:r>
    </w:p>
    <w:p>
      <w:pPr>
        <w:pStyle w:val="Normal"/>
        <w:spacing w:lineRule="auto" w:line="240" w:before="0" w:after="0"/>
        <w:contextualSpacing/>
        <w:jc w:val="both"/>
        <w:rPr/>
      </w:pPr>
      <w:r>
        <w:rPr>
          <w:rFonts w:cs="Times New Roman" w:ascii="Times New Roman" w:hAnsi="Times New Roman"/>
          <w:sz w:val="24"/>
          <w:szCs w:val="24"/>
        </w:rPr>
        <w:t xml:space="preserve">Conformément aux dispositions de l’article D2231-2 du code du travail, le présent avenant sera déposé par la Direction de la Clinique à la Direction Départementale du Travail, de l’Emploi et de la Formation Professionnelle d’ARRAS, via la plateforme TéléAccords, ainsi qu’un exemplaire au secrétariat du conseil des prud’hommes,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Son emplacement figurera aux emplacements réservés à la communication du personnel.</w:t>
      </w:r>
    </w:p>
    <w:p>
      <w:pPr>
        <w:pStyle w:val="TextBody"/>
        <w:rPr>
          <w:rFonts w:ascii="Times New Roman" w:hAnsi="Times New Roman" w:cs="Times New Roman"/>
          <w:i/>
          <w:i/>
          <w:sz w:val="24"/>
          <w:szCs w:val="24"/>
        </w:rPr>
      </w:pPr>
      <w:r>
        <w:rPr>
          <w:rFonts w:cs="Times New Roman"/>
          <w:i/>
          <w:sz w:val="24"/>
          <w:szCs w:val="24"/>
        </w:rPr>
      </w:r>
    </w:p>
    <w:p>
      <w:pPr>
        <w:pStyle w:val="TextBody"/>
        <w:rPr>
          <w:i/>
          <w:i/>
          <w:szCs w:val="24"/>
        </w:rPr>
      </w:pPr>
      <w:r>
        <w:rPr>
          <w:i/>
          <w:szCs w:val="24"/>
        </w:rPr>
      </w:r>
    </w:p>
    <w:p>
      <w:pPr>
        <w:pStyle w:val="TextBody"/>
        <w:rPr>
          <w:szCs w:val="24"/>
        </w:rPr>
      </w:pPr>
      <w:r>
        <w:rPr>
          <w:szCs w:val="24"/>
        </w:rPr>
        <w:t>Fait à BEUVRY, le 21/01/2020</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p>
      <w:pPr>
        <w:pStyle w:val="Normal"/>
        <w:spacing w:lineRule="auto" w:line="240" w:before="0" w:after="0"/>
        <w:rPr>
          <w:rFonts w:ascii="Times New Roman" w:hAnsi="Times New Roman" w:eastAsia="Times New Roman" w:cs="Times New Roman"/>
          <w:vanish/>
          <w:sz w:val="20"/>
          <w:szCs w:val="20"/>
          <w:lang w:eastAsia="fr-FR"/>
        </w:rPr>
      </w:pPr>
      <w:r>
        <w:rPr>
          <w:rFonts w:eastAsia="Times New Roman" w:cs="Times New Roman" w:ascii="Times New Roman" w:hAnsi="Times New Roman"/>
          <w:vanish/>
          <w:sz w:val="20"/>
          <w:szCs w:val="20"/>
          <w:lang w:eastAsia="fr-FR"/>
        </w:rPr>
      </w:r>
      <w:r>
        <mc:AlternateContent>
          <mc:Choice Requires="wps">
            <w:drawing>
              <wp:anchor behindDoc="0" distT="0" distB="0" distL="0" distR="89535" simplePos="0" locked="0" layoutInCell="1" allowOverlap="1" relativeHeight="2">
                <wp:simplePos x="0" y="0"/>
                <wp:positionH relativeFrom="margin">
                  <wp:posOffset>-71755</wp:posOffset>
                </wp:positionH>
                <wp:positionV relativeFrom="paragraph">
                  <wp:posOffset>125095</wp:posOffset>
                </wp:positionV>
                <wp:extent cx="2955290" cy="20955"/>
                <wp:effectExtent l="0" t="0" r="0" b="0"/>
                <wp:wrapSquare wrapText="bothSides"/>
                <wp:docPr id="1" name="Frame1"/>
                <a:graphic xmlns:a="http://schemas.openxmlformats.org/drawingml/2006/main">
                  <a:graphicData uri="http://schemas.microsoft.com/office/word/2010/wordprocessingShape">
                    <wps:wsp>
                      <wps:cNvSpPr txBox="1"/>
                      <wps:spPr>
                        <a:xfrm>
                          <a:off x="0" y="0"/>
                          <a:ext cx="2955290" cy="20955"/>
                        </a:xfrm>
                        <a:prstGeom prst="rect"/>
                        <a:solidFill>
                          <a:srgbClr val="FFFFFF">
                            <a:alpha val="0"/>
                          </a:srgbClr>
                        </a:solidFill>
                      </wps:spPr>
                      <wps:txbx>
                        <w:txbxContent>
                          <w:tbl>
                            <w:tblPr>
                              <w:tblW w:w="4654" w:type="dxa"/>
                              <w:jc w:val="left"/>
                              <w:tblInd w:w="108"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654"/>
                            </w:tblGrid>
                            <w:tr>
                              <w:trPr>
                                <w:cantSplit w:val="true"/>
                              </w:trPr>
                              <w:tc>
                                <w:tcPr>
                                  <w:tcW w:w="4654"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Pour le Syndicat</w:t>
                                    <w:tab/>
                                  </w:r>
                                </w:p>
                              </w:tc>
                            </w:tr>
                            <w:tr>
                              <w:trPr>
                                <w:trHeight w:val="2552" w:hRule="atLeast"/>
                                <w:cantSplit w:val="true"/>
                              </w:trPr>
                              <w:tc>
                                <w:tcPr>
                                  <w:tcW w:w="46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tc>
                            </w:tr>
                          </w:tbl>
                        </w:txbxContent>
                      </wps:txbx>
                      <wps:bodyPr anchor="t">
                        <a:noAutofit/>
                      </wps:bodyPr>
                    </wps:wsp>
                  </a:graphicData>
                </a:graphic>
              </wp:anchor>
            </w:drawing>
          </mc:Choice>
          <mc:Fallback>
            <w:pict>
              <v:rect fillcolor="#FFFFFF" style="position:absolute;rotation:0;width:232.7pt;height:1.65pt;mso-wrap-distance-left:0pt;mso-wrap-distance-right:7.05pt;margin-top:9.85pt;mso-position-vertical-relative:text;margin-left:-5.65pt;mso-position-horizontal-relative:margin">
                <v:fill opacity="0f"/>
                <v:textbox>
                  <w:txbxContent>
                    <w:tbl>
                      <w:tblPr>
                        <w:tblW w:w="4654" w:type="dxa"/>
                        <w:jc w:val="left"/>
                        <w:tblInd w:w="108"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654"/>
                      </w:tblGrid>
                      <w:tr>
                        <w:trPr>
                          <w:cantSplit w:val="true"/>
                        </w:trPr>
                        <w:tc>
                          <w:tcPr>
                            <w:tcW w:w="4654"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Pour le Syndicat</w:t>
                              <w:tab/>
                            </w:r>
                          </w:p>
                        </w:tc>
                      </w:tr>
                      <w:tr>
                        <w:trPr>
                          <w:trHeight w:val="2552" w:hRule="atLeast"/>
                          <w:cantSplit w:val="true"/>
                        </w:trPr>
                        <w:tc>
                          <w:tcPr>
                            <w:tcW w:w="46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tc>
                      </w:tr>
                    </w:tbl>
                  </w:txbxContent>
                </v:textbox>
                <w10:wrap type="square"/>
              </v:rect>
            </w:pict>
          </mc:Fallback>
        </mc:AlternateContent>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r>
        <mc:AlternateContent>
          <mc:Choice Requires="wps">
            <w:drawing>
              <wp:anchor behindDoc="0" distT="0" distB="0" distL="89535" distR="0" simplePos="0" locked="0" layoutInCell="1" allowOverlap="1" relativeHeight="3">
                <wp:simplePos x="0" y="0"/>
                <wp:positionH relativeFrom="margin">
                  <wp:align>right</wp:align>
                </wp:positionH>
                <wp:positionV relativeFrom="paragraph">
                  <wp:posOffset>134620</wp:posOffset>
                </wp:positionV>
                <wp:extent cx="2955290" cy="2291080"/>
                <wp:effectExtent l="0" t="0" r="0" b="0"/>
                <wp:wrapSquare wrapText="bothSides"/>
                <wp:docPr id="2" name="Frame2"/>
                <a:graphic xmlns:a="http://schemas.openxmlformats.org/drawingml/2006/main">
                  <a:graphicData uri="http://schemas.microsoft.com/office/word/2010/wordprocessingShape">
                    <wps:wsp>
                      <wps:cNvSpPr txBox="1"/>
                      <wps:spPr>
                        <a:xfrm>
                          <a:off x="0" y="0"/>
                          <a:ext cx="2955290" cy="2291080"/>
                        </a:xfrm>
                        <a:prstGeom prst="rect"/>
                        <a:solidFill>
                          <a:srgbClr val="FFFFFF">
                            <a:alpha val="0"/>
                          </a:srgbClr>
                        </a:solidFill>
                      </wps:spPr>
                      <wps:txbx>
                        <w:txbxContent>
                          <w:tbl>
                            <w:tblPr>
                              <w:tblW w:w="4654" w:type="dxa"/>
                              <w:jc w:val="left"/>
                              <w:tblInd w:w="108"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654"/>
                            </w:tblGrid>
                            <w:tr>
                              <w:trPr>
                                <w:cantSplit w:val="true"/>
                              </w:trPr>
                              <w:tc>
                                <w:tcPr>
                                  <w:tcW w:w="4654"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Pour l’Entreprise</w:t>
                                    <w:tab/>
                                  </w:r>
                                </w:p>
                              </w:tc>
                            </w:tr>
                            <w:tr>
                              <w:trPr>
                                <w:trHeight w:val="2552" w:hRule="atLeast"/>
                                <w:cantSplit w:val="true"/>
                              </w:trPr>
                              <w:tc>
                                <w:tcPr>
                                  <w:tcW w:w="46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tc>
                            </w:tr>
                          </w:tbl>
                        </w:txbxContent>
                      </wps:txbx>
                      <wps:bodyPr anchor="t">
                        <a:noAutofit/>
                      </wps:bodyPr>
                    </wps:wsp>
                  </a:graphicData>
                </a:graphic>
              </wp:anchor>
            </w:drawing>
          </mc:Choice>
          <mc:Fallback>
            <w:pict>
              <v:rect fillcolor="#FFFFFF" style="position:absolute;rotation:0;width:232.7pt;height:180.4pt;mso-wrap-distance-left:7.05pt;mso-wrap-distance-right:0pt;margin-top:10.6pt;mso-position-vertical-relative:text;margin-left:249.2pt;mso-position-horizontal:right;mso-position-horizontal-relative:margin">
                <v:fill opacity="0f"/>
                <v:textbox>
                  <w:txbxContent>
                    <w:tbl>
                      <w:tblPr>
                        <w:tblW w:w="4654" w:type="dxa"/>
                        <w:jc w:val="left"/>
                        <w:tblInd w:w="108"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654"/>
                      </w:tblGrid>
                      <w:tr>
                        <w:trPr>
                          <w:cantSplit w:val="true"/>
                        </w:trPr>
                        <w:tc>
                          <w:tcPr>
                            <w:tcW w:w="4654"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Pour l’Entreprise</w:t>
                              <w:tab/>
                            </w:r>
                          </w:p>
                        </w:tc>
                      </w:tr>
                      <w:tr>
                        <w:trPr>
                          <w:trHeight w:val="2552" w:hRule="atLeast"/>
                          <w:cantSplit w:val="true"/>
                        </w:trPr>
                        <w:tc>
                          <w:tcPr>
                            <w:tcW w:w="46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tc>
                      </w:tr>
                    </w:tbl>
                  </w:txbxContent>
                </v:textbox>
                <w10:wrap type="square"/>
              </v:rect>
            </w:pict>
          </mc:Fallback>
        </mc:AlternateContent>
      </w:r>
    </w:p>
    <w:p>
      <w:pPr>
        <w:pStyle w:val="Normal"/>
        <w:spacing w:lineRule="auto" w:line="240" w:before="0" w:after="0"/>
        <w:contextualSpacing/>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sectPr>
      <w:headerReference w:type="default" r:id="rId2"/>
      <w:footerReference w:type="default" r:id="rId3"/>
      <w:type w:val="nextPage"/>
      <w:pgSz w:w="11906" w:h="16838"/>
      <w:pgMar w:left="1134" w:right="1134" w:header="68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639" w:leader="none"/>
      </w:tabs>
      <w:spacing w:lineRule="auto" w:line="240" w:before="0" w:after="0"/>
      <w:rPr>
        <w:rFonts w:ascii="Times New Roman" w:hAnsi="Times New Roman" w:eastAsia="Times New Roman" w:cs="Times New Roman"/>
        <w:sz w:val="16"/>
        <w:szCs w:val="20"/>
        <w:lang w:eastAsia="fr-FR"/>
      </w:rPr>
    </w:pPr>
    <w:r>
      <w:rPr>
        <w:rFonts w:eastAsia="Times New Roman" w:cs="Times New Roman" w:ascii="Times New Roman" w:hAnsi="Times New Roman"/>
        <w:b/>
        <w:sz w:val="18"/>
        <w:szCs w:val="20"/>
        <w:lang w:eastAsia="fr-FR"/>
      </w:rPr>
      <w:t>----------------------------------------------------------------------------------------------------------------------------------------------------------------Paraphes :</w:t>
    </w:r>
    <w:r>
      <w:rPr>
        <w:rFonts w:eastAsia="Times New Roman" w:cs="Times New Roman" w:ascii="Times New Roman" w:hAnsi="Times New Roman"/>
        <w:sz w:val="16"/>
        <w:szCs w:val="20"/>
        <w:lang w:eastAsia="fr-FR"/>
      </w:rPr>
      <w:tab/>
      <w:tab/>
      <w:t xml:space="preserve">Page n° </w:t>
    </w:r>
    <w:r>
      <w:rPr>
        <w:rFonts w:eastAsia="Times New Roman" w:cs="Times New Roman" w:ascii="Times New Roman" w:hAnsi="Times New Roman"/>
        <w:sz w:val="16"/>
        <w:szCs w:val="20"/>
        <w:lang w:eastAsia="fr-FR"/>
      </w:rPr>
      <w:fldChar w:fldCharType="begin"/>
    </w:r>
    <w:r>
      <w:instrText> PAGE </w:instrText>
    </w:r>
    <w:r>
      <w:fldChar w:fldCharType="separate"/>
    </w:r>
    <w:r>
      <w:t>2</w:t>
    </w:r>
    <w:r>
      <w:fldChar w:fldCharType="end"/>
    </w:r>
    <w:r>
      <w:rPr>
        <w:rFonts w:eastAsia="Times New Roman" w:cs="Times New Roman" w:ascii="Times New Roman" w:hAnsi="Times New Roman"/>
        <w:sz w:val="16"/>
        <w:szCs w:val="20"/>
        <w:lang w:eastAsia="fr-FR"/>
      </w:rPr>
      <w:t xml:space="preserve"> / </w:t>
    </w:r>
    <w:r>
      <w:rPr>
        <w:rFonts w:eastAsia="Times New Roman" w:cs="Times New Roman" w:ascii="Times New Roman" w:hAnsi="Times New Roman"/>
        <w:sz w:val="16"/>
        <w:szCs w:val="20"/>
        <w:lang w:eastAsia="fr-FR"/>
      </w:rPr>
      <w:fldChar w:fldCharType="begin"/>
    </w:r>
    <w:r>
      <w:instrText> NUMPAGES \* ARABIC </w:instrText>
    </w:r>
    <w:r>
      <w:fldChar w:fldCharType="separate"/>
    </w:r>
    <w:r>
      <w:t>2</w:t>
    </w:r>
    <w:r>
      <w:fldChar w:fldCharType="end"/>
    </w:r>
  </w:p>
  <w:p>
    <w:pPr>
      <w:pStyle w:val="Footer"/>
      <w:spacing w:before="0" w:after="200"/>
      <w:rPr>
        <w:rFonts w:ascii="Times New Roman" w:hAnsi="Times New Roman" w:eastAsia="Times New Roman" w:cs="Times New Roman"/>
        <w:sz w:val="16"/>
        <w:szCs w:val="20"/>
        <w:lang w:eastAsia="fr-FR"/>
      </w:rPr>
    </w:pPr>
    <w:r>
      <w:rPr>
        <w:rFonts w:eastAsia="Times New Roman" w:cs="Times New Roman" w:ascii="Times New Roman" w:hAnsi="Times New Roman"/>
        <w:sz w:val="16"/>
        <w:szCs w:val="20"/>
        <w:lang w:eastAsia="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2">
    <w:name w:val="Heading 2"/>
    <w:basedOn w:val="Normal"/>
    <w:next w:val="Normal"/>
    <w:qFormat/>
    <w:pPr>
      <w:keepNext w:val="true"/>
      <w:numPr>
        <w:ilvl w:val="1"/>
        <w:numId w:val="1"/>
      </w:numPr>
      <w:spacing w:lineRule="auto" w:line="240" w:before="0" w:after="0"/>
      <w:jc w:val="both"/>
      <w:outlineLvl w:val="1"/>
    </w:pPr>
    <w:rPr>
      <w:rFonts w:ascii="Times New Roman" w:hAnsi="Times New Roman" w:eastAsia="Times New Roman" w:cs="Times New Roman"/>
      <w:b/>
      <w:sz w:val="2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libri" w:hAnsi="Calibri"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eastAsia="Calibri"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color w:val="1F497D"/>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Calibri" w:hAnsi="Calibri" w:eastAsia="Calibri" w:cs="Times New Roman"/>
      <w:color w:val="1F497D"/>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color w:val="C0504D"/>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Calibri" w:hAnsi="Calibri"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Calibri" w:hAnsi="Calibri"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Calibri" w:hAnsi="Calibri" w:eastAsia="Calibri"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Calibri" w:hAnsi="Calibri"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color w:val="1F497D"/>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color w:val="1F497D"/>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color w:val="1F497D"/>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Policepardfaut">
    <w:name w:val="Police par défaut"/>
    <w:qFormat/>
    <w:rPr/>
  </w:style>
  <w:style w:type="character" w:styleId="SansinterligneCar">
    <w:name w:val="Sans interligne Car"/>
    <w:qFormat/>
    <w:rPr>
      <w:rFonts w:eastAsia="Times New Roman"/>
      <w:sz w:val="22"/>
      <w:szCs w:val="22"/>
      <w:lang w:val="fr-FR" w:bidi="ar-SA"/>
    </w:rPr>
  </w:style>
  <w:style w:type="character" w:styleId="TextedebullesCar">
    <w:name w:val="Texte de bulles Car"/>
    <w:qFormat/>
    <w:rPr>
      <w:rFonts w:ascii="Tahoma" w:hAnsi="Tahoma" w:cs="Tahoma"/>
      <w:sz w:val="16"/>
      <w:szCs w:val="16"/>
    </w:rPr>
  </w:style>
  <w:style w:type="character" w:styleId="EntteCar">
    <w:name w:val="En-tête Car"/>
    <w:qFormat/>
    <w:rPr>
      <w:sz w:val="22"/>
      <w:szCs w:val="22"/>
    </w:rPr>
  </w:style>
  <w:style w:type="character" w:styleId="PieddepageCar">
    <w:name w:val="Pied de page Car"/>
    <w:qFormat/>
    <w:rPr>
      <w:sz w:val="22"/>
      <w:szCs w:val="22"/>
    </w:rPr>
  </w:style>
  <w:style w:type="character" w:styleId="Txt">
    <w:name w:val="txt"/>
    <w:qFormat/>
    <w:rPr>
      <w:rFonts w:cs="Times New Roman"/>
    </w:rPr>
  </w:style>
  <w:style w:type="character" w:styleId="Titre2Car">
    <w:name w:val="Titre 2 Car"/>
    <w:qFormat/>
    <w:rPr>
      <w:rFonts w:ascii="Times New Roman" w:hAnsi="Times New Roman" w:eastAsia="Times New Roman" w:cs="Times New Roman"/>
      <w:b/>
      <w:sz w:val="24"/>
    </w:rPr>
  </w:style>
  <w:style w:type="character" w:styleId="CorpsdetexteCar">
    <w:name w:val="Corps de texte Car"/>
    <w:qFormat/>
    <w:rPr>
      <w:rFonts w:ascii="Times New Roman" w:hAnsi="Times New Roman" w:eastAsia="Times New Roman" w:cs="Times New Roman"/>
      <w:sz w:val="24"/>
    </w:rPr>
  </w:style>
  <w:style w:type="character" w:styleId="Corpsdetexte2Car">
    <w:name w:val="Corps de texte 2 Car"/>
    <w:qFormat/>
    <w:rPr>
      <w:rFonts w:ascii="Times New Roman" w:hAnsi="Times New Roman" w:eastAsia="Times New Roman" w:cs="Times New Roman"/>
      <w:i/>
      <w:color w:val="FF0000"/>
      <w:sz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40" w:before="0" w:after="0"/>
      <w:jc w:val="both"/>
    </w:pPr>
    <w:rPr>
      <w:rFonts w:ascii="Times New Roman" w:hAnsi="Times New Roman" w:eastAsia="Times New Roman" w:cs="Times New Roman"/>
      <w:sz w:val="24"/>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ansinterligne">
    <w:name w:val="Sans interligne"/>
    <w:qFormat/>
    <w:pPr>
      <w:widowControl/>
    </w:pPr>
    <w:rPr>
      <w:rFonts w:ascii="Calibri" w:hAnsi="Calibri" w:eastAsia="Times New Roman" w:cs="Times New Roman"/>
      <w:color w:val="auto"/>
      <w:sz w:val="22"/>
      <w:szCs w:val="22"/>
      <w:lang w:val="fr-FR" w:bidi="ar-SA" w:eastAsia="zh-CN"/>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Paragraphedeliste">
    <w:name w:val="Paragraphe de liste"/>
    <w:basedOn w:val="Normal"/>
    <w:qFormat/>
    <w:pPr>
      <w:spacing w:before="0" w:after="200"/>
      <w:ind w:left="720" w:hanging="0"/>
      <w:contextualSpacing/>
    </w:pPr>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paragraph" w:styleId="Corpsdetexte2">
    <w:name w:val="Corps de texte 2"/>
    <w:basedOn w:val="Normal"/>
    <w:qFormat/>
    <w:pPr>
      <w:spacing w:lineRule="auto" w:line="240" w:before="0" w:after="0"/>
    </w:pPr>
    <w:rPr>
      <w:rFonts w:ascii="Times New Roman" w:hAnsi="Times New Roman" w:eastAsia="Times New Roman" w:cs="Times New Roman"/>
      <w:i/>
      <w:color w:val="FF0000"/>
      <w:sz w:val="24"/>
      <w:szCs w:val="20"/>
    </w:rPr>
  </w:style>
  <w:style w:type="paragraph" w:styleId="BodyText2">
    <w:name w:val="Body Text 2"/>
    <w:basedOn w:val="Normal"/>
    <w:qFormat/>
    <w:pPr>
      <w:overflowPunct w:val="false"/>
      <w:autoSpaceDE w:val="false"/>
      <w:spacing w:lineRule="auto" w:line="240" w:before="0" w:after="0"/>
      <w:jc w:val="both"/>
      <w:textAlignment w:val="baseline"/>
    </w:pPr>
    <w:rPr>
      <w:rFonts w:ascii="Times New Roman" w:hAnsi="Times New Roman" w:eastAsia="Times New Roman" w:cs="Times New Roman"/>
      <w:b/>
      <w:sz w:val="24"/>
      <w:szCs w:val="20"/>
    </w:rPr>
  </w:style>
  <w:style w:type="paragraph" w:styleId="Default">
    <w:name w:val="Default"/>
    <w:qFormat/>
    <w:pPr>
      <w:widowControl/>
      <w:autoSpaceDE w:val="false"/>
    </w:pPr>
    <w:rPr>
      <w:rFonts w:ascii="Calibri" w:hAnsi="Calibri" w:eastAsia="Times New Roman" w:cs="Calibri"/>
      <w:color w:val="000000"/>
      <w:sz w:val="24"/>
      <w:szCs w:val="24"/>
      <w:lang w:val="fr-FR" w:bidi="ar-SA" w:eastAsia="zh-CN"/>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2019-01-08T11:09:00Z</dcterms:created>
  <dc:creator/>
  <dc:description/>
  <dc:language>en-GB</dc:language>
  <cp:lastModifiedBy/>
  <cp:lastPrinted>2020-04-30T17:13:00Z</cp:lastPrinted>
  <dcterms:modified xsi:type="dcterms:W3CDTF">2020-05-06T15:08:00Z</dcterms:modified>
  <cp:revision>18</cp:revision>
  <dc:subject/>
  <dc:title>Accord contrat de génération</dc:title>
</cp:coreProperties>
</file>