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pPr>
      <w:r>
        <w:rPr/>
      </w:r>
    </w:p>
    <w:p>
      <w:pPr>
        <w:pStyle w:val="Normal"/>
        <w:tabs>
          <w:tab w:val="left" w:pos="580" w:leader="none"/>
          <w:tab w:val="right" w:pos="7938" w:leader="none"/>
        </w:tabs>
        <w:rPr>
          <w:b/>
          <w:b/>
          <w:color w:val="000000"/>
          <w:u w:val="single"/>
        </w:rPr>
      </w:pPr>
      <w:r>
        <w:rPr>
          <w:b/>
          <w:color w:val="000000"/>
          <w:u w:val="single"/>
        </w:rPr>
      </w:r>
    </w:p>
    <w:p>
      <w:pPr>
        <w:pStyle w:val="Normal"/>
        <w:tabs>
          <w:tab w:val="left" w:pos="580" w:leader="none"/>
          <w:tab w:val="right" w:pos="7938" w:leader="none"/>
        </w:tabs>
        <w:rPr>
          <w:b/>
          <w:b/>
          <w:color w:val="000000"/>
          <w:u w:val="single"/>
        </w:rPr>
      </w:pPr>
      <w:r>
        <w:rPr>
          <w:b/>
          <w:color w:val="000000"/>
          <w:u w:val="single"/>
        </w:rPr>
      </w:r>
    </w:p>
    <w:p>
      <w:pPr>
        <w:pStyle w:val="Normal"/>
        <w:tabs>
          <w:tab w:val="left" w:pos="580" w:leader="none"/>
          <w:tab w:val="right" w:pos="7938" w:leader="none"/>
        </w:tabs>
        <w:rPr>
          <w:b/>
          <w:b/>
          <w:color w:val="000000"/>
          <w:u w:val="single"/>
        </w:rPr>
      </w:pPr>
      <w:r>
        <w:rPr>
          <w:b/>
          <w:color w:val="000000"/>
          <w:u w:val="single"/>
        </w:rPr>
      </w:r>
    </w:p>
    <w:p>
      <w:pPr>
        <w:pStyle w:val="Normal"/>
        <w:tabs>
          <w:tab w:val="left" w:pos="580" w:leader="none"/>
          <w:tab w:val="right" w:pos="7938" w:leader="none"/>
        </w:tabs>
        <w:rPr>
          <w:b/>
          <w:b/>
          <w:color w:val="000000"/>
          <w:u w:val="single"/>
        </w:rPr>
      </w:pPr>
      <w:r>
        <w:rPr>
          <w:b/>
          <w:color w:val="000000"/>
          <w:u w:val="single"/>
        </w:rPr>
      </w:r>
    </w:p>
    <w:p>
      <w:pPr>
        <w:pStyle w:val="Normal"/>
        <w:tabs>
          <w:tab w:val="left" w:pos="580" w:leader="none"/>
          <w:tab w:val="right" w:pos="7938" w:leader="none"/>
        </w:tabs>
        <w:rPr>
          <w:b/>
          <w:b/>
          <w:color w:val="000000"/>
          <w:u w:val="single"/>
        </w:rPr>
      </w:pPr>
      <w:r>
        <w:rPr>
          <w:b/>
          <w:color w:val="000000"/>
          <w:u w:val="single"/>
        </w:rPr>
      </w:r>
    </w:p>
    <w:p>
      <w:pPr>
        <w:pStyle w:val="Normal"/>
        <w:tabs>
          <w:tab w:val="left" w:pos="580" w:leader="none"/>
          <w:tab w:val="right" w:pos="7938" w:leader="none"/>
        </w:tabs>
        <w:rPr>
          <w:b/>
          <w:b/>
          <w:color w:val="000000"/>
          <w:u w:val="single"/>
        </w:rPr>
      </w:pPr>
      <w:r>
        <w:rPr>
          <w:b/>
          <w:color w:val="000000"/>
          <w:u w:val="single"/>
        </w:rPr>
      </w:r>
    </w:p>
    <w:p>
      <w:pPr>
        <w:pStyle w:val="Normal"/>
        <w:tabs>
          <w:tab w:val="left" w:pos="580" w:leader="none"/>
          <w:tab w:val="right" w:pos="7938" w:leader="none"/>
        </w:tabs>
        <w:rPr>
          <w:b/>
          <w:b/>
          <w:color w:val="000000"/>
          <w:u w:val="single"/>
        </w:rPr>
      </w:pPr>
      <w:r>
        <w:rPr>
          <w:b/>
          <w:color w:val="000000"/>
          <w:u w:val="single"/>
        </w:rPr>
      </w:r>
    </w:p>
    <w:p>
      <w:pPr>
        <w:pStyle w:val="Heading7"/>
        <w:numPr>
          <w:ilvl w:val="6"/>
          <w:numId w:val="1"/>
        </w:numPr>
        <w:rPr>
          <w:u w:val="none"/>
        </w:rPr>
      </w:pPr>
      <w:r>
        <w:rPr>
          <w:u w:val="none"/>
        </w:rPr>
        <w:t>RÉGIE DÉPARTEMENTALE DES</w:t>
      </w:r>
    </w:p>
    <w:p>
      <w:pPr>
        <w:pStyle w:val="Normal"/>
        <w:tabs>
          <w:tab w:val="left" w:pos="580" w:leader="none"/>
          <w:tab w:val="right" w:pos="7938" w:leader="none"/>
        </w:tabs>
        <w:spacing w:lineRule="auto" w:line="360"/>
        <w:jc w:val="center"/>
        <w:rPr>
          <w:rFonts w:ascii="Tahoma" w:hAnsi="Tahoma" w:cs="Tahoma"/>
          <w:b/>
          <w:b/>
          <w:color w:val="000000"/>
          <w:sz w:val="28"/>
        </w:rPr>
      </w:pPr>
      <w:r>
        <w:rPr>
          <w:rFonts w:cs="Tahoma" w:ascii="Tahoma" w:hAnsi="Tahoma"/>
          <w:b/>
          <w:color w:val="000000"/>
          <w:sz w:val="28"/>
        </w:rPr>
        <w:t>PASSAGES D’EAU DE LA VENDÉE</w:t>
      </w:r>
    </w:p>
    <w:p>
      <w:pPr>
        <w:pStyle w:val="Normal"/>
        <w:tabs>
          <w:tab w:val="left" w:pos="580" w:leader="none"/>
          <w:tab w:val="right" w:pos="7938" w:leader="none"/>
        </w:tabs>
        <w:spacing w:lineRule="auto" w:line="360"/>
        <w:jc w:val="center"/>
        <w:rPr>
          <w:rFonts w:ascii="Tahoma" w:hAnsi="Tahoma" w:cs="Tahoma"/>
          <w:b/>
          <w:b/>
          <w:color w:val="000000"/>
          <w:sz w:val="28"/>
        </w:rPr>
      </w:pPr>
      <w:r>
        <w:rPr>
          <w:rFonts w:cs="Tahoma" w:ascii="Tahoma" w:hAnsi="Tahoma"/>
          <w:b/>
          <w:color w:val="000000"/>
          <w:sz w:val="28"/>
        </w:rPr>
        <w:t>Service Public ILE D’YEU / FROMENTINE</w:t>
      </w:r>
    </w:p>
    <w:p>
      <w:pPr>
        <w:pStyle w:val="Normal"/>
        <w:tabs>
          <w:tab w:val="left" w:pos="580" w:leader="none"/>
          <w:tab w:val="right" w:pos="7938" w:leader="none"/>
        </w:tabs>
        <w:spacing w:lineRule="auto" w:line="360"/>
        <w:jc w:val="center"/>
        <w:rPr>
          <w:rFonts w:ascii="Tahoma" w:hAnsi="Tahoma" w:cs="Tahoma"/>
          <w:b/>
          <w:b/>
          <w:color w:val="000000"/>
          <w:sz w:val="28"/>
        </w:rPr>
      </w:pPr>
      <w:r>
        <w:rPr>
          <w:rFonts w:cs="Tahoma" w:ascii="Tahoma" w:hAnsi="Tahoma"/>
          <w:b/>
          <w:color w:val="000000"/>
          <w:sz w:val="28"/>
        </w:rPr>
        <w:t>ACCORD PARTICULIER</w:t>
      </w:r>
    </w:p>
    <w:p>
      <w:pPr>
        <w:pStyle w:val="Normal"/>
        <w:tabs>
          <w:tab w:val="left" w:pos="580" w:leader="none"/>
          <w:tab w:val="right" w:pos="7938" w:leader="none"/>
        </w:tabs>
        <w:spacing w:lineRule="auto" w:line="360"/>
        <w:jc w:val="center"/>
        <w:rPr>
          <w:rFonts w:ascii="Tahoma" w:hAnsi="Tahoma" w:cs="Tahoma"/>
          <w:b/>
          <w:b/>
          <w:color w:val="000000"/>
          <w:sz w:val="28"/>
          <w:u w:val="single"/>
        </w:rPr>
      </w:pPr>
      <w:r>
        <w:rPr>
          <w:rFonts w:cs="Tahoma" w:ascii="Tahoma" w:hAnsi="Tahoma"/>
          <w:b/>
          <w:color w:val="000000"/>
          <w:sz w:val="28"/>
        </w:rPr>
        <w:t>Personnel Navigant Officiers</w:t>
      </w:r>
    </w:p>
    <w:p>
      <w:pPr>
        <w:pStyle w:val="Normal"/>
        <w:tabs>
          <w:tab w:val="left" w:pos="580" w:leader="none"/>
          <w:tab w:val="right" w:pos="7938" w:leader="none"/>
        </w:tabs>
        <w:jc w:val="center"/>
        <w:rPr>
          <w:rFonts w:ascii="Tahoma" w:hAnsi="Tahoma" w:cs="Tahoma"/>
          <w:b/>
          <w:b/>
          <w:color w:val="000000"/>
          <w:sz w:val="28"/>
          <w:u w:val="single"/>
        </w:rPr>
      </w:pPr>
      <w:r>
        <w:rPr>
          <w:rFonts w:cs="Tahoma" w:ascii="Tahoma" w:hAnsi="Tahoma"/>
          <w:b/>
          <w:color w:val="000000"/>
          <w:sz w:val="28"/>
          <w:u w:val="single"/>
        </w:rPr>
        <w:t>Avenant n° 7</w:t>
      </w:r>
    </w:p>
    <w:p>
      <w:pPr>
        <w:pStyle w:val="Normal"/>
        <w:tabs>
          <w:tab w:val="left" w:pos="580" w:leader="none"/>
          <w:tab w:val="right" w:pos="7938" w:leader="none"/>
        </w:tabs>
        <w:rPr>
          <w:rFonts w:ascii="Tahoma" w:hAnsi="Tahoma" w:cs="Tahoma"/>
          <w:b/>
          <w:b/>
          <w:color w:val="000000"/>
          <w:sz w:val="28"/>
          <w:u w:val="single"/>
        </w:rPr>
      </w:pPr>
      <w:r>
        <w:rPr>
          <w:rFonts w:cs="Tahoma" w:ascii="Tahoma" w:hAnsi="Tahoma"/>
          <w:b/>
          <w:color w:val="000000"/>
          <w:sz w:val="28"/>
          <w:u w:val="single"/>
        </w:rPr>
      </w:r>
    </w:p>
    <w:p>
      <w:pPr>
        <w:pStyle w:val="Normal"/>
        <w:tabs>
          <w:tab w:val="left" w:pos="580" w:leader="none"/>
          <w:tab w:val="right" w:pos="7938" w:leader="none"/>
        </w:tabs>
        <w:rPr>
          <w:rFonts w:ascii="Tahoma" w:hAnsi="Tahoma" w:cs="Tahoma"/>
          <w:b/>
          <w:b/>
          <w:color w:val="000000"/>
          <w:sz w:val="28"/>
          <w:u w:val="single"/>
        </w:rPr>
      </w:pPr>
      <w:r>
        <w:rPr>
          <w:rFonts w:cs="Tahoma" w:ascii="Tahoma" w:hAnsi="Tahoma"/>
          <w:b/>
          <w:color w:val="00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b/>
          <w:b/>
          <w:color w:val="FF0000"/>
          <w:sz w:val="28"/>
          <w:u w:val="single"/>
        </w:rPr>
      </w:pPr>
      <w:r>
        <w:rPr>
          <w:rFonts w:cs="Tahoma" w:ascii="Tahoma" w:hAnsi="Tahoma"/>
          <w:b/>
          <w:color w:val="FF0000"/>
          <w:sz w:val="28"/>
          <w:u w:val="single"/>
        </w:rPr>
      </w:r>
    </w:p>
    <w:p>
      <w:pPr>
        <w:pStyle w:val="Normal"/>
        <w:tabs>
          <w:tab w:val="left" w:pos="580" w:leader="none"/>
          <w:tab w:val="right" w:pos="7938" w:leader="none"/>
        </w:tabs>
        <w:rPr>
          <w:rFonts w:ascii="Tahoma" w:hAnsi="Tahoma" w:cs="Tahoma"/>
          <w:caps/>
          <w:sz w:val="22"/>
        </w:rPr>
      </w:pPr>
      <w:r>
        <w:rPr>
          <w:rFonts w:cs="Tahoma" w:ascii="Tahoma" w:hAnsi="Tahoma"/>
          <w:caps/>
          <w:sz w:val="22"/>
        </w:rPr>
        <w:t>Entre :</w:t>
      </w:r>
    </w:p>
    <w:p>
      <w:pPr>
        <w:pStyle w:val="Normal"/>
        <w:tabs>
          <w:tab w:val="left" w:pos="580" w:leader="none"/>
          <w:tab w:val="right" w:pos="7938" w:leader="none"/>
        </w:tabs>
        <w:rPr>
          <w:rFonts w:ascii="Tahoma" w:hAnsi="Tahoma" w:cs="Tahoma"/>
          <w:caps/>
          <w:sz w:val="18"/>
          <w:szCs w:val="18"/>
        </w:rPr>
      </w:pPr>
      <w:r>
        <w:rPr>
          <w:rFonts w:cs="Tahoma" w:ascii="Tahoma" w:hAnsi="Tahoma"/>
          <w:caps/>
          <w:sz w:val="18"/>
          <w:szCs w:val="18"/>
        </w:rPr>
      </w:r>
    </w:p>
    <w:p>
      <w:pPr>
        <w:pStyle w:val="Normal"/>
        <w:jc w:val="both"/>
        <w:rPr>
          <w:rFonts w:ascii="Tahoma" w:hAnsi="Tahoma" w:cs="Tahoma"/>
          <w:sz w:val="22"/>
        </w:rPr>
      </w:pPr>
      <w:r>
        <w:rPr>
          <w:rFonts w:cs="Tahoma" w:ascii="Tahoma" w:hAnsi="Tahoma"/>
          <w:sz w:val="22"/>
        </w:rPr>
        <w:t xml:space="preserve">la </w:t>
      </w:r>
      <w:r>
        <w:rPr>
          <w:rFonts w:cs="Tahoma" w:ascii="Tahoma" w:hAnsi="Tahoma"/>
          <w:b/>
          <w:sz w:val="22"/>
        </w:rPr>
        <w:t>RÉGIE DÉPARTEMENTALE DES PASSAGES D’EAU DE LA VENDÉE</w:t>
      </w:r>
      <w:r>
        <w:rPr>
          <w:rFonts w:cs="Tahoma" w:ascii="Tahoma" w:hAnsi="Tahoma"/>
          <w:sz w:val="22"/>
        </w:rPr>
        <w:t xml:space="preserve"> (RDPEV) dont le siège est à PORT FROMENTINE - 85550 LA BARRE DES MONTS, agissant par l’intermédiaire                         de M. xxxxxxxxx d’une part,</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t>et</w:t>
      </w:r>
    </w:p>
    <w:p>
      <w:pPr>
        <w:pStyle w:val="Normal"/>
        <w:jc w:val="both"/>
        <w:rPr>
          <w:rFonts w:ascii="Tahoma" w:hAnsi="Tahoma" w:cs="Tahoma"/>
          <w:sz w:val="18"/>
          <w:szCs w:val="18"/>
        </w:rPr>
      </w:pPr>
      <w:r>
        <w:rPr>
          <w:rFonts w:cs="Tahoma" w:ascii="Tahoma" w:hAnsi="Tahoma"/>
          <w:sz w:val="18"/>
          <w:szCs w:val="18"/>
        </w:rPr>
      </w:r>
    </w:p>
    <w:p>
      <w:pPr>
        <w:pStyle w:val="Normal"/>
        <w:jc w:val="both"/>
        <w:rPr/>
      </w:pPr>
      <w:r>
        <w:rPr>
          <w:rFonts w:cs="Tahoma" w:ascii="Tahoma" w:hAnsi="Tahoma"/>
          <w:sz w:val="22"/>
        </w:rPr>
        <w:t xml:space="preserve">les </w:t>
      </w:r>
      <w:r>
        <w:rPr>
          <w:rFonts w:cs="Tahoma" w:ascii="Tahoma" w:hAnsi="Tahoma"/>
          <w:b/>
          <w:sz w:val="22"/>
        </w:rPr>
        <w:t>Délégués Syndicaux des organisations CFDT et CGT</w:t>
      </w:r>
      <w:r>
        <w:rPr>
          <w:rFonts w:cs="Tahoma" w:ascii="Tahoma" w:hAnsi="Tahoma"/>
          <w:sz w:val="22"/>
        </w:rPr>
        <w:t xml:space="preserve"> représentant le Personnel </w:t>
      </w:r>
      <w:r>
        <w:rPr>
          <w:rFonts w:cs="Tahoma" w:ascii="Tahoma" w:hAnsi="Tahoma"/>
          <w:color w:val="000000"/>
          <w:sz w:val="22"/>
        </w:rPr>
        <w:t>Navigant Officiers</w:t>
      </w:r>
      <w:r>
        <w:rPr>
          <w:rFonts w:cs="Tahoma" w:ascii="Tahoma" w:hAnsi="Tahoma"/>
          <w:color w:val="0000FF"/>
          <w:sz w:val="22"/>
        </w:rPr>
        <w:t xml:space="preserve"> </w:t>
      </w:r>
      <w:r>
        <w:rPr>
          <w:rFonts w:cs="Tahoma" w:ascii="Tahoma" w:hAnsi="Tahoma"/>
          <w:sz w:val="22"/>
        </w:rPr>
        <w:t>des navires affectés au service ILE D’YEU - CONTINENT, d’autre part,</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caps/>
          <w:sz w:val="22"/>
        </w:rPr>
      </w:pPr>
      <w:r>
        <w:rPr>
          <w:rFonts w:cs="Tahoma" w:ascii="Tahoma" w:hAnsi="Tahoma"/>
          <w:caps/>
          <w:sz w:val="22"/>
        </w:rPr>
        <w:t>il a été convenu ce qui suit :</w:t>
      </w:r>
    </w:p>
    <w:p>
      <w:pPr>
        <w:pStyle w:val="Normal"/>
        <w:jc w:val="both"/>
        <w:rPr>
          <w:rFonts w:ascii="Tahoma" w:hAnsi="Tahoma" w:cs="Tahoma"/>
          <w:caps/>
          <w:sz w:val="22"/>
        </w:rPr>
      </w:pPr>
      <w:r>
        <w:rPr>
          <w:rFonts w:cs="Tahoma" w:ascii="Tahoma" w:hAnsi="Tahoma"/>
          <w:caps/>
          <w:sz w:val="22"/>
        </w:rPr>
      </w:r>
    </w:p>
    <w:p>
      <w:pPr>
        <w:pStyle w:val="Heading9"/>
        <w:numPr>
          <w:ilvl w:val="8"/>
          <w:numId w:val="1"/>
        </w:numPr>
        <w:rPr/>
      </w:pPr>
      <w:r>
        <w:rPr/>
        <w:t>Article 1 :</w:t>
      </w:r>
    </w:p>
    <w:p>
      <w:pPr>
        <w:pStyle w:val="Normal"/>
        <w:jc w:val="both"/>
        <w:rPr/>
      </w:pPr>
      <w:r>
        <w:rPr>
          <w:rFonts w:cs="Tahoma" w:ascii="Tahoma" w:hAnsi="Tahoma"/>
          <w:sz w:val="22"/>
        </w:rPr>
        <w:tab/>
        <w:t xml:space="preserve">Suite aux dernières négociations, il a été convenu de compléter </w:t>
      </w:r>
      <w:r>
        <w:rPr>
          <w:rFonts w:cs="Tahoma" w:ascii="Tahoma" w:hAnsi="Tahoma"/>
          <w:sz w:val="20"/>
        </w:rPr>
        <w:t>l’</w:t>
      </w:r>
      <w:r>
        <w:rPr>
          <w:rFonts w:cs="Tahoma" w:ascii="Tahoma" w:hAnsi="Tahoma"/>
          <w:b/>
          <w:sz w:val="20"/>
        </w:rPr>
        <w:t xml:space="preserve">article 14 « FRANCHISE DE PASSAGE » </w:t>
      </w:r>
      <w:r>
        <w:rPr>
          <w:rFonts w:cs="Tahoma" w:ascii="Tahoma" w:hAnsi="Tahoma"/>
          <w:sz w:val="22"/>
        </w:rPr>
        <w:t>de l’accord particulier, signé le 15 Mai 2006</w:t>
      </w:r>
      <w:r>
        <w:rPr>
          <w:rFonts w:cs="Tahoma" w:ascii="Tahoma" w:hAnsi="Tahoma"/>
          <w:sz w:val="22"/>
          <w:szCs w:val="22"/>
        </w:rPr>
        <w:t>. Par conséquent, l’article 14 est remplacé par le texte suivant :</w:t>
      </w:r>
    </w:p>
    <w:p>
      <w:pPr>
        <w:pStyle w:val="Normal"/>
        <w:jc w:val="both"/>
        <w:rPr>
          <w:rFonts w:ascii="Tahoma" w:hAnsi="Tahoma" w:cs="Tahoma"/>
          <w:sz w:val="14"/>
          <w:szCs w:val="14"/>
        </w:rPr>
      </w:pPr>
      <w:r>
        <w:rPr>
          <w:rFonts w:cs="Tahoma" w:ascii="Tahoma" w:hAnsi="Tahoma"/>
          <w:sz w:val="14"/>
          <w:szCs w:val="14"/>
        </w:rPr>
      </w:r>
    </w:p>
    <w:p>
      <w:pPr>
        <w:pStyle w:val="Normal"/>
        <w:jc w:val="both"/>
        <w:rPr>
          <w:rFonts w:ascii="Tahoma" w:hAnsi="Tahoma" w:cs="Tahoma"/>
          <w:sz w:val="14"/>
          <w:szCs w:val="14"/>
        </w:rPr>
      </w:pPr>
      <w:r>
        <w:rPr>
          <w:rFonts w:cs="Tahoma" w:ascii="Tahoma" w:hAnsi="Tahoma"/>
          <w:sz w:val="14"/>
          <w:szCs w:val="14"/>
        </w:rPr>
      </w:r>
    </w:p>
    <w:p>
      <w:pPr>
        <w:pStyle w:val="Normal"/>
        <w:jc w:val="both"/>
        <w:rPr/>
      </w:pPr>
      <w:r>
        <w:rPr>
          <w:rFonts w:cs="Tahoma" w:ascii="Tahoma" w:hAnsi="Tahoma"/>
          <w:b/>
          <w:sz w:val="20"/>
        </w:rPr>
        <w:tab/>
        <w:t>Article 14. FRANCHISE DE PASSAGE</w:t>
      </w:r>
    </w:p>
    <w:p>
      <w:pPr>
        <w:pStyle w:val="Normal"/>
        <w:jc w:val="both"/>
        <w:rPr>
          <w:rFonts w:ascii="Tahoma" w:hAnsi="Tahoma" w:cs="Tahoma"/>
          <w:b/>
          <w:b/>
          <w:sz w:val="14"/>
          <w:szCs w:val="14"/>
        </w:rPr>
      </w:pPr>
      <w:r>
        <w:rPr>
          <w:rFonts w:cs="Tahoma" w:ascii="Tahoma" w:hAnsi="Tahoma"/>
          <w:b/>
          <w:sz w:val="14"/>
          <w:szCs w:val="14"/>
        </w:rPr>
      </w:r>
    </w:p>
    <w:p>
      <w:pPr>
        <w:pStyle w:val="Normal"/>
        <w:jc w:val="both"/>
        <w:rPr/>
      </w:pPr>
      <w:r>
        <w:rPr>
          <w:rFonts w:cs="Tahoma" w:ascii="Tahoma" w:hAnsi="Tahoma"/>
          <w:sz w:val="20"/>
        </w:rPr>
        <w:tab/>
        <w:t>La circulation gratuite est accordée selon les critères ci-après :</w:t>
      </w:r>
    </w:p>
    <w:p>
      <w:pPr>
        <w:pStyle w:val="Normal"/>
        <w:jc w:val="both"/>
        <w:rPr>
          <w:rFonts w:ascii="Tahoma" w:hAnsi="Tahoma" w:cs="Tahoma"/>
          <w:sz w:val="14"/>
          <w:szCs w:val="14"/>
        </w:rPr>
      </w:pPr>
      <w:r>
        <w:rPr>
          <w:rFonts w:cs="Tahoma" w:ascii="Tahoma" w:hAnsi="Tahoma"/>
          <w:sz w:val="14"/>
          <w:szCs w:val="14"/>
        </w:rPr>
      </w:r>
    </w:p>
    <w:p>
      <w:pPr>
        <w:pStyle w:val="Normal"/>
        <w:spacing w:lineRule="auto" w:line="360"/>
        <w:jc w:val="both"/>
        <w:rPr/>
      </w:pPr>
      <w:r>
        <w:rPr>
          <w:rFonts w:cs="Tahoma" w:ascii="Tahoma" w:hAnsi="Tahoma"/>
          <w:sz w:val="20"/>
        </w:rPr>
        <w:tab/>
        <w:t xml:space="preserve">    </w:t>
      </w:r>
      <w:r>
        <w:rPr>
          <w:rFonts w:cs="Tahoma" w:ascii="Tahoma" w:hAnsi="Tahoma"/>
          <w:b/>
          <w:sz w:val="20"/>
        </w:rPr>
        <w:t>Section 14.1. Personnes</w:t>
      </w:r>
    </w:p>
    <w:p>
      <w:pPr>
        <w:pStyle w:val="Normal"/>
        <w:numPr>
          <w:ilvl w:val="0"/>
          <w:numId w:val="2"/>
        </w:numPr>
        <w:ind w:left="1560" w:hanging="142"/>
        <w:jc w:val="both"/>
        <w:rPr>
          <w:rFonts w:ascii="Tahoma" w:hAnsi="Tahoma" w:cs="Tahoma"/>
          <w:sz w:val="20"/>
        </w:rPr>
      </w:pPr>
      <w:r>
        <w:rPr>
          <w:rFonts w:eastAsia="Tahoma" w:cs="Tahoma" w:ascii="Tahoma" w:hAnsi="Tahoma"/>
          <w:sz w:val="20"/>
        </w:rPr>
        <w:t xml:space="preserve"> </w:t>
      </w:r>
      <w:r>
        <w:rPr>
          <w:rFonts w:cs="Tahoma" w:ascii="Tahoma" w:hAnsi="Tahoma"/>
          <w:sz w:val="20"/>
        </w:rPr>
        <w:t>aux employés de la R.D.P.E.V. faisant partie de l’effectif permanent, à leurs conjoints                    ou concubins et à leurs enfants à charge,</w:t>
      </w:r>
    </w:p>
    <w:p>
      <w:pPr>
        <w:pStyle w:val="Normal"/>
        <w:ind w:left="1560" w:hanging="0"/>
        <w:jc w:val="both"/>
        <w:rPr>
          <w:rFonts w:ascii="Tahoma" w:hAnsi="Tahoma" w:cs="Tahoma"/>
          <w:sz w:val="14"/>
          <w:szCs w:val="14"/>
        </w:rPr>
      </w:pPr>
      <w:r>
        <w:rPr>
          <w:rFonts w:cs="Tahoma" w:ascii="Tahoma" w:hAnsi="Tahoma"/>
          <w:sz w:val="14"/>
          <w:szCs w:val="14"/>
        </w:rPr>
      </w:r>
    </w:p>
    <w:p>
      <w:pPr>
        <w:pStyle w:val="Normal"/>
        <w:numPr>
          <w:ilvl w:val="0"/>
          <w:numId w:val="2"/>
        </w:numPr>
        <w:ind w:left="1560" w:hanging="142"/>
        <w:jc w:val="both"/>
        <w:rPr>
          <w:rFonts w:ascii="Tahoma" w:hAnsi="Tahoma" w:cs="Tahoma"/>
          <w:sz w:val="20"/>
        </w:rPr>
      </w:pPr>
      <w:r>
        <w:rPr>
          <w:rFonts w:eastAsia="Tahoma" w:cs="Tahoma" w:ascii="Tahoma" w:hAnsi="Tahoma"/>
          <w:sz w:val="20"/>
        </w:rPr>
        <w:t xml:space="preserve"> </w:t>
      </w:r>
      <w:r>
        <w:rPr>
          <w:rFonts w:cs="Tahoma" w:ascii="Tahoma" w:hAnsi="Tahoma"/>
          <w:sz w:val="20"/>
        </w:rPr>
        <w:t>aux employés de la R.D.P.E.V, dont le Contrat à Durée Déterminée dépasse six mois,                                 à leurs conjoints ou concubins et à leurs enfants à charge,</w:t>
      </w:r>
    </w:p>
    <w:p>
      <w:pPr>
        <w:pStyle w:val="Normal"/>
        <w:ind w:left="1560" w:hanging="0"/>
        <w:jc w:val="both"/>
        <w:rPr>
          <w:rFonts w:ascii="Tahoma" w:hAnsi="Tahoma" w:cs="Tahoma"/>
          <w:sz w:val="14"/>
          <w:szCs w:val="14"/>
        </w:rPr>
      </w:pPr>
      <w:r>
        <w:rPr>
          <w:rFonts w:cs="Tahoma" w:ascii="Tahoma" w:hAnsi="Tahoma"/>
          <w:sz w:val="14"/>
          <w:szCs w:val="14"/>
        </w:rPr>
      </w:r>
    </w:p>
    <w:p>
      <w:pPr>
        <w:pStyle w:val="Normal"/>
        <w:numPr>
          <w:ilvl w:val="0"/>
          <w:numId w:val="2"/>
        </w:numPr>
        <w:ind w:left="1560" w:hanging="142"/>
        <w:jc w:val="both"/>
        <w:rPr>
          <w:rFonts w:ascii="Tahoma" w:hAnsi="Tahoma" w:cs="Tahoma"/>
          <w:sz w:val="20"/>
        </w:rPr>
      </w:pPr>
      <w:r>
        <w:rPr>
          <w:rFonts w:eastAsia="Tahoma" w:cs="Tahoma" w:ascii="Tahoma" w:hAnsi="Tahoma"/>
          <w:sz w:val="20"/>
        </w:rPr>
        <w:t xml:space="preserve"> </w:t>
      </w:r>
      <w:r>
        <w:rPr>
          <w:rFonts w:cs="Tahoma" w:ascii="Tahoma" w:hAnsi="Tahoma"/>
          <w:sz w:val="20"/>
        </w:rPr>
        <w:t>aux retraités ayant effectué au moins dix ans de service (ou les cinq dernières années)                          à la R.D.P.E.V. et à leurs conjoints ou concubins (la R.D.P.E.V. étant le dernier employeur),</w:t>
      </w:r>
    </w:p>
    <w:p>
      <w:pPr>
        <w:pStyle w:val="Normal"/>
        <w:ind w:left="1560" w:hanging="0"/>
        <w:jc w:val="both"/>
        <w:rPr>
          <w:rFonts w:ascii="Tahoma" w:hAnsi="Tahoma" w:cs="Tahoma"/>
          <w:sz w:val="14"/>
          <w:szCs w:val="14"/>
        </w:rPr>
      </w:pPr>
      <w:r>
        <w:rPr>
          <w:rFonts w:cs="Tahoma" w:ascii="Tahoma" w:hAnsi="Tahoma"/>
          <w:sz w:val="14"/>
          <w:szCs w:val="14"/>
        </w:rPr>
      </w:r>
    </w:p>
    <w:p>
      <w:pPr>
        <w:pStyle w:val="Normal"/>
        <w:numPr>
          <w:ilvl w:val="0"/>
          <w:numId w:val="2"/>
        </w:numPr>
        <w:ind w:left="1560" w:hanging="142"/>
        <w:jc w:val="both"/>
        <w:rPr>
          <w:rFonts w:ascii="Tahoma" w:hAnsi="Tahoma" w:cs="Tahoma"/>
          <w:sz w:val="20"/>
        </w:rPr>
      </w:pPr>
      <w:r>
        <w:rPr>
          <w:rFonts w:eastAsia="Tahoma" w:cs="Tahoma" w:ascii="Tahoma" w:hAnsi="Tahoma"/>
          <w:sz w:val="20"/>
        </w:rPr>
        <w:t xml:space="preserve"> </w:t>
      </w:r>
      <w:r>
        <w:rPr>
          <w:rFonts w:cs="Tahoma" w:ascii="Tahoma" w:hAnsi="Tahoma"/>
          <w:sz w:val="20"/>
        </w:rPr>
        <w:t>aux employés victimes d’accident du travail qui doivent de ce fait quitter la R.D.P.E.V.,                    à leurs conjoints ou concubins et à leurs enfants à charge</w:t>
      </w:r>
    </w:p>
    <w:p>
      <w:pPr>
        <w:pStyle w:val="Normal"/>
        <w:ind w:left="1560" w:hanging="0"/>
        <w:jc w:val="both"/>
        <w:rPr>
          <w:rFonts w:ascii="Tahoma" w:hAnsi="Tahoma" w:cs="Tahoma"/>
          <w:sz w:val="14"/>
          <w:szCs w:val="14"/>
        </w:rPr>
      </w:pPr>
      <w:r>
        <w:rPr>
          <w:rFonts w:cs="Tahoma" w:ascii="Tahoma" w:hAnsi="Tahoma"/>
          <w:sz w:val="14"/>
          <w:szCs w:val="14"/>
        </w:rPr>
      </w:r>
    </w:p>
    <w:p>
      <w:pPr>
        <w:pStyle w:val="Normal"/>
        <w:numPr>
          <w:ilvl w:val="0"/>
          <w:numId w:val="2"/>
        </w:numPr>
        <w:ind w:left="1560" w:hanging="142"/>
        <w:jc w:val="both"/>
        <w:rPr>
          <w:rFonts w:ascii="Tahoma" w:hAnsi="Tahoma" w:cs="Tahoma"/>
          <w:sz w:val="20"/>
        </w:rPr>
      </w:pPr>
      <w:r>
        <w:rPr>
          <w:rFonts w:eastAsia="Tahoma" w:cs="Tahoma" w:ascii="Tahoma" w:hAnsi="Tahoma"/>
          <w:sz w:val="20"/>
        </w:rPr>
        <w:t xml:space="preserve"> </w:t>
      </w:r>
      <w:r>
        <w:rPr>
          <w:rFonts w:cs="Tahoma" w:ascii="Tahoma" w:hAnsi="Tahoma"/>
          <w:sz w:val="20"/>
        </w:rPr>
        <w:t>aux veuves et veufs d’employés de la R.D.P.E.V. et à leurs enfants à charge</w:t>
      </w:r>
    </w:p>
    <w:p>
      <w:pPr>
        <w:pStyle w:val="Normal"/>
        <w:ind w:left="1560" w:hanging="0"/>
        <w:jc w:val="both"/>
        <w:rPr>
          <w:rFonts w:ascii="Tahoma" w:hAnsi="Tahoma" w:cs="Tahoma"/>
          <w:sz w:val="14"/>
          <w:szCs w:val="14"/>
        </w:rPr>
      </w:pPr>
      <w:r>
        <w:rPr>
          <w:rFonts w:cs="Tahoma" w:ascii="Tahoma" w:hAnsi="Tahoma"/>
          <w:sz w:val="14"/>
          <w:szCs w:val="14"/>
        </w:rPr>
      </w:r>
    </w:p>
    <w:p>
      <w:pPr>
        <w:pStyle w:val="Normal"/>
        <w:numPr>
          <w:ilvl w:val="0"/>
          <w:numId w:val="2"/>
        </w:numPr>
        <w:ind w:left="1560" w:hanging="142"/>
        <w:jc w:val="both"/>
        <w:rPr>
          <w:rFonts w:ascii="Tahoma" w:hAnsi="Tahoma" w:cs="Tahoma"/>
          <w:sz w:val="20"/>
        </w:rPr>
      </w:pPr>
      <w:r>
        <w:rPr>
          <w:rFonts w:eastAsia="Tahoma" w:cs="Tahoma" w:ascii="Tahoma" w:hAnsi="Tahoma"/>
          <w:sz w:val="20"/>
        </w:rPr>
        <w:t xml:space="preserve"> </w:t>
      </w:r>
      <w:r>
        <w:rPr>
          <w:rFonts w:cs="Tahoma" w:ascii="Tahoma" w:hAnsi="Tahoma"/>
          <w:sz w:val="20"/>
        </w:rPr>
        <w:t>aux veuves et veufs de retraités de la R.D.P.E.V.</w:t>
      </w:r>
    </w:p>
    <w:p>
      <w:pPr>
        <w:pStyle w:val="Normal"/>
        <w:jc w:val="both"/>
        <w:rPr>
          <w:rFonts w:ascii="Tahoma" w:hAnsi="Tahoma" w:cs="Tahoma"/>
          <w:sz w:val="20"/>
          <w:szCs w:val="24"/>
        </w:rPr>
      </w:pPr>
      <w:r>
        <w:rPr>
          <w:rFonts w:cs="Tahoma" w:ascii="Tahoma" w:hAnsi="Tahoma"/>
          <w:sz w:val="20"/>
          <w:szCs w:val="24"/>
        </w:rPr>
      </w:r>
    </w:p>
    <w:p>
      <w:pPr>
        <w:pStyle w:val="Normal"/>
        <w:spacing w:lineRule="auto" w:line="360"/>
        <w:jc w:val="both"/>
        <w:rPr/>
      </w:pPr>
      <w:r>
        <w:rPr>
          <w:rFonts w:cs="Tahoma" w:ascii="Tahoma" w:hAnsi="Tahoma"/>
          <w:sz w:val="20"/>
        </w:rPr>
        <w:tab/>
        <w:t xml:space="preserve">    </w:t>
      </w:r>
      <w:r>
        <w:rPr>
          <w:rFonts w:cs="Tahoma" w:ascii="Tahoma" w:hAnsi="Tahoma"/>
          <w:b/>
          <w:sz w:val="20"/>
        </w:rPr>
        <w:t>Section 14.2. Véhicules personnels</w:t>
      </w:r>
    </w:p>
    <w:p>
      <w:pPr>
        <w:pStyle w:val="Normal"/>
        <w:ind w:left="1418" w:hanging="0"/>
        <w:jc w:val="both"/>
        <w:rPr>
          <w:rFonts w:ascii="Tahoma" w:hAnsi="Tahoma" w:cs="Tahoma"/>
          <w:sz w:val="20"/>
        </w:rPr>
      </w:pPr>
      <w:r>
        <w:rPr>
          <w:rFonts w:cs="Tahoma" w:ascii="Tahoma" w:hAnsi="Tahoma"/>
          <w:sz w:val="20"/>
        </w:rPr>
        <w:t>- aux véhicules personnels des employés faisant partie de l’effectif permanent de la R.D.P.E.V., à raison de huit allers-retours gratuits par année civile à condition qu’il n’y ait pas de gêne dans le service</w:t>
      </w:r>
    </w:p>
    <w:p>
      <w:pPr>
        <w:pStyle w:val="Normal"/>
        <w:ind w:left="1418" w:hanging="0"/>
        <w:jc w:val="both"/>
        <w:rPr>
          <w:rFonts w:ascii="Tahoma" w:hAnsi="Tahoma" w:cs="Tahoma"/>
          <w:sz w:val="20"/>
        </w:rPr>
      </w:pPr>
      <w:r>
        <w:rPr>
          <w:rFonts w:cs="Tahoma" w:ascii="Tahoma" w:hAnsi="Tahoma"/>
          <w:sz w:val="20"/>
        </w:rPr>
      </w:r>
    </w:p>
    <w:p>
      <w:pPr>
        <w:pStyle w:val="Normal"/>
        <w:ind w:left="1418" w:hanging="0"/>
        <w:jc w:val="both"/>
        <w:rPr>
          <w:rFonts w:ascii="Tahoma" w:hAnsi="Tahoma" w:cs="Tahoma"/>
          <w:sz w:val="20"/>
        </w:rPr>
      </w:pPr>
      <w:r>
        <w:rPr>
          <w:rFonts w:cs="Tahoma" w:ascii="Tahoma" w:hAnsi="Tahoma"/>
          <w:sz w:val="20"/>
        </w:rPr>
        <w:t>- aux véhicules personnels des retraités de la R.D.P.E.V., à raison de quatre allers-retours gratuits par année civile. Ces véhicules devront embarquer sur le navire « INSULA OYA II ».</w:t>
      </w:r>
    </w:p>
    <w:p>
      <w:pPr>
        <w:pStyle w:val="Normal"/>
        <w:jc w:val="both"/>
        <w:rPr>
          <w:rFonts w:ascii="Tahoma" w:hAnsi="Tahoma" w:cs="Tahoma"/>
          <w:sz w:val="20"/>
        </w:rPr>
      </w:pPr>
      <w:r>
        <w:rPr>
          <w:rFonts w:cs="Tahoma" w:ascii="Tahoma" w:hAnsi="Tahoma"/>
          <w:sz w:val="20"/>
        </w:rPr>
      </w:r>
    </w:p>
    <w:p>
      <w:pPr>
        <w:pStyle w:val="Normal"/>
        <w:jc w:val="both"/>
        <w:rPr/>
      </w:pPr>
      <w:r>
        <w:rPr>
          <w:rFonts w:cs="Tahoma" w:ascii="Tahoma" w:hAnsi="Tahoma"/>
          <w:b/>
          <w:sz w:val="20"/>
        </w:rPr>
        <w:t>NOTA :</w:t>
      </w:r>
      <w:r>
        <w:rPr>
          <w:rFonts w:cs="Tahoma" w:ascii="Tahoma" w:hAnsi="Tahoma"/>
          <w:sz w:val="20"/>
        </w:rPr>
        <w:t xml:space="preserve"> Sur les Catamarans, un seul véhicule gratuit n’est accepté par passage ; priorité est donnée au personnel actif lorsqu’un retraité RÉGIE formule une demande sur le même passage.</w:t>
      </w:r>
    </w:p>
    <w:p>
      <w:pPr>
        <w:pStyle w:val="Normal"/>
        <w:spacing w:lineRule="auto" w:line="360"/>
        <w:jc w:val="both"/>
        <w:rPr>
          <w:rFonts w:ascii="Tahoma" w:hAnsi="Tahoma" w:cs="Tahoma"/>
          <w:sz w:val="20"/>
        </w:rPr>
      </w:pPr>
      <w:r>
        <w:rPr>
          <w:rFonts w:cs="Tahoma" w:ascii="Tahoma" w:hAnsi="Tahoma"/>
          <w:sz w:val="20"/>
        </w:rPr>
      </w:r>
    </w:p>
    <w:p>
      <w:pPr>
        <w:pStyle w:val="Normal"/>
        <w:spacing w:lineRule="auto" w:line="360"/>
        <w:jc w:val="both"/>
        <w:rPr/>
      </w:pPr>
      <w:r>
        <w:rPr>
          <w:rFonts w:cs="Tahoma" w:ascii="Tahoma" w:hAnsi="Tahoma"/>
          <w:sz w:val="20"/>
        </w:rPr>
        <w:tab/>
        <w:t xml:space="preserve">     </w:t>
      </w:r>
      <w:r>
        <w:rPr>
          <w:rFonts w:cs="Tahoma" w:ascii="Tahoma" w:hAnsi="Tahoma"/>
          <w:b/>
          <w:sz w:val="20"/>
        </w:rPr>
        <w:t>Section 14.3. Marchandises</w:t>
      </w:r>
    </w:p>
    <w:p>
      <w:pPr>
        <w:pStyle w:val="Normal"/>
        <w:jc w:val="both"/>
        <w:rPr/>
      </w:pPr>
      <w:r>
        <w:rPr>
          <w:rFonts w:cs="Tahoma" w:ascii="Tahoma" w:hAnsi="Tahoma"/>
          <w:sz w:val="20"/>
        </w:rPr>
        <w:t>Les marchandises destinées à l’usage personnel des employés en activité et nouvellement retraités dans l’année qui suit le départ,</w:t>
      </w:r>
      <w:r>
        <w:rPr>
          <w:b/>
          <w:color w:val="000000"/>
        </w:rPr>
        <w:t xml:space="preserve"> </w:t>
      </w:r>
      <w:r>
        <w:rPr>
          <w:rFonts w:cs="Tahoma" w:ascii="Tahoma" w:hAnsi="Tahoma"/>
          <w:sz w:val="20"/>
        </w:rPr>
        <w:t>voyagent gratuitement dans la limite des places disponibles après attestation sur l’honneur de l’intéressé sur l’usage personnel et l’avis favorable du Directeur Général de la R.D.P.E.V. ou son représentant. Les expéditions inférieures à 200 kg pourront être transportées sans accord préalable de la Direction après établissement par les intéressés d’une déclaration d’expédition adaptée mise à leur disposition dans les bureaux marchandises.</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Heading9"/>
        <w:numPr>
          <w:ilvl w:val="8"/>
          <w:numId w:val="1"/>
        </w:numPr>
        <w:rPr>
          <w:b w:val="false"/>
          <w:b w:val="false"/>
        </w:rPr>
      </w:pPr>
      <w:r>
        <w:rPr/>
        <w:t>Article 2 :</w:t>
      </w:r>
    </w:p>
    <w:p>
      <w:pPr>
        <w:pStyle w:val="Normal"/>
        <w:jc w:val="both"/>
        <w:rPr>
          <w:rFonts w:ascii="Tahoma" w:hAnsi="Tahoma" w:cs="Tahoma"/>
          <w:sz w:val="22"/>
        </w:rPr>
      </w:pPr>
      <w:r>
        <w:rPr>
          <w:rFonts w:cs="Tahoma" w:ascii="Tahoma" w:hAnsi="Tahoma"/>
          <w:sz w:val="22"/>
        </w:rPr>
        <w:t>Le texte du présent Avenant est conclu pour une durée d’un an, à effet du 1</w:t>
      </w:r>
      <w:r>
        <w:rPr>
          <w:rFonts w:cs="Tahoma" w:ascii="Tahoma" w:hAnsi="Tahoma"/>
          <w:sz w:val="22"/>
          <w:vertAlign w:val="superscript"/>
        </w:rPr>
        <w:t>er</w:t>
      </w:r>
      <w:r>
        <w:rPr>
          <w:rFonts w:cs="Tahoma" w:ascii="Tahoma" w:hAnsi="Tahoma"/>
          <w:sz w:val="22"/>
        </w:rPr>
        <w:t xml:space="preserve"> Janvier 2018. Il est renouvelable par tacite reconduction d’année en année.</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t>Dénonciation : conformément au Code du Travail, le présent accord peut être dénoncé par une               ou plusieurs parties avec un préavis de 3 mois, il continue de produire ses effets jusqu’à l’entrée en vigueur de l’accord qui lui est substitué ou, à défaut d’accord, pendant une durée d’un an                  à expiration du préavis.</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r>
    </w:p>
    <w:p>
      <w:pPr>
        <w:pStyle w:val="Contents1"/>
        <w:rPr/>
      </w:pPr>
      <w:r>
        <w:rPr/>
        <w:t>Fait à LA BARRE DE MONTS, le 22 FÉVRIER 2018</w:t>
      </w:r>
    </w:p>
    <w:p>
      <w:pPr>
        <w:pStyle w:val="Normal"/>
        <w:rPr/>
      </w:pPr>
      <w:r>
        <w:rPr/>
      </w:r>
    </w:p>
    <w:p>
      <w:pPr>
        <w:pStyle w:val="Normal"/>
        <w:rPr/>
      </w:pPr>
      <w:r>
        <w:rPr/>
      </w:r>
    </w:p>
    <w:p>
      <w:pPr>
        <w:pStyle w:val="Normal"/>
        <w:jc w:val="both"/>
        <w:rPr>
          <w:rFonts w:ascii="Tahoma" w:hAnsi="Tahoma" w:cs="Tahoma"/>
          <w:sz w:val="22"/>
        </w:rPr>
      </w:pPr>
      <w:r>
        <w:rPr>
          <w:rFonts w:cs="Tahoma" w:ascii="Tahoma" w:hAnsi="Tahoma"/>
          <w:sz w:val="22"/>
        </w:rPr>
        <w:t>Les Délégués Syndicaux,</w:t>
        <w:tab/>
        <w:tab/>
        <w:tab/>
        <w:tab/>
        <w:tab/>
        <w:t>Le Directeur Général de la RDPEV,</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t>Pour la CFDT : xxxxxxxx</w:t>
        <w:tab/>
        <w:tab/>
        <w:tab/>
        <w:tab/>
        <w:tab/>
        <w:tab/>
        <w:t>xxxxxxxxx</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t>Pour la CGT : xxxxxxxxx</w:t>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r>
    </w:p>
    <w:p>
      <w:pPr>
        <w:pStyle w:val="Normal"/>
        <w:jc w:val="both"/>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p>
      <w:pPr>
        <w:pStyle w:val="Normal"/>
        <w:tabs>
          <w:tab w:val="left" w:pos="580" w:leader="none"/>
          <w:tab w:val="right" w:pos="7938" w:leader="none"/>
        </w:tabs>
        <w:rPr>
          <w:rFonts w:ascii="Tahoma" w:hAnsi="Tahoma" w:cs="Tahoma"/>
          <w:sz w:val="22"/>
        </w:rPr>
      </w:pPr>
      <w:r>
        <w:rPr>
          <w:rFonts w:cs="Tahoma" w:ascii="Tahoma" w:hAnsi="Tahoma"/>
          <w:sz w:val="22"/>
        </w:rPr>
      </w:r>
    </w:p>
    <w:sectPr>
      <w:type w:val="nextPage"/>
      <w:pgSz w:w="11906" w:h="16838"/>
      <w:pgMar w:left="1276" w:right="99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Tahoma">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5"/>
      <w:numFmt w:val="bullet"/>
      <w:lvlText w:val="-"/>
      <w:lvlJc w:val="left"/>
      <w:pPr>
        <w:ind w:left="720" w:hanging="360"/>
      </w:pPr>
      <w:rPr>
        <w:rFonts w:ascii="Tahoma" w:hAnsi="Tahoma" w:cs="Tahoma" w:hint="default"/>
        <w:rFonts w:cs="Tahoma"/>
      </w:r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w:hAnsi="Times" w:eastAsia="Times" w:cs="Times"/>
      <w:color w:val="auto"/>
      <w:sz w:val="24"/>
      <w:szCs w:val="20"/>
      <w:lang w:val="fr-FR" w:eastAsia="en-GB" w:bidi="ar-SA"/>
    </w:rPr>
  </w:style>
  <w:style w:type="paragraph" w:styleId="Heading7">
    <w:name w:val="Heading 7"/>
    <w:basedOn w:val="Normal"/>
    <w:next w:val="Normal"/>
    <w:qFormat/>
    <w:pPr>
      <w:keepNext/>
      <w:numPr>
        <w:ilvl w:val="6"/>
        <w:numId w:val="1"/>
      </w:numPr>
      <w:tabs>
        <w:tab w:val="left" w:pos="580" w:leader="none"/>
        <w:tab w:val="right" w:pos="7938" w:leader="none"/>
      </w:tabs>
      <w:spacing w:lineRule="auto" w:line="360"/>
      <w:jc w:val="center"/>
      <w:outlineLvl w:val="6"/>
      <w:outlineLvl w:val="6"/>
    </w:pPr>
    <w:rPr>
      <w:rFonts w:ascii="Tahoma" w:hAnsi="Tahoma" w:cs="Tahoma"/>
      <w:b/>
      <w:color w:val="000000"/>
      <w:sz w:val="28"/>
      <w:u w:val="single"/>
    </w:rPr>
  </w:style>
  <w:style w:type="paragraph" w:styleId="Heading9">
    <w:name w:val="Heading 9"/>
    <w:basedOn w:val="Normal"/>
    <w:next w:val="Normal"/>
    <w:qFormat/>
    <w:pPr>
      <w:keepNext/>
      <w:numPr>
        <w:ilvl w:val="8"/>
        <w:numId w:val="1"/>
      </w:numPr>
      <w:jc w:val="both"/>
      <w:outlineLvl w:val="8"/>
      <w:outlineLvl w:val="8"/>
    </w:pPr>
    <w:rPr>
      <w:rFonts w:ascii="Tahoma" w:hAnsi="Tahoma" w:cs="Tahoma"/>
      <w:b/>
      <w:sz w:val="22"/>
    </w:rPr>
  </w:style>
  <w:style w:type="character" w:styleId="WW8Num1z0">
    <w:name w:val="WW8Num1z0"/>
    <w:qFormat/>
    <w:rPr>
      <w:rFonts w:ascii="Tahoma" w:hAnsi="Tahoma" w:eastAsia="Times" w:cs="Tahom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ahoma" w:hAnsi="Tahoma" w:eastAsia="Times" w:cs="Times New Roman"/>
    </w:rPr>
  </w:style>
  <w:style w:type="character" w:styleId="WW8Num2z1">
    <w:name w:val="WW8Num2z1"/>
    <w:qFormat/>
    <w:rPr>
      <w:rFonts w:ascii="Courier New" w:hAnsi="Courier New" w:cs="Wingdings"/>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Titre9Car">
    <w:name w:val="Titre 9 Car"/>
    <w:qFormat/>
    <w:rPr>
      <w:rFonts w:ascii="Tahoma" w:hAnsi="Tahoma" w:eastAsia="Times" w:cs="Tahoma"/>
      <w:b/>
      <w:sz w:val="22"/>
      <w:lang w:val="en-GB" w:eastAsia="en-GB"/>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epuces2">
    <w:name w:val="Liste à puces 2"/>
    <w:basedOn w:val="Normal"/>
    <w:qFormat/>
    <w:pPr>
      <w:jc w:val="both"/>
    </w:pPr>
    <w:rPr>
      <w:rFonts w:ascii="Tahoma" w:hAnsi="Tahoma" w:eastAsia="Times New Roman" w:cs="Tahoma"/>
      <w:sz w:val="22"/>
    </w:rPr>
  </w:style>
  <w:style w:type="paragraph" w:styleId="Corpsdetexte3">
    <w:name w:val="Corps de texte 3"/>
    <w:basedOn w:val="Normal"/>
    <w:qFormat/>
    <w:pPr>
      <w:jc w:val="both"/>
    </w:pPr>
    <w:rPr>
      <w:b/>
      <w:color w:val="000000"/>
      <w:sz w:val="22"/>
    </w:rPr>
  </w:style>
  <w:style w:type="paragraph" w:styleId="Contents1">
    <w:name w:val="Contents 1"/>
    <w:basedOn w:val="Normal"/>
    <w:next w:val="Normal"/>
    <w:pPr>
      <w:jc w:val="right"/>
    </w:pPr>
    <w:rPr>
      <w:rFonts w:ascii="Tahoma" w:hAnsi="Tahoma" w:cs="Tahoma"/>
      <w:sz w:val="22"/>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2018-02-28T08:39:00Z</cp:lastPrinted>
  <dcterms:created xsi:type="dcterms:W3CDTF">2018-03-08T09:41:00Z</dcterms:created>
  <dcterms:modified xsi:type="dcterms:W3CDTF">2018-03-08T09:41:00Z</dcterms:modified>
</cp:coreProperties>
</file>