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jc w:val="center"/>
        <w:rPr>
          <w:rFonts w:ascii="Verdana" w:hAnsi="Verdana" w:cs="Verdana"/>
          <w:b/>
          <w:b/>
          <w:sz w:val="20"/>
          <w:szCs w:val="20"/>
        </w:rPr>
      </w:pPr>
      <w:r>
        <w:rPr>
          <w:rFonts w:cs="Verdana" w:ascii="Verdana" w:hAnsi="Verdana"/>
          <w:b/>
          <w:sz w:val="20"/>
          <w:szCs w:val="20"/>
        </w:rPr>
        <w:t xml:space="preserve">AVENANT N°3 A DUREE DETERMINEE A L’ACCORD D’ENTREPRISE PORTANT AMENAGEMENT ET REDUCTION DU TEMPS DE TRAVAIL EN DATE </w:t>
      </w:r>
    </w:p>
    <w:p>
      <w:pPr>
        <w:pStyle w:val="Normal"/>
        <w:pBdr>
          <w:top w:val="single" w:sz="4" w:space="1" w:color="000000"/>
          <w:left w:val="single" w:sz="4" w:space="4" w:color="000000"/>
          <w:bottom w:val="single" w:sz="4" w:space="1" w:color="000000"/>
          <w:right w:val="single" w:sz="4" w:space="4" w:color="000000"/>
        </w:pBdr>
        <w:jc w:val="center"/>
        <w:rPr>
          <w:rFonts w:ascii="Verdana" w:hAnsi="Verdana" w:cs="Verdana"/>
          <w:b/>
          <w:b/>
          <w:sz w:val="20"/>
          <w:szCs w:val="20"/>
        </w:rPr>
      </w:pPr>
      <w:r>
        <w:rPr>
          <w:rFonts w:cs="Verdana" w:ascii="Verdana" w:hAnsi="Verdana"/>
          <w:b/>
          <w:sz w:val="20"/>
          <w:szCs w:val="20"/>
        </w:rPr>
        <w:t>DU 25 JUIN 1999</w:t>
      </w:r>
    </w:p>
    <w:p>
      <w:pPr>
        <w:pStyle w:val="Normal"/>
        <w:suppressAutoHyphens w:val="true"/>
        <w:jc w:val="both"/>
        <w:rPr>
          <w:rFonts w:ascii="Verdana" w:hAnsi="Verdana" w:cs="Verdana"/>
          <w:b/>
          <w:b/>
          <w:sz w:val="20"/>
          <w:szCs w:val="20"/>
        </w:rPr>
      </w:pPr>
      <w:r>
        <w:rPr>
          <w:rFonts w:cs="Verdana" w:ascii="Verdana" w:hAnsi="Verdana"/>
          <w:b/>
          <w:sz w:val="20"/>
          <w:szCs w:val="20"/>
        </w:rPr>
      </w:r>
    </w:p>
    <w:p>
      <w:pPr>
        <w:pStyle w:val="Heading3"/>
        <w:numPr>
          <w:ilvl w:val="2"/>
          <w:numId w:val="1"/>
        </w:numPr>
        <w:rPr>
          <w:rFonts w:ascii="Verdana" w:hAnsi="Verdana" w:cs="Verdana"/>
          <w:sz w:val="20"/>
        </w:rPr>
      </w:pPr>
      <w:r>
        <w:rPr>
          <w:rFonts w:cs="Verdana" w:ascii="Verdana" w:hAnsi="Verdana"/>
          <w:sz w:val="20"/>
        </w:rPr>
        <w:t>ENTRE</w:t>
      </w:r>
    </w:p>
    <w:p>
      <w:pPr>
        <w:pStyle w:val="Normal"/>
        <w:suppressAutoHyphens w:val="true"/>
        <w:jc w:val="both"/>
        <w:rPr>
          <w:rFonts w:ascii="Verdana" w:hAnsi="Verdana" w:cs="Verdana"/>
          <w:b/>
          <w:b/>
          <w:sz w:val="20"/>
          <w:szCs w:val="20"/>
        </w:rPr>
      </w:pPr>
      <w:r>
        <w:rPr>
          <w:rFonts w:cs="Verdana" w:ascii="Verdana" w:hAnsi="Verdana"/>
          <w:b/>
          <w:sz w:val="20"/>
          <w:szCs w:val="20"/>
        </w:rPr>
      </w:r>
    </w:p>
    <w:p>
      <w:pPr>
        <w:pStyle w:val="Normal"/>
        <w:suppressAutoHyphens w:val="true"/>
        <w:jc w:val="both"/>
        <w:rPr/>
      </w:pPr>
      <w:r>
        <w:rPr>
          <w:rFonts w:cs="Verdana" w:ascii="Verdana" w:hAnsi="Verdana"/>
          <w:sz w:val="20"/>
          <w:szCs w:val="20"/>
        </w:rPr>
        <w:t>La Société x, Société par Actions Simplifiée au capital de 9 318 848 Euros, ayant établi son siège social à x, étant enregistrée au RCS de Quimper sous le numéro 60 B 30 et ayant pour SIRET le numéro x et le Code NAF 1020Z, représentée par Monsieur x, agissant en qualité de Directeur Général de la société Capitaine Cook, Site de x et site de x  Ci-après dénommé « la société »,</w:t>
      </w:r>
    </w:p>
    <w:p>
      <w:pPr>
        <w:pStyle w:val="Normal"/>
        <w:suppressAutoHyphens w:val="true"/>
        <w:jc w:val="both"/>
        <w:rPr>
          <w:rFonts w:ascii="Verdana" w:hAnsi="Verdana" w:cs="Verdana"/>
          <w:b/>
          <w:b/>
          <w:sz w:val="20"/>
          <w:szCs w:val="20"/>
        </w:rPr>
      </w:pPr>
      <w:r>
        <w:rPr>
          <w:rFonts w:cs="Verdana" w:ascii="Verdana" w:hAnsi="Verdana"/>
          <w:b/>
          <w:sz w:val="20"/>
          <w:szCs w:val="20"/>
        </w:rPr>
        <w:t>D’une part,</w:t>
      </w:r>
    </w:p>
    <w:p>
      <w:pPr>
        <w:pStyle w:val="Heading3"/>
        <w:numPr>
          <w:ilvl w:val="2"/>
          <w:numId w:val="1"/>
        </w:numPr>
        <w:rPr>
          <w:rFonts w:ascii="Verdana" w:hAnsi="Verdana" w:cs="Verdana"/>
          <w:sz w:val="20"/>
        </w:rPr>
      </w:pPr>
      <w:r>
        <w:rPr>
          <w:rFonts w:cs="Verdana" w:ascii="Verdana" w:hAnsi="Verdana"/>
          <w:sz w:val="20"/>
        </w:rPr>
        <w:t>ET</w:t>
      </w:r>
    </w:p>
    <w:p>
      <w:pPr>
        <w:pStyle w:val="Normal"/>
        <w:suppressAutoHyphens w:val="true"/>
        <w:jc w:val="both"/>
        <w:rPr>
          <w:rFonts w:ascii="Verdana" w:hAnsi="Verdana" w:cs="Verdana"/>
          <w:sz w:val="20"/>
          <w:szCs w:val="20"/>
        </w:rPr>
      </w:pPr>
      <w:r>
        <w:rPr>
          <w:rFonts w:cs="Verdana" w:ascii="Verdana" w:hAnsi="Verdana"/>
          <w:sz w:val="20"/>
          <w:szCs w:val="20"/>
        </w:rPr>
      </w:r>
    </w:p>
    <w:p>
      <w:pPr>
        <w:pStyle w:val="Normal"/>
        <w:suppressAutoHyphens w:val="true"/>
        <w:jc w:val="both"/>
        <w:rPr>
          <w:rFonts w:ascii="Verdana" w:hAnsi="Verdana" w:cs="Verdana"/>
          <w:sz w:val="20"/>
          <w:szCs w:val="20"/>
        </w:rPr>
      </w:pPr>
      <w:r>
        <w:rPr>
          <w:rFonts w:cs="Verdana" w:ascii="Verdana" w:hAnsi="Verdana"/>
          <w:sz w:val="20"/>
          <w:szCs w:val="20"/>
        </w:rPr>
        <w:t>L'organisation syndicale CGT représentée par son délégué syndical Monsieur x</w:t>
      </w:r>
    </w:p>
    <w:p>
      <w:pPr>
        <w:pStyle w:val="Normal"/>
        <w:suppressAutoHyphens w:val="true"/>
        <w:jc w:val="both"/>
        <w:rPr>
          <w:rFonts w:ascii="Verdana" w:hAnsi="Verdana" w:cs="Verdana"/>
          <w:sz w:val="20"/>
          <w:szCs w:val="20"/>
        </w:rPr>
      </w:pPr>
      <w:r>
        <w:rPr>
          <w:rFonts w:cs="Verdana" w:ascii="Verdana" w:hAnsi="Verdana"/>
          <w:sz w:val="20"/>
          <w:szCs w:val="20"/>
        </w:rPr>
      </w:r>
    </w:p>
    <w:p>
      <w:pPr>
        <w:pStyle w:val="Normal"/>
        <w:suppressAutoHyphens w:val="true"/>
        <w:jc w:val="both"/>
        <w:rPr>
          <w:rFonts w:ascii="Verdana" w:hAnsi="Verdana" w:cs="Verdana"/>
          <w:b/>
          <w:b/>
          <w:sz w:val="20"/>
          <w:szCs w:val="20"/>
        </w:rPr>
      </w:pPr>
      <w:r>
        <w:rPr>
          <w:rFonts w:cs="Verdana" w:ascii="Verdana" w:hAnsi="Verdana"/>
          <w:b/>
          <w:sz w:val="20"/>
          <w:szCs w:val="20"/>
        </w:rPr>
        <w:t>D’autre part,</w:t>
      </w:r>
    </w:p>
    <w:p>
      <w:pPr>
        <w:pStyle w:val="Normal"/>
        <w:tabs>
          <w:tab w:val="center" w:pos="5102" w:leader="none"/>
        </w:tabs>
        <w:suppressAutoHyphens w:val="true"/>
        <w:jc w:val="both"/>
        <w:rPr>
          <w:rFonts w:ascii="Verdana" w:hAnsi="Verdana" w:cs="Verdana"/>
          <w:sz w:val="20"/>
          <w:szCs w:val="20"/>
        </w:rPr>
      </w:pPr>
      <w:r>
        <w:rPr>
          <w:rFonts w:cs="Verdana" w:ascii="Verdana" w:hAnsi="Verdana"/>
          <w:sz w:val="20"/>
          <w:szCs w:val="20"/>
        </w:rPr>
        <w:tab/>
      </w:r>
    </w:p>
    <w:p>
      <w:pPr>
        <w:pStyle w:val="Normal"/>
        <w:suppressAutoHyphens w:val="true"/>
        <w:jc w:val="both"/>
        <w:rPr>
          <w:rFonts w:ascii="Verdana" w:hAnsi="Verdana" w:cs="Verdana"/>
          <w:sz w:val="20"/>
          <w:szCs w:val="20"/>
        </w:rPr>
      </w:pPr>
      <w:r>
        <w:rPr>
          <w:rFonts w:cs="Verdana" w:ascii="Verdana" w:hAnsi="Verdana"/>
          <w:sz w:val="20"/>
          <w:szCs w:val="20"/>
        </w:rPr>
        <w:t>Il a été convenu ce qui suit :</w:t>
      </w:r>
    </w:p>
    <w:p>
      <w:pPr>
        <w:pStyle w:val="Normal"/>
        <w:suppressAutoHyphens w:val="true"/>
        <w:jc w:val="both"/>
        <w:rPr>
          <w:rFonts w:ascii="Verdana" w:hAnsi="Verdana" w:cs="Verdana"/>
          <w:sz w:val="20"/>
          <w:szCs w:val="20"/>
        </w:rPr>
      </w:pPr>
      <w:r>
        <w:rPr>
          <w:rFonts w:cs="Verdana" w:ascii="Verdana" w:hAnsi="Verdana"/>
          <w:sz w:val="20"/>
          <w:szCs w:val="20"/>
        </w:rPr>
      </w:r>
    </w:p>
    <w:p>
      <w:pPr>
        <w:pStyle w:val="Normal"/>
        <w:suppressAutoHyphens w:val="true"/>
        <w:jc w:val="both"/>
        <w:rPr>
          <w:rFonts w:ascii="Verdana" w:hAnsi="Verdana" w:cs="Verdana"/>
          <w:b/>
          <w:b/>
          <w:sz w:val="20"/>
          <w:szCs w:val="20"/>
        </w:rPr>
      </w:pPr>
      <w:r>
        <w:rPr>
          <w:rFonts w:cs="Verdana" w:ascii="Verdana" w:hAnsi="Verdana"/>
          <w:b/>
          <w:sz w:val="20"/>
          <w:szCs w:val="20"/>
        </w:rPr>
        <w:t>PREAMBULE</w:t>
      </w:r>
    </w:p>
    <w:p>
      <w:pPr>
        <w:pStyle w:val="Normal"/>
        <w:suppressAutoHyphens w:val="true"/>
        <w:jc w:val="both"/>
        <w:rPr>
          <w:rFonts w:ascii="Verdana" w:hAnsi="Verdana" w:cs="Verdana"/>
          <w:b/>
          <w:b/>
          <w:sz w:val="20"/>
          <w:szCs w:val="20"/>
        </w:rPr>
      </w:pPr>
      <w:r>
        <w:rPr>
          <w:rFonts w:cs="Verdana" w:ascii="Verdana" w:hAnsi="Verdana"/>
          <w:b/>
          <w:sz w:val="20"/>
          <w:szCs w:val="20"/>
        </w:rPr>
      </w:r>
    </w:p>
    <w:p>
      <w:pPr>
        <w:pStyle w:val="Normal"/>
        <w:spacing w:lineRule="auto" w:line="240" w:before="0" w:after="0"/>
        <w:jc w:val="both"/>
        <w:rPr>
          <w:rFonts w:ascii="Verdana" w:hAnsi="Verdana" w:cs="Verdana"/>
          <w:sz w:val="20"/>
          <w:szCs w:val="20"/>
        </w:rPr>
      </w:pPr>
      <w:r>
        <w:rPr>
          <w:rFonts w:cs="Verdana" w:ascii="Verdana" w:hAnsi="Verdana"/>
          <w:sz w:val="20"/>
          <w:szCs w:val="20"/>
        </w:rPr>
        <w:t>En janvier 2020, un nouveau virus de type « Coronavirus » a été identifié en Chine. La maladie causée par ce coronavirus a été nommée COVID-19 par l’Organisation Mondiale de la Santé, qui qualifie sa propagation de « mondiale » depuis le 11 mars 2020.</w:t>
      </w:r>
    </w:p>
    <w:p>
      <w:pPr>
        <w:pStyle w:val="Normal"/>
        <w:spacing w:lineRule="auto" w:line="240" w:before="0" w:after="0"/>
        <w:jc w:val="both"/>
        <w:rPr>
          <w:rFonts w:ascii="Verdana" w:hAnsi="Verdana" w:cs="Verdana"/>
          <w:sz w:val="20"/>
          <w:szCs w:val="20"/>
        </w:rPr>
      </w:pPr>
      <w:r>
        <w:rPr>
          <w:rFonts w:cs="Verdana" w:ascii="Verdana" w:hAnsi="Verdana"/>
          <w:sz w:val="20"/>
          <w:szCs w:val="20"/>
        </w:rPr>
      </w:r>
    </w:p>
    <w:p>
      <w:pPr>
        <w:pStyle w:val="Normal"/>
        <w:spacing w:lineRule="auto" w:line="240" w:before="0" w:after="0"/>
        <w:jc w:val="both"/>
        <w:rPr>
          <w:rFonts w:ascii="Verdana" w:hAnsi="Verdana" w:cs="Verdana"/>
          <w:sz w:val="20"/>
          <w:szCs w:val="20"/>
        </w:rPr>
      </w:pPr>
      <w:r>
        <w:rPr>
          <w:rFonts w:cs="Verdana" w:ascii="Verdana" w:hAnsi="Verdana"/>
          <w:sz w:val="20"/>
          <w:szCs w:val="20"/>
        </w:rPr>
        <w:t>Le COVID-19 touche la France depuis plusieurs semaines. Pour prévenir et gérer le risque de contamination de la population, le Président de la République et le Gouvernement ont pris des mesures inédites. Depuis le 24 mars 2020, l’ensemble du territoire national est déclaré en « état d’urgence sanitaire », instauré par la loi n°2020-290 du 23 mars 2020 d’urgence pour faire face à l’épidémie de COVID-19.</w:t>
      </w:r>
    </w:p>
    <w:p>
      <w:pPr>
        <w:pStyle w:val="Normal"/>
        <w:suppressAutoHyphens w:val="true"/>
        <w:jc w:val="both"/>
        <w:rPr>
          <w:rFonts w:ascii="Verdana" w:hAnsi="Verdana" w:cs="Verdana"/>
          <w:sz w:val="20"/>
          <w:szCs w:val="20"/>
        </w:rPr>
      </w:pPr>
      <w:r>
        <w:rPr>
          <w:rFonts w:cs="Verdana" w:ascii="Verdana" w:hAnsi="Verdana"/>
          <w:sz w:val="20"/>
          <w:szCs w:val="20"/>
        </w:rPr>
      </w:r>
    </w:p>
    <w:p>
      <w:pPr>
        <w:pStyle w:val="Normal"/>
        <w:suppressAutoHyphens w:val="true"/>
        <w:jc w:val="both"/>
        <w:rPr>
          <w:rFonts w:ascii="Verdana" w:hAnsi="Verdana" w:cs="Verdana"/>
          <w:sz w:val="20"/>
          <w:szCs w:val="20"/>
        </w:rPr>
      </w:pPr>
      <w:r>
        <w:rPr>
          <w:rFonts w:cs="Verdana" w:ascii="Verdana" w:hAnsi="Verdana"/>
          <w:sz w:val="20"/>
          <w:szCs w:val="20"/>
        </w:rPr>
        <w:t>Dans ce contexte particulier, la société a été contrainte de revoir son organisation industrielle en raison notamment :</w:t>
      </w:r>
    </w:p>
    <w:p>
      <w:pPr>
        <w:pStyle w:val="Normal"/>
        <w:numPr>
          <w:ilvl w:val="0"/>
          <w:numId w:val="2"/>
        </w:numPr>
        <w:suppressAutoHyphens w:val="true"/>
        <w:jc w:val="both"/>
        <w:rPr>
          <w:rFonts w:ascii="Verdana" w:hAnsi="Verdana" w:cs="Verdana"/>
          <w:sz w:val="20"/>
          <w:szCs w:val="20"/>
        </w:rPr>
      </w:pPr>
      <w:r>
        <w:rPr>
          <w:rFonts w:cs="Verdana" w:ascii="Verdana" w:hAnsi="Verdana"/>
          <w:sz w:val="20"/>
          <w:szCs w:val="20"/>
        </w:rPr>
        <w:t>De la nécessité d’assurer la poursuite de la continuité de l’activité, laquelle est nécessaire à la vie de la nation,</w:t>
      </w:r>
    </w:p>
    <w:p>
      <w:pPr>
        <w:pStyle w:val="Normal"/>
        <w:numPr>
          <w:ilvl w:val="0"/>
          <w:numId w:val="2"/>
        </w:numPr>
        <w:suppressAutoHyphens w:val="true"/>
        <w:jc w:val="both"/>
        <w:rPr/>
      </w:pPr>
      <w:r>
        <w:rPr>
          <w:rFonts w:cs="Verdana" w:ascii="Verdana" w:hAnsi="Verdana"/>
          <w:sz w:val="20"/>
          <w:szCs w:val="20"/>
        </w:rPr>
        <w:t xml:space="preserve">Tout en préservant la santé et la sécurité des salariés (gestes barrières, mesures de distanciations sociales …), </w:t>
      </w:r>
    </w:p>
    <w:p>
      <w:pPr>
        <w:pStyle w:val="Normal"/>
        <w:numPr>
          <w:ilvl w:val="0"/>
          <w:numId w:val="2"/>
        </w:numPr>
        <w:suppressAutoHyphens w:val="true"/>
        <w:jc w:val="both"/>
        <w:rPr>
          <w:rFonts w:ascii="Verdana" w:hAnsi="Verdana" w:cs="Verdana"/>
          <w:sz w:val="20"/>
          <w:szCs w:val="20"/>
        </w:rPr>
      </w:pPr>
      <w:r>
        <w:rPr>
          <w:rFonts w:cs="Verdana" w:ascii="Verdana" w:hAnsi="Verdana"/>
          <w:sz w:val="20"/>
          <w:szCs w:val="20"/>
        </w:rPr>
        <w:t>De la difficulté à anticiper les volumes de commandes, impliquant d’adapter continuellement l’organisation de la production,</w:t>
      </w:r>
    </w:p>
    <w:p>
      <w:pPr>
        <w:pStyle w:val="Normal"/>
        <w:numPr>
          <w:ilvl w:val="0"/>
          <w:numId w:val="2"/>
        </w:numPr>
        <w:suppressAutoHyphens w:val="true"/>
        <w:jc w:val="both"/>
        <w:rPr>
          <w:rFonts w:ascii="Verdana" w:hAnsi="Verdana" w:cs="Verdana"/>
          <w:sz w:val="20"/>
          <w:szCs w:val="20"/>
        </w:rPr>
      </w:pPr>
      <w:r>
        <w:rPr>
          <w:rFonts w:cs="Verdana" w:ascii="Verdana" w:hAnsi="Verdana"/>
          <w:sz w:val="20"/>
          <w:szCs w:val="20"/>
        </w:rPr>
        <w:t>De la gestion de l’absentéisme en raison notamment de la fermeture des écoles.</w:t>
      </w:r>
    </w:p>
    <w:p>
      <w:pPr>
        <w:pStyle w:val="Normal"/>
        <w:suppressAutoHyphens w:val="true"/>
        <w:jc w:val="both"/>
        <w:rPr/>
      </w:pPr>
      <w:r>
        <w:rPr>
          <w:rFonts w:eastAsia="Times New Roman" w:cs="Verdana" w:ascii="Verdana" w:hAnsi="Verdana"/>
          <w:sz w:val="20"/>
          <w:szCs w:val="20"/>
          <w:lang w:eastAsia="fr-FR"/>
        </w:rPr>
        <w:t>Aussi, les partenaires sociaux ont souhaité se réunir en vue d’adapter l’organisation du travail de l’établissement de x.</w:t>
      </w:r>
    </w:p>
    <w:p>
      <w:pPr>
        <w:pStyle w:val="Normal"/>
        <w:suppressAutoHyphens w:val="true"/>
        <w:jc w:val="both"/>
        <w:rPr>
          <w:rFonts w:ascii="Verdana" w:hAnsi="Verdana" w:eastAsia="Times New Roman" w:cs="Verdana"/>
          <w:sz w:val="20"/>
          <w:szCs w:val="20"/>
          <w:lang w:eastAsia="fr-FR"/>
        </w:rPr>
      </w:pPr>
      <w:r>
        <w:rPr>
          <w:rFonts w:eastAsia="Times New Roman" w:cs="Verdana" w:ascii="Verdana" w:hAnsi="Verdana"/>
          <w:sz w:val="20"/>
          <w:szCs w:val="20"/>
          <w:lang w:eastAsia="fr-FR"/>
        </w:rPr>
        <w:t>Les partenaires sociaux ont convenu ce qui suit :</w:t>
      </w:r>
    </w:p>
    <w:p>
      <w:pPr>
        <w:pStyle w:val="Normal"/>
        <w:suppressAutoHyphens w:val="true"/>
        <w:jc w:val="both"/>
        <w:rPr>
          <w:rFonts w:ascii="Verdana" w:hAnsi="Verdana" w:eastAsia="Times New Roman" w:cs="Verdana"/>
          <w:sz w:val="20"/>
          <w:szCs w:val="20"/>
          <w:lang w:eastAsia="fr-FR"/>
        </w:rPr>
      </w:pPr>
      <w:r>
        <w:rPr>
          <w:rFonts w:eastAsia="Times New Roman" w:cs="Verdana" w:ascii="Verdana" w:hAnsi="Verdana"/>
          <w:sz w:val="20"/>
          <w:szCs w:val="20"/>
          <w:lang w:eastAsia="fr-FR"/>
        </w:rPr>
      </w:r>
    </w:p>
    <w:p>
      <w:pPr>
        <w:pStyle w:val="Normal"/>
        <w:rPr>
          <w:rFonts w:ascii="Verdana" w:hAnsi="Verdana" w:cs="Verdana"/>
          <w:b/>
          <w:b/>
          <w:sz w:val="20"/>
          <w:szCs w:val="20"/>
          <w:u w:val="single"/>
        </w:rPr>
      </w:pPr>
      <w:r>
        <w:rPr>
          <w:rFonts w:cs="Verdana" w:ascii="Verdana" w:hAnsi="Verdana"/>
          <w:b/>
          <w:sz w:val="20"/>
          <w:szCs w:val="20"/>
          <w:u w:val="single"/>
        </w:rPr>
        <w:t>Article 1 – Objet et Champ d’application de l’avenant</w:t>
      </w:r>
    </w:p>
    <w:p>
      <w:pPr>
        <w:pStyle w:val="Normal"/>
        <w:jc w:val="both"/>
        <w:rPr/>
      </w:pPr>
      <w:r>
        <w:rPr>
          <w:rFonts w:cs="Verdana" w:ascii="Verdana" w:hAnsi="Verdana"/>
          <w:sz w:val="20"/>
          <w:szCs w:val="20"/>
        </w:rPr>
        <w:t>Le présent avenant révise et complète temporairement les dispositions de l’accord d’entreprise portant aménagement et réduction du temps de travail du 25 juin 1999.</w:t>
      </w:r>
    </w:p>
    <w:p>
      <w:pPr>
        <w:pStyle w:val="Normal"/>
        <w:jc w:val="both"/>
        <w:rPr>
          <w:rFonts w:ascii="Verdana" w:hAnsi="Verdana" w:cs="Verdana"/>
          <w:sz w:val="20"/>
          <w:szCs w:val="20"/>
        </w:rPr>
      </w:pPr>
      <w:r>
        <w:rPr>
          <w:rFonts w:cs="Verdana" w:ascii="Verdana" w:hAnsi="Verdana"/>
          <w:sz w:val="20"/>
          <w:szCs w:val="20"/>
        </w:rPr>
        <w:t>Les dispositions du présent avenant s’appliquent uniquement aux salariés de l’établissement de x compte tenu des contraintes particulières d’activité et d’organisation liée à la crise sanitaire.</w:t>
      </w:r>
    </w:p>
    <w:p>
      <w:pPr>
        <w:pStyle w:val="Normal"/>
        <w:jc w:val="both"/>
        <w:rPr>
          <w:rFonts w:ascii="Verdana" w:hAnsi="Verdana" w:cs="Verdana"/>
          <w:sz w:val="20"/>
          <w:szCs w:val="20"/>
        </w:rPr>
      </w:pPr>
      <w:r>
        <w:rPr>
          <w:rFonts w:cs="Verdana" w:ascii="Verdana" w:hAnsi="Verdana"/>
          <w:sz w:val="20"/>
          <w:szCs w:val="20"/>
        </w:rPr>
      </w:r>
    </w:p>
    <w:p>
      <w:pPr>
        <w:pStyle w:val="Normal"/>
        <w:rPr>
          <w:rFonts w:ascii="Verdana" w:hAnsi="Verdana" w:cs="Verdana"/>
          <w:b/>
          <w:b/>
          <w:sz w:val="20"/>
          <w:szCs w:val="20"/>
          <w:u w:val="single"/>
        </w:rPr>
      </w:pPr>
      <w:r>
        <w:rPr>
          <w:rFonts w:cs="Verdana" w:ascii="Verdana" w:hAnsi="Verdana"/>
          <w:b/>
          <w:sz w:val="20"/>
          <w:szCs w:val="20"/>
          <w:u w:val="single"/>
        </w:rPr>
        <w:t>Article 2 – Modulation du temps de travail et heures supplémentaires</w:t>
      </w:r>
    </w:p>
    <w:p>
      <w:pPr>
        <w:pStyle w:val="Normal"/>
        <w:spacing w:lineRule="auto" w:line="240" w:before="0" w:after="0"/>
        <w:jc w:val="both"/>
        <w:rPr>
          <w:rFonts w:ascii="Verdana" w:hAnsi="Verdana" w:eastAsia="Times New Roman" w:cs="Arial"/>
          <w:b/>
          <w:b/>
          <w:sz w:val="20"/>
          <w:szCs w:val="20"/>
          <w:u w:val="single"/>
          <w:lang w:eastAsia="fr-FR"/>
        </w:rPr>
      </w:pPr>
      <w:r>
        <w:rPr>
          <w:rFonts w:eastAsia="Times New Roman" w:cs="Arial" w:ascii="Verdana" w:hAnsi="Verdana"/>
          <w:b/>
          <w:sz w:val="20"/>
          <w:szCs w:val="20"/>
          <w:u w:val="single"/>
          <w:lang w:eastAsia="fr-FR"/>
        </w:rPr>
      </w:r>
    </w:p>
    <w:p>
      <w:pPr>
        <w:pStyle w:val="Normal"/>
        <w:spacing w:lineRule="auto" w:line="240" w:before="0" w:after="0"/>
        <w:jc w:val="both"/>
        <w:rPr>
          <w:rFonts w:ascii="Verdana" w:hAnsi="Verdana" w:eastAsia="Times New Roman" w:cs="Arial"/>
          <w:strike/>
          <w:sz w:val="20"/>
          <w:szCs w:val="20"/>
          <w:lang w:eastAsia="fr-FR"/>
        </w:rPr>
      </w:pPr>
      <w:r>
        <w:rPr>
          <w:rFonts w:eastAsia="Times New Roman" w:cs="Arial" w:ascii="Verdana" w:hAnsi="Verdana"/>
          <w:sz w:val="20"/>
          <w:szCs w:val="20"/>
          <w:lang w:eastAsia="fr-FR"/>
        </w:rPr>
        <w:t>Sont des heures supplémentaires, les heures demandées par la Direction, ou bien encore autorisées préalablement par elle, et accomplies au-delà de seuils de déclenchement définis par l’accord d’entreprise du 25 juin 1999 portant sur l’aménagement et la réduction du temps de travail, ainsi que ses avenants.</w:t>
      </w:r>
    </w:p>
    <w:p>
      <w:pPr>
        <w:pStyle w:val="Normal"/>
        <w:spacing w:lineRule="auto" w:line="240" w:before="0" w:after="0"/>
        <w:jc w:val="both"/>
        <w:rPr>
          <w:rFonts w:ascii="Verdana" w:hAnsi="Verdana" w:eastAsia="Times New Roman" w:cs="Arial"/>
          <w:strike/>
          <w:sz w:val="20"/>
          <w:szCs w:val="20"/>
          <w:lang w:eastAsia="fr-FR"/>
        </w:rPr>
      </w:pPr>
      <w:r>
        <w:rPr>
          <w:rFonts w:eastAsia="Times New Roman" w:cs="Arial" w:ascii="Verdana" w:hAnsi="Verdana"/>
          <w:strike/>
          <w:sz w:val="20"/>
          <w:szCs w:val="20"/>
          <w:lang w:eastAsia="fr-FR"/>
        </w:rPr>
      </w:r>
    </w:p>
    <w:p>
      <w:pPr>
        <w:pStyle w:val="Normal"/>
        <w:spacing w:lineRule="auto" w:line="240" w:before="0" w:after="0"/>
        <w:jc w:val="both"/>
        <w:rPr>
          <w:rFonts w:ascii="Verdana" w:hAnsi="Verdana" w:eastAsia="Times New Roman" w:cs="Arial"/>
          <w:sz w:val="20"/>
          <w:szCs w:val="20"/>
          <w:lang w:eastAsia="fr-FR"/>
        </w:rPr>
      </w:pPr>
      <w:r>
        <w:rPr>
          <w:rFonts w:eastAsia="Times New Roman" w:cs="Arial" w:ascii="Verdana" w:hAnsi="Verdana"/>
          <w:sz w:val="20"/>
          <w:szCs w:val="20"/>
          <w:lang w:eastAsia="fr-FR"/>
        </w:rPr>
        <w:t>Ces dispositions demeurent applicables.</w:t>
      </w:r>
    </w:p>
    <w:p>
      <w:pPr>
        <w:pStyle w:val="Normal"/>
        <w:spacing w:lineRule="auto" w:line="240" w:before="0" w:after="0"/>
        <w:jc w:val="both"/>
        <w:rPr>
          <w:rFonts w:ascii="Verdana" w:hAnsi="Verdana" w:eastAsia="Times New Roman" w:cs="Arial"/>
          <w:sz w:val="20"/>
          <w:szCs w:val="20"/>
          <w:lang w:eastAsia="fr-FR"/>
        </w:rPr>
      </w:pPr>
      <w:r>
        <w:rPr>
          <w:rFonts w:eastAsia="Times New Roman" w:cs="Arial" w:ascii="Verdana" w:hAnsi="Verdana"/>
          <w:sz w:val="20"/>
          <w:szCs w:val="20"/>
          <w:lang w:eastAsia="fr-FR"/>
        </w:rPr>
      </w:r>
    </w:p>
    <w:p>
      <w:pPr>
        <w:pStyle w:val="Normal"/>
        <w:spacing w:lineRule="auto" w:line="240" w:before="0" w:after="0"/>
        <w:jc w:val="both"/>
        <w:rPr>
          <w:rFonts w:ascii="Verdana" w:hAnsi="Verdana" w:eastAsia="Times New Roman" w:cs="Arial"/>
          <w:sz w:val="20"/>
          <w:szCs w:val="20"/>
          <w:lang w:eastAsia="fr-FR"/>
        </w:rPr>
      </w:pPr>
      <w:r>
        <w:rPr>
          <w:rFonts w:eastAsia="Times New Roman" w:cs="Arial" w:ascii="Verdana" w:hAnsi="Verdana"/>
          <w:sz w:val="20"/>
          <w:szCs w:val="20"/>
          <w:lang w:eastAsia="fr-FR"/>
        </w:rPr>
        <w:t xml:space="preserve">Toutefois, au titre des mesures d’urgence, </w:t>
      </w:r>
      <w:bookmarkStart w:id="0" w:name="_Hlk39505783"/>
      <w:r>
        <w:rPr>
          <w:rFonts w:eastAsia="Times New Roman" w:cs="Arial" w:ascii="Verdana" w:hAnsi="Verdana"/>
          <w:sz w:val="20"/>
          <w:szCs w:val="20"/>
          <w:lang w:eastAsia="fr-FR"/>
        </w:rPr>
        <w:t>toute heure réalisée un samedi au-delà de la 35</w:t>
      </w:r>
      <w:r>
        <w:rPr>
          <w:rFonts w:eastAsia="Times New Roman" w:cs="Arial" w:ascii="Verdana" w:hAnsi="Verdana"/>
          <w:sz w:val="20"/>
          <w:szCs w:val="20"/>
          <w:vertAlign w:val="superscript"/>
          <w:lang w:eastAsia="fr-FR"/>
        </w:rPr>
        <w:t>ème</w:t>
      </w:r>
      <w:r>
        <w:rPr>
          <w:rFonts w:eastAsia="Times New Roman" w:cs="Arial" w:ascii="Verdana" w:hAnsi="Verdana"/>
          <w:sz w:val="20"/>
          <w:szCs w:val="20"/>
          <w:lang w:eastAsia="fr-FR"/>
        </w:rPr>
        <w:t xml:space="preserve"> heure sera payée et majorée le mois suivant dans le respect du calendrier de paie, au taux de 25% de la 35</w:t>
      </w:r>
      <w:r>
        <w:rPr>
          <w:rFonts w:eastAsia="Times New Roman" w:cs="Arial" w:ascii="Verdana" w:hAnsi="Verdana"/>
          <w:sz w:val="20"/>
          <w:szCs w:val="20"/>
          <w:vertAlign w:val="superscript"/>
          <w:lang w:eastAsia="fr-FR"/>
        </w:rPr>
        <w:t>ème</w:t>
      </w:r>
      <w:r>
        <w:rPr>
          <w:rFonts w:eastAsia="Times New Roman" w:cs="Arial" w:ascii="Verdana" w:hAnsi="Verdana"/>
          <w:sz w:val="20"/>
          <w:szCs w:val="20"/>
          <w:lang w:eastAsia="fr-FR"/>
        </w:rPr>
        <w:t xml:space="preserve"> heure à la 43</w:t>
      </w:r>
      <w:r>
        <w:rPr>
          <w:rFonts w:eastAsia="Times New Roman" w:cs="Arial" w:ascii="Verdana" w:hAnsi="Verdana"/>
          <w:sz w:val="20"/>
          <w:szCs w:val="20"/>
          <w:vertAlign w:val="superscript"/>
          <w:lang w:eastAsia="fr-FR"/>
        </w:rPr>
        <w:t>ème</w:t>
      </w:r>
      <w:r>
        <w:rPr>
          <w:rFonts w:eastAsia="Times New Roman" w:cs="Arial" w:ascii="Verdana" w:hAnsi="Verdana"/>
          <w:sz w:val="20"/>
          <w:szCs w:val="20"/>
          <w:lang w:eastAsia="fr-FR"/>
        </w:rPr>
        <w:t xml:space="preserve"> heure, puis majorée de 50% à compter de la 44</w:t>
      </w:r>
      <w:r>
        <w:rPr>
          <w:rFonts w:eastAsia="Times New Roman" w:cs="Arial" w:ascii="Verdana" w:hAnsi="Verdana"/>
          <w:sz w:val="20"/>
          <w:szCs w:val="20"/>
          <w:vertAlign w:val="superscript"/>
          <w:lang w:eastAsia="fr-FR"/>
        </w:rPr>
        <w:t>ème</w:t>
      </w:r>
      <w:bookmarkEnd w:id="0"/>
      <w:r>
        <w:rPr>
          <w:rFonts w:eastAsia="Times New Roman" w:cs="Arial" w:ascii="Verdana" w:hAnsi="Verdana"/>
          <w:sz w:val="20"/>
          <w:szCs w:val="20"/>
          <w:lang w:eastAsia="fr-FR"/>
        </w:rPr>
        <w:t xml:space="preserve"> heure hebdomadaire. </w:t>
      </w:r>
    </w:p>
    <w:p>
      <w:pPr>
        <w:pStyle w:val="Normal"/>
        <w:spacing w:lineRule="auto" w:line="240" w:before="0" w:after="0"/>
        <w:jc w:val="both"/>
        <w:rPr>
          <w:rFonts w:ascii="Verdana" w:hAnsi="Verdana" w:eastAsia="Times New Roman" w:cs="Arial"/>
          <w:sz w:val="20"/>
          <w:szCs w:val="20"/>
          <w:lang w:eastAsia="fr-FR"/>
        </w:rPr>
      </w:pPr>
      <w:r>
        <w:rPr>
          <w:rFonts w:eastAsia="Times New Roman" w:cs="Arial" w:ascii="Verdana" w:hAnsi="Verdana"/>
          <w:sz w:val="20"/>
          <w:szCs w:val="20"/>
          <w:lang w:eastAsia="fr-FR"/>
        </w:rPr>
      </w:r>
    </w:p>
    <w:p>
      <w:pPr>
        <w:pStyle w:val="Normal"/>
        <w:spacing w:lineRule="auto" w:line="240" w:before="0" w:after="0"/>
        <w:jc w:val="both"/>
        <w:rPr>
          <w:rFonts w:ascii="Verdana" w:hAnsi="Verdana" w:eastAsia="Times New Roman" w:cs="Arial"/>
          <w:sz w:val="20"/>
          <w:szCs w:val="20"/>
          <w:lang w:eastAsia="fr-FR"/>
        </w:rPr>
      </w:pPr>
      <w:r>
        <w:rPr>
          <w:rFonts w:eastAsia="Times New Roman" w:cs="Arial" w:ascii="Verdana" w:hAnsi="Verdana"/>
          <w:sz w:val="20"/>
          <w:szCs w:val="20"/>
          <w:lang w:eastAsia="fr-FR"/>
        </w:rPr>
        <w:t>Les heures travaillées le samedi au-delà de la 35</w:t>
      </w:r>
      <w:r>
        <w:rPr>
          <w:rFonts w:eastAsia="Times New Roman" w:cs="Arial" w:ascii="Verdana" w:hAnsi="Verdana"/>
          <w:sz w:val="20"/>
          <w:szCs w:val="20"/>
          <w:vertAlign w:val="superscript"/>
          <w:lang w:eastAsia="fr-FR"/>
        </w:rPr>
        <w:t>ème</w:t>
      </w:r>
      <w:r>
        <w:rPr>
          <w:rFonts w:eastAsia="Times New Roman" w:cs="Arial" w:ascii="Verdana" w:hAnsi="Verdana"/>
          <w:sz w:val="20"/>
          <w:szCs w:val="20"/>
          <w:lang w:eastAsia="fr-FR"/>
        </w:rPr>
        <w:t xml:space="preserve"> ne viendront pas alimenter le  compteur de modulation et ne seront donc pas prises en considération pour le décompte des heures supplémentaires au titre des autres seuils de déclenchement déterminés par l’accord d’entreprise du 25 juin 1999.</w:t>
      </w:r>
    </w:p>
    <w:p>
      <w:pPr>
        <w:pStyle w:val="Normal"/>
        <w:spacing w:lineRule="auto" w:line="240" w:before="0" w:after="0"/>
        <w:jc w:val="both"/>
        <w:rPr>
          <w:rFonts w:ascii="Verdana" w:hAnsi="Verdana" w:eastAsia="Times New Roman" w:cs="Arial"/>
          <w:sz w:val="20"/>
          <w:szCs w:val="20"/>
          <w:lang w:eastAsia="fr-FR"/>
        </w:rPr>
      </w:pPr>
      <w:r>
        <w:rPr>
          <w:rFonts w:eastAsia="Times New Roman" w:cs="Arial" w:ascii="Verdana" w:hAnsi="Verdana"/>
          <w:sz w:val="20"/>
          <w:szCs w:val="20"/>
          <w:lang w:eastAsia="fr-FR"/>
        </w:rPr>
      </w:r>
    </w:p>
    <w:p>
      <w:pPr>
        <w:pStyle w:val="Normal"/>
        <w:spacing w:lineRule="auto" w:line="240" w:before="0" w:after="0"/>
        <w:rPr>
          <w:rFonts w:ascii="Verdana" w:hAnsi="Verdana" w:eastAsia="Times New Roman" w:cs="Arial"/>
          <w:color w:val="FF0000"/>
          <w:sz w:val="20"/>
          <w:szCs w:val="20"/>
          <w:lang w:eastAsia="fr-FR"/>
        </w:rPr>
      </w:pPr>
      <w:r>
        <w:rPr>
          <w:rFonts w:eastAsia="Times New Roman" w:cs="Arial" w:ascii="Verdana" w:hAnsi="Verdana"/>
          <w:color w:val="FF0000"/>
          <w:sz w:val="20"/>
          <w:szCs w:val="20"/>
          <w:lang w:eastAsia="fr-FR"/>
        </w:rPr>
      </w:r>
    </w:p>
    <w:p>
      <w:pPr>
        <w:pStyle w:val="Normal"/>
        <w:rPr>
          <w:rFonts w:ascii="Verdana" w:hAnsi="Verdana" w:cs="Arial"/>
          <w:b/>
          <w:b/>
          <w:bCs/>
          <w:sz w:val="20"/>
          <w:szCs w:val="20"/>
          <w:u w:val="single"/>
          <w:lang w:eastAsia="ar-SA"/>
        </w:rPr>
      </w:pPr>
      <w:r>
        <w:rPr>
          <w:rFonts w:cs="Verdana" w:ascii="Verdana" w:hAnsi="Verdana"/>
          <w:b/>
          <w:sz w:val="20"/>
          <w:szCs w:val="20"/>
          <w:u w:val="single"/>
        </w:rPr>
        <w:t>Article 3 –</w:t>
      </w:r>
      <w:r>
        <w:rPr>
          <w:rFonts w:cs="Arial" w:ascii="Verdana" w:hAnsi="Verdana"/>
          <w:b/>
          <w:bCs/>
          <w:sz w:val="20"/>
          <w:szCs w:val="20"/>
          <w:u w:val="single"/>
          <w:lang w:eastAsia="ar-SA"/>
        </w:rPr>
        <w:t xml:space="preserve"> Durée de l’avenant</w:t>
      </w:r>
    </w:p>
    <w:p>
      <w:pPr>
        <w:pStyle w:val="Normal"/>
        <w:widowControl w:val="false"/>
        <w:autoSpaceDE w:val="false"/>
        <w:spacing w:lineRule="auto" w:line="276"/>
        <w:jc w:val="both"/>
        <w:rPr>
          <w:rFonts w:ascii="Verdana" w:hAnsi="Verdana" w:cs="Verdana"/>
          <w:b/>
          <w:b/>
          <w:bCs/>
          <w:sz w:val="20"/>
          <w:szCs w:val="20"/>
          <w:u w:val="single"/>
          <w:lang w:eastAsia="ar-SA"/>
        </w:rPr>
      </w:pPr>
      <w:r>
        <w:rPr>
          <w:rFonts w:cs="Verdana" w:ascii="Verdana" w:hAnsi="Verdana"/>
          <w:b/>
          <w:bCs/>
          <w:sz w:val="20"/>
          <w:szCs w:val="20"/>
          <w:u w:val="single"/>
          <w:lang w:eastAsia="ar-SA"/>
        </w:rPr>
      </w:r>
    </w:p>
    <w:p>
      <w:pPr>
        <w:pStyle w:val="Normal"/>
        <w:widowControl w:val="false"/>
        <w:autoSpaceDE w:val="false"/>
        <w:spacing w:lineRule="auto" w:line="276"/>
        <w:jc w:val="both"/>
        <w:rPr/>
      </w:pPr>
      <w:r>
        <w:rPr>
          <w:rFonts w:cs="Verdana" w:ascii="Verdana" w:hAnsi="Verdana"/>
          <w:color w:val="000000"/>
          <w:sz w:val="20"/>
          <w:szCs w:val="20"/>
          <w:lang w:eastAsia="ar-SA"/>
        </w:rPr>
        <w:t>Le présent avenant est conclu pour une durée déterminée.</w:t>
      </w:r>
    </w:p>
    <w:p>
      <w:pPr>
        <w:pStyle w:val="Normal"/>
        <w:widowControl w:val="false"/>
        <w:autoSpaceDE w:val="false"/>
        <w:spacing w:lineRule="auto" w:line="276"/>
        <w:jc w:val="both"/>
        <w:rPr>
          <w:rFonts w:ascii="Verdana" w:hAnsi="Verdana" w:cs="Verdana"/>
          <w:color w:val="000000"/>
          <w:sz w:val="20"/>
          <w:szCs w:val="20"/>
          <w:lang w:eastAsia="ar-SA"/>
        </w:rPr>
      </w:pPr>
      <w:r>
        <w:rPr>
          <w:rFonts w:cs="Verdana" w:ascii="Verdana" w:hAnsi="Verdana"/>
          <w:color w:val="000000"/>
          <w:sz w:val="20"/>
          <w:szCs w:val="20"/>
          <w:lang w:eastAsia="ar-SA"/>
        </w:rPr>
        <w:t>Il entrera en vigueur dès le 1</w:t>
      </w:r>
      <w:r>
        <w:rPr>
          <w:rFonts w:cs="Verdana" w:ascii="Verdana" w:hAnsi="Verdana"/>
          <w:color w:val="000000"/>
          <w:sz w:val="20"/>
          <w:szCs w:val="20"/>
          <w:vertAlign w:val="superscript"/>
          <w:lang w:eastAsia="ar-SA"/>
        </w:rPr>
        <w:t>er</w:t>
      </w:r>
      <w:r>
        <w:rPr>
          <w:rFonts w:cs="Verdana" w:ascii="Verdana" w:hAnsi="Verdana"/>
          <w:color w:val="000000"/>
          <w:sz w:val="20"/>
          <w:szCs w:val="20"/>
          <w:lang w:eastAsia="ar-SA"/>
        </w:rPr>
        <w:t xml:space="preserve"> avril 2020 jusqu’au 31 août 2020, date à laquelle il prendra fin de plein droit.</w:t>
      </w:r>
    </w:p>
    <w:p>
      <w:pPr>
        <w:pStyle w:val="Normal"/>
        <w:widowControl w:val="false"/>
        <w:autoSpaceDE w:val="false"/>
        <w:spacing w:lineRule="auto" w:line="276"/>
        <w:jc w:val="both"/>
        <w:rPr>
          <w:rFonts w:ascii="Verdana" w:hAnsi="Verdana" w:cs="Verdana"/>
          <w:color w:val="000000"/>
          <w:sz w:val="20"/>
          <w:szCs w:val="20"/>
          <w:lang w:eastAsia="ar-SA"/>
        </w:rPr>
      </w:pPr>
      <w:r>
        <w:rPr>
          <w:rFonts w:cs="Verdana" w:ascii="Verdana" w:hAnsi="Verdana"/>
          <w:color w:val="000000"/>
          <w:sz w:val="20"/>
          <w:szCs w:val="20"/>
          <w:lang w:eastAsia="ar-SA"/>
        </w:rPr>
      </w:r>
    </w:p>
    <w:p>
      <w:pPr>
        <w:pStyle w:val="Normal"/>
        <w:spacing w:lineRule="auto" w:line="276"/>
        <w:jc w:val="both"/>
        <w:rPr>
          <w:rFonts w:ascii="Verdana" w:hAnsi="Verdana" w:eastAsia="MS Mincho;MS Gothic" w:cs="Arial"/>
          <w:b/>
          <w:b/>
          <w:color w:val="C00000"/>
          <w:sz w:val="20"/>
          <w:szCs w:val="20"/>
          <w:lang w:eastAsia="ar-SA"/>
        </w:rPr>
      </w:pPr>
      <w:r>
        <w:rPr>
          <w:rFonts w:eastAsia="MS Mincho;MS Gothic" w:cs="Arial" w:ascii="Verdana" w:hAnsi="Verdana"/>
          <w:b/>
          <w:color w:val="C00000"/>
          <w:sz w:val="20"/>
          <w:szCs w:val="20"/>
          <w:lang w:eastAsia="ar-SA"/>
        </w:rPr>
      </w:r>
    </w:p>
    <w:p>
      <w:pPr>
        <w:pStyle w:val="Normal"/>
        <w:autoSpaceDE w:val="false"/>
        <w:jc w:val="both"/>
        <w:rPr>
          <w:rFonts w:ascii="Verdana" w:hAnsi="Verdana" w:cs="NGEIA E+ T T 80 E 4o 00"/>
          <w:b/>
          <w:b/>
          <w:color w:val="000000"/>
          <w:sz w:val="20"/>
          <w:szCs w:val="20"/>
          <w:u w:val="single"/>
        </w:rPr>
      </w:pPr>
      <w:r>
        <w:rPr>
          <w:rFonts w:cs="NGEIA E+ T T 80 E 4o 00" w:ascii="Verdana" w:hAnsi="Verdana"/>
          <w:b/>
          <w:color w:val="000000"/>
          <w:sz w:val="20"/>
          <w:szCs w:val="20"/>
          <w:u w:val="single"/>
        </w:rPr>
        <w:t>Article 4 : Dépôt et publicité</w:t>
      </w:r>
    </w:p>
    <w:p>
      <w:pPr>
        <w:pStyle w:val="Normal"/>
        <w:autoSpaceDE w:val="false"/>
        <w:spacing w:lineRule="auto" w:line="240" w:before="0" w:after="0"/>
        <w:jc w:val="both"/>
        <w:rPr>
          <w:rFonts w:ascii="Verdana" w:hAnsi="Verdana" w:cs="Arial"/>
          <w:b/>
          <w:b/>
          <w:color w:val="000000"/>
          <w:sz w:val="20"/>
          <w:szCs w:val="20"/>
          <w:u w:val="single"/>
        </w:rPr>
      </w:pPr>
      <w:r>
        <w:rPr>
          <w:rFonts w:cs="Arial" w:ascii="Verdana" w:hAnsi="Verdana"/>
          <w:b/>
          <w:color w:val="000000"/>
          <w:sz w:val="20"/>
          <w:szCs w:val="20"/>
          <w:u w:val="single"/>
        </w:rPr>
      </w:r>
    </w:p>
    <w:p>
      <w:pPr>
        <w:pStyle w:val="Normal"/>
        <w:jc w:val="both"/>
        <w:rPr/>
      </w:pPr>
      <w:r>
        <w:rPr>
          <w:rFonts w:cs="Arial" w:ascii="Verdana" w:hAnsi="Verdana"/>
          <w:sz w:val="20"/>
          <w:szCs w:val="20"/>
        </w:rPr>
        <w:t>Le présent avenant sera déposé par le représentant légal de la société sur la plateforme en ligne de téléprocédure du ministère du travail (TéléAccords), accompagné des pièces prévues à l’article D.2231-7 du Code du travail.</w:t>
      </w:r>
    </w:p>
    <w:p>
      <w:pPr>
        <w:pStyle w:val="Normal"/>
        <w:jc w:val="both"/>
        <w:rPr/>
      </w:pPr>
      <w:r>
        <w:rPr>
          <w:rFonts w:cs="Arial" w:ascii="Verdana" w:hAnsi="Verdana"/>
          <w:sz w:val="20"/>
          <w:szCs w:val="20"/>
        </w:rPr>
        <w:t>Un exemplaire sera également remis au Conseil de prud’hommes de Quimper.</w:t>
      </w:r>
    </w:p>
    <w:p>
      <w:pPr>
        <w:pStyle w:val="Normal"/>
        <w:widowControl w:val="false"/>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autoSpaceDE w:val="false"/>
        <w:spacing w:lineRule="auto" w:line="276"/>
        <w:jc w:val="both"/>
        <w:rPr/>
      </w:pPr>
      <w:r>
        <w:rPr>
          <w:rFonts w:cs="Tahoma" w:ascii="Verdana" w:hAnsi="Verdana"/>
          <w:color w:val="000000"/>
          <w:sz w:val="20"/>
          <w:szCs w:val="20"/>
          <w:lang w:eastAsia="ar-SA"/>
        </w:rPr>
        <w:t xml:space="preserve">Le présent avenant est fait en nombre suffisant pour remise à chacune des parties. </w:t>
      </w:r>
    </w:p>
    <w:p>
      <w:pPr>
        <w:pStyle w:val="Normal"/>
        <w:widowControl w:val="false"/>
        <w:tabs>
          <w:tab w:val="left" w:pos="-1099" w:leader="none"/>
          <w:tab w:val="left" w:pos="-720" w:leader="none"/>
          <w:tab w:val="left" w:pos="0" w:leader="none"/>
          <w:tab w:val="left" w:pos="26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autoSpaceDE w:val="false"/>
        <w:spacing w:lineRule="auto" w:line="276"/>
        <w:jc w:val="both"/>
        <w:rPr>
          <w:rFonts w:ascii="Verdana" w:hAnsi="Verdana" w:cs="Tahoma"/>
          <w:color w:val="000000"/>
          <w:sz w:val="20"/>
          <w:szCs w:val="20"/>
          <w:lang w:eastAsia="ar-SA"/>
        </w:rPr>
      </w:pPr>
      <w:r>
        <w:rPr>
          <w:rFonts w:cs="Tahoma" w:ascii="Verdana" w:hAnsi="Verdana"/>
          <w:color w:val="000000"/>
          <w:sz w:val="20"/>
          <w:szCs w:val="20"/>
          <w:lang w:eastAsia="ar-SA"/>
        </w:rPr>
      </w:r>
    </w:p>
    <w:p>
      <w:pPr>
        <w:pStyle w:val="Normal"/>
        <w:widowControl w:val="false"/>
        <w:autoSpaceDE w:val="false"/>
        <w:spacing w:lineRule="auto" w:line="276"/>
        <w:jc w:val="both"/>
        <w:rPr>
          <w:rFonts w:ascii="Verdana" w:hAnsi="Verdana" w:cs="Tahoma"/>
          <w:color w:val="000000"/>
          <w:sz w:val="20"/>
          <w:szCs w:val="20"/>
          <w:lang w:eastAsia="ar-SA"/>
        </w:rPr>
      </w:pPr>
      <w:r>
        <w:rPr>
          <w:rFonts w:cs="Tahoma" w:ascii="Verdana" w:hAnsi="Verdana"/>
          <w:color w:val="000000"/>
          <w:sz w:val="20"/>
          <w:szCs w:val="20"/>
          <w:lang w:eastAsia="ar-SA"/>
        </w:rPr>
        <w:t>Son existence figurera aux emplacements réservés à la communication avec le personnel.</w:t>
      </w:r>
    </w:p>
    <w:p>
      <w:pPr>
        <w:pStyle w:val="Normal"/>
        <w:widowControl w:val="false"/>
        <w:autoSpaceDE w:val="false"/>
        <w:spacing w:lineRule="auto" w:line="276"/>
        <w:jc w:val="both"/>
        <w:rPr>
          <w:rFonts w:ascii="Verdana" w:hAnsi="Verdana" w:cs="Tahoma"/>
          <w:color w:val="000000"/>
          <w:sz w:val="20"/>
          <w:szCs w:val="20"/>
          <w:lang w:eastAsia="ar-SA"/>
        </w:rPr>
      </w:pPr>
      <w:r>
        <w:rPr>
          <w:rFonts w:cs="Tahoma" w:ascii="Verdana" w:hAnsi="Verdana"/>
          <w:color w:val="000000"/>
          <w:sz w:val="20"/>
          <w:szCs w:val="20"/>
          <w:lang w:eastAsia="ar-SA"/>
        </w:rPr>
      </w:r>
    </w:p>
    <w:p>
      <w:pPr>
        <w:pStyle w:val="Normal"/>
        <w:widowControl w:val="false"/>
        <w:autoSpaceDE w:val="false"/>
        <w:spacing w:lineRule="auto" w:line="276"/>
        <w:jc w:val="both"/>
        <w:rPr>
          <w:rFonts w:ascii="Verdana" w:hAnsi="Verdana" w:cs="Tahoma"/>
          <w:color w:val="000000"/>
          <w:sz w:val="20"/>
          <w:szCs w:val="20"/>
          <w:lang w:eastAsia="ar-SA"/>
        </w:rPr>
      </w:pPr>
      <w:r>
        <w:rPr>
          <w:rFonts w:cs="Tahoma" w:ascii="Verdana" w:hAnsi="Verdana"/>
          <w:color w:val="000000"/>
          <w:sz w:val="20"/>
          <w:szCs w:val="20"/>
          <w:lang w:eastAsia="ar-SA"/>
        </w:rPr>
        <w:t>Fait à Clohars Carnoet , le 07 mai 2020</w:t>
      </w:r>
    </w:p>
    <w:p>
      <w:pPr>
        <w:pStyle w:val="Normal"/>
        <w:widowControl w:val="false"/>
        <w:autoSpaceDE w:val="false"/>
        <w:spacing w:lineRule="auto" w:line="276"/>
        <w:jc w:val="both"/>
        <w:rPr>
          <w:rFonts w:ascii="Verdana" w:hAnsi="Verdana" w:cs="Verdana"/>
          <w:sz w:val="20"/>
          <w:szCs w:val="20"/>
        </w:rPr>
      </w:pPr>
      <w:r>
        <w:rPr>
          <w:rFonts w:cs="Tahoma" w:ascii="Verdana" w:hAnsi="Verdana"/>
          <w:color w:val="000000"/>
          <w:sz w:val="20"/>
          <w:szCs w:val="20"/>
          <w:lang w:eastAsia="ar-SA"/>
        </w:rPr>
        <w:t>En 4 exemplaires,</w:t>
      </w:r>
    </w:p>
    <w:p>
      <w:pPr>
        <w:pStyle w:val="Normal"/>
        <w:widowControl w:val="false"/>
        <w:autoSpaceDE w:val="false"/>
        <w:spacing w:lineRule="auto" w:line="276"/>
        <w:ind w:left="4248" w:firstLine="708"/>
        <w:jc w:val="both"/>
        <w:rPr>
          <w:rFonts w:ascii="Verdana" w:hAnsi="Verdana" w:cs="Verdana"/>
          <w:color w:val="000000"/>
          <w:sz w:val="20"/>
          <w:szCs w:val="20"/>
          <w:lang w:eastAsia="ar-SA"/>
        </w:rPr>
      </w:pPr>
      <w:r>
        <w:rPr>
          <w:rFonts w:cs="Verdana" w:ascii="Verdana" w:hAnsi="Verdana"/>
          <w:color w:val="000000"/>
          <w:sz w:val="20"/>
          <w:szCs w:val="20"/>
          <w:lang w:eastAsia="ar-SA"/>
        </w:rPr>
      </w:r>
    </w:p>
    <w:p>
      <w:pPr>
        <w:pStyle w:val="Normal"/>
        <w:spacing w:lineRule="auto" w:line="276"/>
        <w:jc w:val="both"/>
        <w:rPr>
          <w:rFonts w:ascii="Verdana" w:hAnsi="Verdana" w:cs="Verdana"/>
          <w:sz w:val="20"/>
          <w:szCs w:val="20"/>
        </w:rPr>
      </w:pPr>
      <w:r>
        <w:rPr>
          <w:rFonts w:cs="Verdana" w:ascii="Verdana" w:hAnsi="Verdana"/>
          <w:b/>
          <w:color w:val="000000"/>
          <w:sz w:val="20"/>
          <w:szCs w:val="20"/>
        </w:rPr>
        <w:t>Pour l</w:t>
      </w:r>
      <w:r>
        <w:rPr>
          <w:rFonts w:eastAsia="MS Mincho;MS Gothic" w:cs="Arial" w:ascii="Verdana" w:hAnsi="Verdana"/>
          <w:b/>
          <w:color w:val="000000"/>
          <w:sz w:val="20"/>
          <w:szCs w:val="20"/>
        </w:rPr>
        <w:t>’organisation syndicale CGT</w:t>
      </w:r>
      <w:r>
        <w:rPr>
          <w:rFonts w:eastAsia="MS Mincho;MS Gothic" w:cs="Arial" w:ascii="Verdana" w:hAnsi="Verdana"/>
          <w:color w:val="000000"/>
          <w:sz w:val="20"/>
          <w:szCs w:val="20"/>
        </w:rPr>
        <w:t xml:space="preserve"> </w:t>
        <w:tab/>
        <w:tab/>
      </w:r>
      <w:r>
        <w:rPr>
          <w:rFonts w:cs="Verdana" w:ascii="Verdana" w:hAnsi="Verdana"/>
          <w:b/>
          <w:color w:val="000000"/>
          <w:sz w:val="20"/>
          <w:szCs w:val="20"/>
        </w:rPr>
        <w:t>Pour l’entreprise X</w:t>
      </w:r>
    </w:p>
    <w:p>
      <w:pPr>
        <w:pStyle w:val="Normal"/>
        <w:spacing w:lineRule="auto" w:line="276" w:before="0" w:after="160"/>
        <w:jc w:val="both"/>
        <w:rPr/>
      </w:pPr>
      <w:r>
        <w:rPr>
          <w:rFonts w:eastAsia="MS Mincho;MS Gothic" w:cs="Arial" w:ascii="Verdana" w:hAnsi="Verdana"/>
          <w:b/>
          <w:color w:val="000000"/>
          <w:sz w:val="20"/>
          <w:szCs w:val="20"/>
        </w:rPr>
        <w:t>Monsieur x</w:t>
        <w:tab/>
        <w:tab/>
        <w:tab/>
        <w:tab/>
        <w:tab/>
        <w:tab/>
        <w:t>Monsieur x</w:t>
      </w:r>
    </w:p>
    <w:sectPr>
      <w:headerReference w:type="default" r:id="rId2"/>
      <w:type w:val="nextPage"/>
      <w:pgSz w:w="11906" w:h="16838"/>
      <w:pgMar w:left="1417" w:right="1417" w:header="708"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Courier New">
    <w:charset w:val="00"/>
    <w:family w:val="modern"/>
    <w:pitch w:val="default"/>
  </w:font>
  <w:font w:name="Arial Narrow">
    <w:charset w:val="00"/>
    <w:family w:val="swiss"/>
    <w:pitch w:val="variable"/>
  </w:font>
  <w:font w:name="Wingdings">
    <w:charset w:val="02"/>
    <w:family w:val="auto"/>
    <w:pitch w:val="variable"/>
  </w:font>
  <w:font w:name="Verdana">
    <w:charset w:val="00"/>
    <w:family w:val="swiss"/>
    <w:pitch w:val="variable"/>
  </w:font>
  <w:font w:name="Segoe UI">
    <w:charset w:val="00"/>
    <w:family w:val="swiss"/>
    <w:pitch w:val="variable"/>
  </w:font>
  <w:font w:name="Liberation Sans">
    <w:altName w:val="Arial"/>
    <w:charset w:val="01"/>
    <w:family w:val="swiss"/>
    <w:pitch w:val="variable"/>
  </w:font>
  <w:font w:name="Univers LT Std">
    <w:charset w:val="0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p>
    <w:pPr>
      <w:pStyle w:val="Header"/>
      <w:rPr/>
    </w:pPr>
    <w:r>
      <w:rPr/>
    </w:r>
  </w:p>
  <w:p>
    <w:pPr>
      <w:pStyle w:val="Header"/>
      <w:tabs>
        <w:tab w:val="center" w:pos="4536" w:leader="none"/>
        <w:tab w:val="right" w:pos="9072" w:leader="none"/>
      </w:tabs>
      <w:spacing w:before="0" w:after="16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4"/>
      <w:numFmt w:val="bullet"/>
      <w:lvlText w:val="-"/>
      <w:lvlJc w:val="left"/>
      <w:pPr>
        <w:ind w:left="720" w:hanging="360"/>
      </w:pPr>
      <w:rPr>
        <w:rFonts w:ascii="Verdana" w:hAnsi="Verdana" w:cs="Verdana" w:hint="default"/>
        <w:sz w:val="20"/>
        <w:szCs w:val="20"/>
        <w:rFonts w:cs="Times New Roman"/>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spacing w:lineRule="auto" w:line="256" w:before="0" w:after="160"/>
    </w:pPr>
    <w:rPr>
      <w:rFonts w:ascii="Calibri" w:hAnsi="Calibri" w:eastAsia="Calibri" w:cs="Times New Roman"/>
      <w:color w:val="auto"/>
      <w:sz w:val="22"/>
      <w:szCs w:val="22"/>
      <w:lang w:val="fr-FR" w:bidi="ar-SA" w:eastAsia="zh-CN"/>
    </w:rPr>
  </w:style>
  <w:style w:type="paragraph" w:styleId="Heading3">
    <w:name w:val="Heading 3"/>
    <w:basedOn w:val="Normal"/>
    <w:next w:val="Normal"/>
    <w:qFormat/>
    <w:pPr>
      <w:keepNext w:val="true"/>
      <w:numPr>
        <w:ilvl w:val="2"/>
        <w:numId w:val="1"/>
      </w:numPr>
      <w:spacing w:lineRule="auto" w:line="240" w:before="0" w:after="0"/>
      <w:jc w:val="both"/>
      <w:outlineLvl w:val="2"/>
    </w:pPr>
    <w:rPr>
      <w:rFonts w:ascii="Times New Roman" w:hAnsi="Times New Roman" w:eastAsia="Times New Roman" w:cs="Times New Roman"/>
      <w:b/>
      <w:i/>
      <w:sz w:val="28"/>
      <w:szCs w:val="20"/>
      <w:u w:val="single"/>
      <w:bdr w:val="single" w:sz="18" w:space="0" w:color="00000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Courier New" w:hAnsi="Courier New" w:cs="Courier New"/>
      <w:sz w:val="20"/>
    </w:rPr>
  </w:style>
  <w:style w:type="character" w:styleId="WW8Num3z0">
    <w:name w:val="WW8Num3z0"/>
    <w:qFormat/>
    <w:rPr>
      <w:rFonts w:ascii="Arial Narrow" w:hAnsi="Arial Narrow" w:eastAsia="Calibri"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Verdana" w:hAnsi="Verdana" w:eastAsia="Calibri" w:cs="Times New Roman"/>
      <w:sz w:val="20"/>
      <w:szCs w:val="20"/>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Arial Narrow" w:hAnsi="Arial Narrow" w:eastAsia="Calibri"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Verdana" w:hAnsi="Verdana" w:eastAsia="Calibri" w:cs="Times New Roman"/>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Times New Roman" w:hAnsi="Times New Roman"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Policepardfaut">
    <w:name w:val="Police par défaut"/>
    <w:qFormat/>
    <w:rPr/>
  </w:style>
  <w:style w:type="character" w:styleId="Marquedecommentaire">
    <w:name w:val="Marque de commentaire"/>
    <w:qFormat/>
    <w:rPr>
      <w:sz w:val="16"/>
      <w:szCs w:val="16"/>
    </w:rPr>
  </w:style>
  <w:style w:type="character" w:styleId="CommentaireCar">
    <w:name w:val="Commentaire Car"/>
    <w:qFormat/>
    <w:rPr>
      <w:rFonts w:ascii="Times New Roman" w:hAnsi="Times New Roman" w:eastAsia="Times New Roman" w:cs="Times New Roman"/>
    </w:rPr>
  </w:style>
  <w:style w:type="character" w:styleId="TextedebullesCar">
    <w:name w:val="Texte de bulles Car"/>
    <w:qFormat/>
    <w:rPr>
      <w:rFonts w:ascii="Segoe UI" w:hAnsi="Segoe UI" w:cs="Segoe UI"/>
      <w:sz w:val="18"/>
      <w:szCs w:val="18"/>
    </w:rPr>
  </w:style>
  <w:style w:type="character" w:styleId="Titre3Car">
    <w:name w:val="Titre 3 Car"/>
    <w:qFormat/>
    <w:rPr>
      <w:rFonts w:ascii="Times New Roman" w:hAnsi="Times New Roman" w:eastAsia="Times New Roman" w:cs="Times New Roman"/>
      <w:b/>
      <w:i/>
      <w:sz w:val="28"/>
      <w:u w:val="single"/>
      <w:bdr w:val="single" w:sz="18" w:space="0" w:color="000000"/>
    </w:rPr>
  </w:style>
  <w:style w:type="character" w:styleId="ObjetducommentaireCar">
    <w:name w:val="Objet du commentaire Car"/>
    <w:qFormat/>
    <w:rPr>
      <w:rFonts w:ascii="Times New Roman" w:hAnsi="Times New Roman" w:eastAsia="Times New Roman" w:cs="Times New Roman"/>
      <w:b/>
      <w:bCs/>
    </w:rPr>
  </w:style>
  <w:style w:type="character" w:styleId="EntteCar">
    <w:name w:val="En-tête Car"/>
    <w:qFormat/>
    <w:rPr>
      <w:sz w:val="22"/>
      <w:szCs w:val="22"/>
    </w:rPr>
  </w:style>
  <w:style w:type="character" w:styleId="PieddepageCar">
    <w:name w:val="Pied de page Car"/>
    <w:qFormat/>
    <w:rPr>
      <w:sz w:val="22"/>
      <w:szCs w:val="22"/>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ommentaire">
    <w:name w:val="Commentaire"/>
    <w:basedOn w:val="Normal"/>
    <w:qFormat/>
    <w:pPr>
      <w:spacing w:lineRule="auto" w:line="240" w:before="0" w:after="0"/>
    </w:pPr>
    <w:rPr>
      <w:rFonts w:ascii="Times New Roman" w:hAnsi="Times New Roman" w:eastAsia="Times New Roman" w:cs="Times New Roman"/>
      <w:sz w:val="20"/>
      <w:szCs w:val="20"/>
    </w:rPr>
  </w:style>
  <w:style w:type="paragraph" w:styleId="Textedebulles">
    <w:name w:val="Texte de bulles"/>
    <w:basedOn w:val="Normal"/>
    <w:qFormat/>
    <w:pPr>
      <w:spacing w:lineRule="auto" w:line="240" w:before="0" w:after="0"/>
    </w:pPr>
    <w:rPr>
      <w:rFonts w:ascii="Segoe UI" w:hAnsi="Segoe UI" w:cs="Segoe UI"/>
      <w:sz w:val="18"/>
      <w:szCs w:val="18"/>
    </w:rPr>
  </w:style>
  <w:style w:type="paragraph" w:styleId="Objetducommentaire">
    <w:name w:val="Objet du commentaire"/>
    <w:basedOn w:val="Commentaire"/>
    <w:next w:val="Commentaire"/>
    <w:qFormat/>
    <w:pPr>
      <w:spacing w:lineRule="auto" w:line="256" w:before="0" w:after="160"/>
    </w:pPr>
    <w:rPr>
      <w:rFonts w:ascii="Calibri" w:hAnsi="Calibri" w:eastAsia="Calibri" w:cs="Calibri"/>
      <w:b/>
      <w:bCs/>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Default">
    <w:name w:val="Default"/>
    <w:qFormat/>
    <w:pPr>
      <w:widowControl/>
      <w:autoSpaceDE w:val="false"/>
    </w:pPr>
    <w:rPr>
      <w:rFonts w:ascii="Univers LT Std;Univers LT Std" w:hAnsi="Univers LT Std;Univers LT Std" w:eastAsia="Calibri" w:cs="Univers LT Std;Univers LT Std"/>
      <w:color w:val="000000"/>
      <w:sz w:val="24"/>
      <w:szCs w:val="24"/>
      <w:lang w:val="fr-FR" w:bidi="ar-SA" w:eastAsia="zh-CN"/>
    </w:rPr>
  </w:style>
  <w:style w:type="paragraph" w:styleId="Rvision">
    <w:name w:val="Révision"/>
    <w:qFormat/>
    <w:pPr>
      <w:widowControl/>
    </w:pPr>
    <w:rPr>
      <w:rFonts w:ascii="Calibri" w:hAnsi="Calibri" w:eastAsia="Calibri" w:cs="Times New Roman"/>
      <w:color w:val="auto"/>
      <w:sz w:val="22"/>
      <w:szCs w:val="22"/>
      <w:lang w:val="fr-FR" w:bidi="ar-SA" w:eastAsia="zh-C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2020-05-20T13:09:00Z</dcterms:created>
  <dc:creator/>
  <dc:description/>
  <dc:language>en-GB</dc:language>
  <cp:lastModifiedBy/>
  <cp:lastPrinted>2020-05-05T16:12:00Z</cp:lastPrinted>
  <dcterms:modified xsi:type="dcterms:W3CDTF">2020-05-20T13:09:00Z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OMBIBLE">
    <vt:lpwstr>N</vt:lpwstr>
  </property>
  <property fmtid="{D5CDD505-2E9C-101B-9397-08002B2CF9AE}" pid="3" name="FROMDOCUMENT">
    <vt:lpwstr>O</vt:lpwstr>
  </property>
  <property fmtid="{D5CDD505-2E9C-101B-9397-08002B2CF9AE}" pid="4" name="FROMMODELE">
    <vt:lpwstr>N</vt:lpwstr>
  </property>
  <property fmtid="{D5CDD505-2E9C-101B-9397-08002B2CF9AE}" pid="5" name="GetChemin">
    <vt:lpwstr>340629706</vt:lpwstr>
  </property>
  <property fmtid="{D5CDD505-2E9C-101B-9397-08002B2CF9AE}" pid="6" name="adxRibbonButtonChemin">
    <vt:lpwstr>O</vt:lpwstr>
  </property>
  <property fmtid="{D5CDD505-2E9C-101B-9397-08002B2CF9AE}" pid="7" name="adxRibbonButtonInsertSignatures">
    <vt:lpwstr>O</vt:lpwstr>
  </property>
  <property fmtid="{D5CDD505-2E9C-101B-9397-08002B2CF9AE}" pid="8" name="adxRibbonButtonSaveIrys">
    <vt:lpwstr>N</vt:lpwstr>
  </property>
  <property fmtid="{D5CDD505-2E9C-101B-9397-08002B2CF9AE}" pid="9" name="adxRibbonCheckBoxBibleJudiciaire">
    <vt:lpwstr>N</vt:lpwstr>
  </property>
  <property fmtid="{D5CDD505-2E9C-101B-9397-08002B2CF9AE}" pid="10" name="adxRibbonCheckBoxBibleJudiciaireVisible">
    <vt:lpwstr>N</vt:lpwstr>
  </property>
  <property fmtid="{D5CDD505-2E9C-101B-9397-08002B2CF9AE}" pid="11" name="adxRibbonCheckBoxElectionsVisible">
    <vt:lpwstr>N</vt:lpwstr>
  </property>
  <property fmtid="{D5CDD505-2E9C-101B-9397-08002B2CF9AE}" pid="12" name="adxRibbonCheckBoxLegifrance">
    <vt:lpwstr>O</vt:lpwstr>
  </property>
  <property fmtid="{D5CDD505-2E9C-101B-9397-08002B2CF9AE}" pid="13" name="adxRibbonCheckBoxLegifranceVisible">
    <vt:lpwstr>O</vt:lpwstr>
  </property>
  <property fmtid="{D5CDD505-2E9C-101B-9397-08002B2CF9AE}" pid="14" name="adxRibbonMenuTrames">
    <vt:lpwstr>O</vt:lpwstr>
  </property>
  <property fmtid="{D5CDD505-2E9C-101B-9397-08002B2CF9AE}" pid="15" name="id">
    <vt:lpwstr>1866934</vt:lpwstr>
  </property>
</Properties>
</file>